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207010</wp:posOffset>
            </wp:positionH>
            <wp:positionV relativeFrom="page">
              <wp:posOffset>366395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324485</wp:posOffset>
            </wp:positionV>
            <wp:extent cx="71348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17145"/>
                    </a:xfrm>
                    <a:prstGeom prst="rect">
                      <a:avLst/>
                    </a:prstGeom>
                    <a:noFill/>
                  </pic:spPr>
                </pic:pic>
              </a:graphicData>
            </a:graphic>
          </wp:anchor>
        </w:drawing>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95" w:lineRule="exact"/>
        <w:rPr>
          <w:sz w:val="24"/>
          <w:szCs w:val="24"/>
          <w:color w:val="auto"/>
        </w:rPr>
      </w:pPr>
    </w:p>
    <w:p>
      <w:pPr>
        <w:ind w:left="1000" w:right="3820" w:hanging="506"/>
        <w:spacing w:after="0" w:line="180" w:lineRule="auto"/>
        <w:tabs>
          <w:tab w:leader="none" w:pos="1000" w:val="left"/>
        </w:tabs>
        <w:numPr>
          <w:ilvl w:val="0"/>
          <w:numId w:val="1"/>
        </w:numPr>
        <w:rPr>
          <w:rFonts w:ascii="MS PGothic" w:cs="MS PGothic" w:eastAsia="MS PGothic" w:hAnsi="MS PGothic"/>
          <w:sz w:val="45"/>
          <w:szCs w:val="45"/>
          <w:color w:val="auto"/>
          <w:vertAlign w:val="subscript"/>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57"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For fiscal year ended December 31, 2024</w:t>
      </w:r>
    </w:p>
    <w:p>
      <w:pPr>
        <w:spacing w:after="0" w:line="13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1" w:lineRule="exact"/>
        <w:rPr>
          <w:sz w:val="24"/>
          <w:szCs w:val="24"/>
          <w:color w:val="auto"/>
        </w:rPr>
      </w:pPr>
    </w:p>
    <w:p>
      <w:pPr>
        <w:ind w:left="1000" w:right="780" w:hanging="506"/>
        <w:spacing w:after="0" w:line="223" w:lineRule="auto"/>
        <w:tabs>
          <w:tab w:leader="none" w:pos="1000" w:val="left"/>
        </w:tabs>
        <w:numPr>
          <w:ilvl w:val="0"/>
          <w:numId w:val="2"/>
        </w:numPr>
        <w:rPr>
          <w:rFonts w:ascii="MS PGothic" w:cs="MS PGothic" w:eastAsia="MS PGothic" w:hAnsi="MS PGothic"/>
          <w:sz w:val="53"/>
          <w:szCs w:val="53"/>
          <w:color w:val="auto"/>
          <w:vertAlign w:val="subscript"/>
        </w:rPr>
      </w:pPr>
      <w:r>
        <w:rPr>
          <w:rFonts w:ascii="Times New Roman" w:cs="Times New Roman" w:eastAsia="Times New Roman" w:hAnsi="Times New Roman"/>
          <w:sz w:val="18"/>
          <w:szCs w:val="18"/>
          <w:b w:val="1"/>
          <w:bCs w:val="1"/>
          <w:color w:val="auto"/>
        </w:rPr>
        <w:t>TRANSITION REPORT PURSUANT TO SECTION 13 OR 15(d) OF THE SECURITIES EXCHANGE ACT OF 1934</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840" w:type="dxa"/>
            <w:vAlign w:val="bottom"/>
            <w:gridSpan w:val="2"/>
          </w:tcPr>
          <w:p>
            <w:pPr>
              <w:ind w:left="980"/>
              <w:spacing w:after="0" w:line="149" w:lineRule="exact"/>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920" w:type="dxa"/>
            <w:vAlign w:val="bottom"/>
            <w:tcBorders>
              <w:bottom w:val="single" w:sz="8" w:color="auto"/>
            </w:tcBorders>
            <w:gridSpan w:val="2"/>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9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740" w:type="dxa"/>
            <w:vAlign w:val="bottom"/>
            <w:gridSpan w:val="3"/>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Commission File Number 001-09553</w:t>
            </w: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20" w:type="dxa"/>
            <w:vAlign w:val="bottom"/>
            <w:gridSpan w:val="4"/>
          </w:tcPr>
          <w:p>
            <w:pPr>
              <w:jc w:val="center"/>
              <w:ind w:right="61"/>
              <w:spacing w:after="0"/>
              <w:rPr>
                <w:sz w:val="20"/>
                <w:szCs w:val="20"/>
                <w:color w:val="auto"/>
              </w:rPr>
            </w:pPr>
            <w:r>
              <w:rPr>
                <w:rFonts w:ascii="Times New Roman" w:cs="Times New Roman" w:eastAsia="Times New Roman" w:hAnsi="Times New Roman"/>
                <w:sz w:val="32"/>
                <w:szCs w:val="32"/>
                <w:b w:val="1"/>
                <w:bCs w:val="1"/>
                <w:color w:val="000A3C"/>
                <w:w w:val="99"/>
              </w:rPr>
              <w:t>Paramount Global</w:t>
            </w: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380" w:type="dxa"/>
            <w:vAlign w:val="bottom"/>
            <w:gridSpan w:val="5"/>
          </w:tcPr>
          <w:p>
            <w:pPr>
              <w:jc w:val="center"/>
              <w:ind w:left="232"/>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4"/>
          </w:tcPr>
          <w:p>
            <w:pPr>
              <w:jc w:val="center"/>
              <w:ind w:right="1066"/>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gridSpan w:val="2"/>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04-2949533</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80" w:type="dxa"/>
            <w:vAlign w:val="bottom"/>
            <w:gridSpan w:val="7"/>
          </w:tcPr>
          <w:p>
            <w:pPr>
              <w:jc w:val="center"/>
              <w:ind w:left="1789"/>
              <w:spacing w:after="0" w:line="164" w:lineRule="exact"/>
              <w:rPr>
                <w:sz w:val="20"/>
                <w:szCs w:val="20"/>
                <w:color w:val="auto"/>
              </w:rPr>
            </w:pPr>
            <w:r>
              <w:rPr>
                <w:rFonts w:ascii="Times New Roman" w:cs="Times New Roman" w:eastAsia="Times New Roman" w:hAnsi="Times New Roman"/>
                <w:sz w:val="16"/>
                <w:szCs w:val="16"/>
                <w:color w:val="auto"/>
                <w:w w:val="99"/>
              </w:rPr>
              <w:t>(State or other jurisdiction of</w:t>
            </w:r>
          </w:p>
        </w:tc>
        <w:tc>
          <w:tcPr>
            <w:tcW w:w="400" w:type="dxa"/>
            <w:vAlign w:val="bottom"/>
          </w:tcPr>
          <w:p>
            <w:pPr>
              <w:spacing w:after="0"/>
              <w:rPr>
                <w:sz w:val="14"/>
                <w:szCs w:val="14"/>
                <w:color w:val="auto"/>
              </w:rPr>
            </w:pPr>
          </w:p>
        </w:tc>
        <w:tc>
          <w:tcPr>
            <w:tcW w:w="5420" w:type="dxa"/>
            <w:vAlign w:val="bottom"/>
            <w:gridSpan w:val="4"/>
          </w:tcPr>
          <w:p>
            <w:pPr>
              <w:jc w:val="center"/>
              <w:ind w:right="1100"/>
              <w:spacing w:after="0" w:line="164" w:lineRule="exact"/>
              <w:rPr>
                <w:sz w:val="20"/>
                <w:szCs w:val="20"/>
                <w:color w:val="auto"/>
              </w:rPr>
            </w:pPr>
            <w:r>
              <w:rPr>
                <w:rFonts w:ascii="Times New Roman" w:cs="Times New Roman" w:eastAsia="Times New Roman" w:hAnsi="Times New Roman"/>
                <w:sz w:val="16"/>
                <w:szCs w:val="16"/>
                <w:color w:val="auto"/>
                <w:w w:val="99"/>
              </w:rPr>
              <w:t>(I.R.S. Employer Identification No.)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80" w:type="dxa"/>
            <w:vAlign w:val="bottom"/>
            <w:gridSpan w:val="7"/>
          </w:tcPr>
          <w:p>
            <w:pPr>
              <w:jc w:val="center"/>
              <w:ind w:left="1789"/>
              <w:spacing w:after="0"/>
              <w:rPr>
                <w:sz w:val="20"/>
                <w:szCs w:val="20"/>
                <w:color w:val="auto"/>
              </w:rPr>
            </w:pPr>
            <w:r>
              <w:rPr>
                <w:rFonts w:ascii="Times New Roman" w:cs="Times New Roman" w:eastAsia="Times New Roman" w:hAnsi="Times New Roman"/>
                <w:sz w:val="16"/>
                <w:szCs w:val="16"/>
                <w:color w:val="auto"/>
                <w:w w:val="99"/>
              </w:rPr>
              <w:t>incorporation or organization)</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3"/>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gridSpan w:val="3"/>
          </w:tcPr>
          <w:p>
            <w:pPr>
              <w:jc w:val="center"/>
              <w:ind w:right="281"/>
              <w:spacing w:after="0"/>
              <w:rPr>
                <w:sz w:val="20"/>
                <w:szCs w:val="20"/>
                <w:color w:val="auto"/>
              </w:rPr>
            </w:pPr>
            <w:r>
              <w:rPr>
                <w:rFonts w:ascii="Times New Roman" w:cs="Times New Roman" w:eastAsia="Times New Roman" w:hAnsi="Times New Roman"/>
                <w:sz w:val="16"/>
                <w:szCs w:val="16"/>
                <w:b w:val="1"/>
                <w:bCs w:val="1"/>
                <w:color w:val="auto"/>
                <w:w w:val="99"/>
              </w:rPr>
              <w:t>1515 Broadway</w:t>
            </w: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New York,</w:t>
            </w: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New York  10036</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80" w:type="dxa"/>
            <w:vAlign w:val="bottom"/>
            <w:gridSpan w:val="5"/>
          </w:tcPr>
          <w:p>
            <w:pPr>
              <w:jc w:val="center"/>
              <w:ind w:left="232"/>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9"/>
                <w:szCs w:val="19"/>
                <w:b w:val="1"/>
                <w:bCs w:val="1"/>
                <w:color w:val="auto"/>
              </w:rPr>
              <w:t>212</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9"/>
                <w:szCs w:val="19"/>
                <w:b w:val="1"/>
                <w:bCs w:val="1"/>
                <w:color w:val="auto"/>
              </w:rPr>
              <w:t>258-6000</w:t>
            </w: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40" w:type="dxa"/>
            <w:vAlign w:val="bottom"/>
            <w:gridSpan w:val="8"/>
          </w:tcPr>
          <w:p>
            <w:pPr>
              <w:jc w:val="center"/>
              <w:ind w:right="3740"/>
              <w:spacing w:after="0" w:line="134" w:lineRule="exact"/>
              <w:rPr>
                <w:sz w:val="20"/>
                <w:szCs w:val="20"/>
                <w:color w:val="auto"/>
              </w:rPr>
            </w:pPr>
            <w:r>
              <w:rPr>
                <w:rFonts w:ascii="Times New Roman" w:cs="Times New Roman" w:eastAsia="Times New Roman" w:hAnsi="Times New Roman"/>
                <w:sz w:val="13"/>
                <w:szCs w:val="13"/>
                <w:b w:val="1"/>
                <w:bCs w:val="1"/>
                <w:color w:val="auto"/>
              </w:rPr>
              <w:t>(Address, including zip code, and telephone numbers, including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380" w:type="dxa"/>
            <w:vAlign w:val="bottom"/>
            <w:gridSpan w:val="5"/>
          </w:tcPr>
          <w:p>
            <w:pPr>
              <w:jc w:val="center"/>
              <w:ind w:left="252"/>
              <w:spacing w:after="0"/>
              <w:rPr>
                <w:sz w:val="20"/>
                <w:szCs w:val="20"/>
                <w:color w:val="auto"/>
              </w:rPr>
            </w:pPr>
            <w:r>
              <w:rPr>
                <w:rFonts w:ascii="Times New Roman" w:cs="Times New Roman" w:eastAsia="Times New Roman" w:hAnsi="Times New Roman"/>
                <w:sz w:val="13"/>
                <w:szCs w:val="13"/>
                <w:b w:val="1"/>
                <w:bCs w:val="1"/>
                <w:color w:val="auto"/>
              </w:rPr>
              <w:t>area code, of registrant’s principal executive offices)</w:t>
            </w: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460" w:type="dxa"/>
            <w:vAlign w:val="bottom"/>
            <w:tcBorders>
              <w:bottom w:val="single" w:sz="8" w:color="auto"/>
            </w:tcBorders>
            <w:gridSpan w:val="6"/>
          </w:tcPr>
          <w:p>
            <w:pPr>
              <w:spacing w:after="0"/>
              <w:rPr>
                <w:sz w:val="9"/>
                <w:szCs w:val="9"/>
                <w:color w:val="auto"/>
              </w:rPr>
            </w:pPr>
          </w:p>
        </w:tc>
        <w:tc>
          <w:tcPr>
            <w:tcW w:w="29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40" w:type="dxa"/>
            <w:vAlign w:val="bottom"/>
            <w:gridSpan w:val="8"/>
          </w:tcPr>
          <w:p>
            <w:pPr>
              <w:jc w:val="center"/>
              <w:ind w:right="376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760" w:type="dxa"/>
            <w:vAlign w:val="bottom"/>
            <w:gridSpan w:val="4"/>
            <w:vMerge w:val="restart"/>
          </w:tcPr>
          <w:p>
            <w:pPr>
              <w:jc w:val="center"/>
              <w:ind w:left="1389"/>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60" w:type="dxa"/>
            <w:vAlign w:val="bottom"/>
            <w:gridSpan w:val="2"/>
            <w:vMerge w:val="restart"/>
          </w:tcPr>
          <w:p>
            <w:pPr>
              <w:jc w:val="center"/>
              <w:ind w:right="561"/>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4060" w:type="dxa"/>
            <w:vAlign w:val="bottom"/>
            <w:gridSpan w:val="3"/>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Name of Each Exchange on</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tcBorders>
              <w:bottom w:val="single" w:sz="8" w:color="auto"/>
            </w:tcBorders>
            <w:gridSpan w:val="4"/>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vMerge w:val="continue"/>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2"/>
          </w:tcPr>
          <w:p>
            <w:pPr>
              <w:jc w:val="center"/>
              <w:ind w:right="1540"/>
              <w:spacing w:after="0"/>
              <w:rPr>
                <w:sz w:val="20"/>
                <w:szCs w:val="20"/>
                <w:color w:val="auto"/>
              </w:rPr>
            </w:pPr>
            <w:r>
              <w:rPr>
                <w:rFonts w:ascii="Times New Roman" w:cs="Times New Roman" w:eastAsia="Times New Roman" w:hAnsi="Times New Roman"/>
                <w:sz w:val="13"/>
                <w:szCs w:val="13"/>
                <w:b w:val="1"/>
                <w:bCs w:val="1"/>
                <w:color w:val="auto"/>
              </w:rPr>
              <w:t>Which Registered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gridSpan w:val="4"/>
          </w:tcPr>
          <w:p>
            <w:pPr>
              <w:jc w:val="center"/>
              <w:ind w:left="1389"/>
              <w:spacing w:after="0"/>
              <w:rPr>
                <w:sz w:val="20"/>
                <w:szCs w:val="20"/>
                <w:color w:val="auto"/>
              </w:rPr>
            </w:pPr>
            <w:r>
              <w:rPr>
                <w:rFonts w:ascii="Times New Roman" w:cs="Times New Roman" w:eastAsia="Times New Roman" w:hAnsi="Times New Roman"/>
                <w:sz w:val="13"/>
                <w:szCs w:val="13"/>
                <w:color w:val="auto"/>
              </w:rPr>
              <w:t>Class A Common Stock, $0.001 par value</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60" w:type="dxa"/>
            <w:vAlign w:val="bottom"/>
            <w:gridSpan w:val="2"/>
          </w:tcPr>
          <w:p>
            <w:pPr>
              <w:jc w:val="center"/>
              <w:ind w:right="561"/>
              <w:spacing w:after="0"/>
              <w:rPr>
                <w:sz w:val="20"/>
                <w:szCs w:val="20"/>
                <w:color w:val="auto"/>
              </w:rPr>
            </w:pPr>
            <w:r>
              <w:rPr>
                <w:rFonts w:ascii="Times New Roman" w:cs="Times New Roman" w:eastAsia="Times New Roman" w:hAnsi="Times New Roman"/>
                <w:sz w:val="13"/>
                <w:szCs w:val="13"/>
                <w:color w:val="auto"/>
                <w:w w:val="99"/>
              </w:rPr>
              <w:t>PARAA</w:t>
            </w:r>
          </w:p>
        </w:tc>
        <w:tc>
          <w:tcPr>
            <w:tcW w:w="4060" w:type="dxa"/>
            <w:vAlign w:val="bottom"/>
            <w:gridSpan w:val="3"/>
          </w:tcPr>
          <w:p>
            <w:pPr>
              <w:jc w:val="center"/>
              <w:ind w:right="460"/>
              <w:spacing w:after="0"/>
              <w:rPr>
                <w:sz w:val="20"/>
                <w:szCs w:val="20"/>
                <w:color w:val="auto"/>
              </w:rPr>
            </w:pPr>
            <w:r>
              <w:rPr>
                <w:rFonts w:ascii="Times New Roman" w:cs="Times New Roman" w:eastAsia="Times New Roman" w:hAnsi="Times New Roman"/>
                <w:sz w:val="13"/>
                <w:szCs w:val="13"/>
                <w:color w:val="auto"/>
              </w:rPr>
              <w:t>The Nasdaq Stock Market LLC</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760" w:type="dxa"/>
            <w:vAlign w:val="bottom"/>
            <w:gridSpan w:val="4"/>
          </w:tcPr>
          <w:p>
            <w:pPr>
              <w:jc w:val="center"/>
              <w:ind w:left="1389"/>
              <w:spacing w:after="0"/>
              <w:rPr>
                <w:sz w:val="20"/>
                <w:szCs w:val="20"/>
                <w:color w:val="auto"/>
              </w:rPr>
            </w:pPr>
            <w:r>
              <w:rPr>
                <w:rFonts w:ascii="Times New Roman" w:cs="Times New Roman" w:eastAsia="Times New Roman" w:hAnsi="Times New Roman"/>
                <w:sz w:val="13"/>
                <w:szCs w:val="13"/>
                <w:color w:val="auto"/>
              </w:rPr>
              <w:t>Class B Common Stock, $0.001 par value</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gridSpan w:val="2"/>
          </w:tcPr>
          <w:p>
            <w:pPr>
              <w:jc w:val="center"/>
              <w:ind w:right="541"/>
              <w:spacing w:after="0"/>
              <w:rPr>
                <w:sz w:val="20"/>
                <w:szCs w:val="20"/>
                <w:color w:val="auto"/>
              </w:rPr>
            </w:pPr>
            <w:r>
              <w:rPr>
                <w:rFonts w:ascii="Times New Roman" w:cs="Times New Roman" w:eastAsia="Times New Roman" w:hAnsi="Times New Roman"/>
                <w:sz w:val="13"/>
                <w:szCs w:val="13"/>
                <w:color w:val="auto"/>
                <w:w w:val="97"/>
              </w:rPr>
              <w:t>PARA</w:t>
            </w:r>
          </w:p>
        </w:tc>
        <w:tc>
          <w:tcPr>
            <w:tcW w:w="4060" w:type="dxa"/>
            <w:vAlign w:val="bottom"/>
            <w:gridSpan w:val="3"/>
          </w:tcPr>
          <w:p>
            <w:pPr>
              <w:jc w:val="center"/>
              <w:ind w:right="460"/>
              <w:spacing w:after="0"/>
              <w:rPr>
                <w:sz w:val="20"/>
                <w:szCs w:val="20"/>
                <w:color w:val="auto"/>
              </w:rPr>
            </w:pPr>
            <w:r>
              <w:rPr>
                <w:rFonts w:ascii="Times New Roman" w:cs="Times New Roman" w:eastAsia="Times New Roman" w:hAnsi="Times New Roman"/>
                <w:sz w:val="13"/>
                <w:szCs w:val="13"/>
                <w:color w:val="auto"/>
              </w:rPr>
              <w:t>The Nasdaq Stock Market LLC</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40" w:type="dxa"/>
            <w:vAlign w:val="bottom"/>
            <w:gridSpan w:val="8"/>
          </w:tcPr>
          <w:p>
            <w:pPr>
              <w:jc w:val="center"/>
              <w:ind w:right="376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760" w:type="dxa"/>
            <w:vAlign w:val="bottom"/>
            <w:gridSpan w:val="2"/>
          </w:tcPr>
          <w:p>
            <w:pPr>
              <w:jc w:val="center"/>
              <w:ind w:right="1241"/>
              <w:spacing w:after="0"/>
              <w:rPr>
                <w:sz w:val="20"/>
                <w:szCs w:val="20"/>
                <w:color w:val="auto"/>
              </w:rPr>
            </w:pPr>
            <w:r>
              <w:rPr>
                <w:rFonts w:ascii="Times New Roman" w:cs="Times New Roman" w:eastAsia="Times New Roman" w:hAnsi="Times New Roman"/>
                <w:sz w:val="13"/>
                <w:szCs w:val="13"/>
                <w:color w:val="auto"/>
                <w:w w:val="99"/>
              </w:rPr>
              <w:t>None</w:t>
            </w: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40" w:type="dxa"/>
            <w:vAlign w:val="bottom"/>
            <w:gridSpan w:val="3"/>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(Title of Class)</w:t>
            </w: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7160" w:type="dxa"/>
            <w:vAlign w:val="bottom"/>
            <w:gridSpan w:val="10"/>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of 1933). Yes </w:t>
            </w:r>
            <w:r>
              <w:rPr>
                <w:rFonts w:ascii="MS PGothic" w:cs="MS PGothic" w:eastAsia="MS PGothic" w:hAnsi="MS PGothic"/>
                <w:sz w:val="13"/>
                <w:szCs w:val="13"/>
                <w:color w:val="auto"/>
              </w:rPr>
              <w:t>☒</w:t>
            </w:r>
          </w:p>
        </w:tc>
        <w:tc>
          <w:tcPr>
            <w:tcW w:w="4060" w:type="dxa"/>
            <w:vAlign w:val="bottom"/>
            <w:gridSpan w:val="3"/>
          </w:tcPr>
          <w:p>
            <w:pPr>
              <w:ind w:left="8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2" w:lineRule="exact"/>
        <w:rPr>
          <w:sz w:val="24"/>
          <w:szCs w:val="24"/>
          <w:color w:val="auto"/>
        </w:rPr>
      </w:pPr>
    </w:p>
    <w:p>
      <w:pPr>
        <w:spacing w:after="0" w:line="150" w:lineRule="exact"/>
        <w:tabs>
          <w:tab w:leader="none" w:pos="8380" w:val="left"/>
        </w:tabs>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Securities Exchange Act of 1934.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120" w:lineRule="exact"/>
        <w:rPr>
          <w:sz w:val="24"/>
          <w:szCs w:val="24"/>
          <w:color w:val="auto"/>
        </w:rPr>
      </w:pPr>
    </w:p>
    <w:p>
      <w:pPr>
        <w:jc w:val="both"/>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jc w:val="both"/>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spacing w:after="0" w:line="57" w:lineRule="exact"/>
        <w:rPr>
          <w:sz w:val="24"/>
          <w:szCs w:val="24"/>
          <w:color w:val="auto"/>
        </w:rPr>
      </w:pPr>
    </w:p>
    <w:p>
      <w:pPr>
        <w:ind w:left="20"/>
        <w:spacing w:after="0" w:line="150" w:lineRule="exact"/>
        <w:tabs>
          <w:tab w:leader="none" w:pos="1700" w:val="left"/>
          <w:tab w:leader="none" w:pos="2560" w:val="left"/>
          <w:tab w:leader="none" w:pos="3940" w:val="left"/>
          <w:tab w:leader="none" w:pos="4640" w:val="left"/>
          <w:tab w:leader="none" w:pos="6120" w:val="left"/>
          <w:tab w:leader="none" w:pos="7060" w:val="left"/>
          <w:tab w:leader="none" w:pos="9500" w:val="left"/>
        </w:tabs>
        <w:rPr>
          <w:sz w:val="20"/>
          <w:szCs w:val="20"/>
          <w:color w:val="auto"/>
        </w:rPr>
      </w:pPr>
      <w:r>
        <w:rPr>
          <w:rFonts w:ascii="Times New Roman" w:cs="Times New Roman" w:eastAsia="Times New Roman" w:hAnsi="Times New Roman"/>
          <w:sz w:val="13"/>
          <w:szCs w:val="13"/>
          <w:color w:val="auto"/>
        </w:rPr>
        <w:t>Large 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Non-accelerated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Smaller reporting company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33" w:lineRule="exact"/>
        <w:rPr>
          <w:sz w:val="24"/>
          <w:szCs w:val="24"/>
          <w:color w:val="auto"/>
        </w:rPr>
      </w:pPr>
    </w:p>
    <w:p>
      <w:pPr>
        <w:jc w:val="both"/>
        <w:spacing w:after="0" w:line="17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1" w:lineRule="exact"/>
        <w:rPr>
          <w:sz w:val="24"/>
          <w:szCs w:val="24"/>
          <w:color w:val="auto"/>
        </w:rPr>
      </w:pPr>
    </w:p>
    <w:p>
      <w:pPr>
        <w:jc w:val="both"/>
        <w:spacing w:after="0" w:line="17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21" w:lineRule="exact"/>
        <w:rPr>
          <w:sz w:val="24"/>
          <w:szCs w:val="24"/>
          <w:color w:val="auto"/>
        </w:rPr>
      </w:pPr>
    </w:p>
    <w:p>
      <w:pPr>
        <w:jc w:val="both"/>
        <w:spacing w:after="0" w:line="176"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21" w:lineRule="exact"/>
        <w:rPr>
          <w:sz w:val="24"/>
          <w:szCs w:val="24"/>
          <w:color w:val="auto"/>
        </w:rPr>
      </w:pPr>
    </w:p>
    <w:p>
      <w:pPr>
        <w:jc w:val="both"/>
        <w:spacing w:after="0" w:line="176"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750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Securities Exchange Act of 1934).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82" w:lineRule="exact"/>
        <w:rPr>
          <w:sz w:val="24"/>
          <w:szCs w:val="24"/>
          <w:color w:val="auto"/>
        </w:rPr>
      </w:pPr>
    </w:p>
    <w:p>
      <w:pPr>
        <w:jc w:val="both"/>
        <w:spacing w:after="0" w:line="243" w:lineRule="auto"/>
        <w:rPr>
          <w:sz w:val="20"/>
          <w:szCs w:val="20"/>
          <w:color w:val="auto"/>
        </w:rPr>
      </w:pPr>
      <w:r>
        <w:rPr>
          <w:rFonts w:ascii="Times New Roman" w:cs="Times New Roman" w:eastAsia="Times New Roman" w:hAnsi="Times New Roman"/>
          <w:sz w:val="13"/>
          <w:szCs w:val="13"/>
          <w:color w:val="auto"/>
        </w:rPr>
        <w:t>As of June 28, 2024, which was the last business day of the registrant’s most recently completed second fiscal quarter, the market value of the shares of the registrant’s Class A Common Stock, $0.001 par value (“Class A Common Stock”), held by non-affiliates was approximately $169,145,406 (based upon the closing price of $18.38 per share as reported by The Nasdaq Stock Market LLC on that date) and the market value of the shares of the registrant’s Class B Common Stock, $0.001 par value (“Class B Common Stock”), held by non-affiliates was approximately $6,159,964,382 (based upon the closing price of $10.39 per share as reported by The Nasdaq Stock Market LLC on that date); and the aggregate market value of the shares of both Class A Common Stock and Class B Common Stock held by non-affiliates was $6,329,109,788.</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February 21, 2025, 40,702,683 shares of Class A Common Stock and 630,007,633 shares of Class B Common Stock were outstanding.</w:t>
      </w:r>
    </w:p>
    <w:p>
      <w:pPr>
        <w:spacing w:after="0" w:line="114"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18" w:lineRule="exact"/>
        <w:rPr>
          <w:sz w:val="24"/>
          <w:szCs w:val="24"/>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Portions of Paramount Global’s Notice of 2025 Annual Meeting of Stockholders and Proxy Statement to be filed with the Securities and Exchange Commission pursuant to Regulation 14A of the Securities Exchange Act of 1934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202565</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80645</wp:posOffset>
            </wp:positionV>
            <wp:extent cx="713486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55245</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58" w:right="339" w:bottom="1440" w:gutter="0" w:footer="0" w:header="0"/>
        </w:sectPr>
      </w:pPr>
    </w:p>
    <w:bookmarkStart w:id="1" w:name="page2"/>
    <w:bookmarkEnd w:id="1"/>
    <w:p>
      <w:pPr>
        <w:ind w:left="4540"/>
        <w:spacing w:after="0"/>
        <w:rPr>
          <w:sz w:val="20"/>
          <w:szCs w:val="20"/>
          <w:color w:val="auto"/>
        </w:rPr>
      </w:pPr>
      <w:r>
        <w:rPr>
          <w:rFonts w:ascii="Times New Roman" w:cs="Times New Roman" w:eastAsia="Times New Roman" w:hAnsi="Times New Roman"/>
          <w:sz w:val="19"/>
          <w:szCs w:val="19"/>
          <w:b w:val="1"/>
          <w:bCs w:val="1"/>
          <w:color w:val="auto"/>
        </w:rPr>
        <w:t>PARAMOUNT GLOBAL</w:t>
      </w:r>
    </w:p>
    <w:p>
      <w:pPr>
        <w:spacing w:after="0" w:line="12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8"/>
          </w:tcPr>
          <w:p>
            <w:pPr>
              <w:jc w:val="center"/>
              <w:ind w:right="360"/>
              <w:spacing w:after="0"/>
              <w:rPr>
                <w:sz w:val="20"/>
                <w:szCs w:val="20"/>
                <w:color w:val="auto"/>
              </w:rPr>
            </w:pPr>
            <w:r>
              <w:rPr>
                <w:rFonts w:ascii="Times New Roman" w:cs="Times New Roman" w:eastAsia="Times New Roman" w:hAnsi="Times New Roman"/>
                <w:sz w:val="19"/>
                <w:szCs w:val="19"/>
                <w:color w:val="auto"/>
              </w:rPr>
              <w:t>Page</w:t>
            </w:r>
          </w:p>
        </w:tc>
      </w:tr>
      <w:tr>
        <w:trPr>
          <w:trHeight w:val="494"/>
        </w:trPr>
        <w:tc>
          <w:tcPr>
            <w:tcW w:w="1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960" w:type="dxa"/>
            <w:vAlign w:val="bottom"/>
            <w:gridSpan w:val="9"/>
          </w:tcPr>
          <w:p>
            <w:pPr>
              <w:jc w:val="center"/>
              <w:ind w:right="4060"/>
              <w:spacing w:after="0"/>
              <w:rPr>
                <w:sz w:val="20"/>
                <w:szCs w:val="20"/>
                <w:color w:val="auto"/>
              </w:rPr>
            </w:pPr>
            <w:r>
              <w:rPr>
                <w:rFonts w:ascii="Times New Roman" w:cs="Times New Roman" w:eastAsia="Times New Roman" w:hAnsi="Times New Roman"/>
                <w:sz w:val="19"/>
                <w:szCs w:val="19"/>
                <w:color w:val="auto"/>
                <w:w w:val="97"/>
              </w:rPr>
              <w:t>PART I</w:t>
            </w:r>
          </w:p>
        </w:tc>
        <w:tc>
          <w:tcPr>
            <w:tcW w:w="2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8"/>
        </w:trPr>
        <w:tc>
          <w:tcPr>
            <w:tcW w:w="1560" w:type="dxa"/>
            <w:vAlign w:val="bottom"/>
          </w:tcPr>
          <w:p>
            <w:pPr>
              <w:ind w:left="40"/>
              <w:spacing w:after="0" w:line="208" w:lineRule="exact"/>
              <w:rPr>
                <w:sz w:val="20"/>
                <w:szCs w:val="20"/>
                <w:color w:val="auto"/>
              </w:rPr>
            </w:pPr>
            <w:r>
              <w:rPr>
                <w:rFonts w:ascii="Times New Roman" w:cs="Times New Roman" w:eastAsia="Times New Roman" w:hAnsi="Times New Roman"/>
                <w:sz w:val="19"/>
                <w:szCs w:val="19"/>
                <w:color w:val="auto"/>
              </w:rPr>
              <w:t>Item 1.</w:t>
            </w:r>
          </w:p>
        </w:tc>
        <w:tc>
          <w:tcPr>
            <w:tcW w:w="740" w:type="dxa"/>
            <w:vAlign w:val="bottom"/>
          </w:tcPr>
          <w:p>
            <w:pPr>
              <w:spacing w:after="0" w:line="208" w:lineRule="exact"/>
              <w:rPr>
                <w:sz w:val="20"/>
                <w:szCs w:val="20"/>
                <w:color w:val="auto"/>
              </w:rPr>
            </w:pPr>
            <w:r>
              <w:rPr>
                <w:rFonts w:ascii="Times New Roman" w:cs="Times New Roman" w:eastAsia="Times New Roman" w:hAnsi="Times New Roman"/>
                <w:sz w:val="19"/>
                <w:szCs w:val="19"/>
                <w:color w:val="0000FF"/>
                <w:w w:val="99"/>
              </w:rPr>
              <w:t>Business.</w:t>
            </w:r>
          </w:p>
        </w:tc>
        <w:tc>
          <w:tcPr>
            <w:tcW w:w="7860" w:type="dxa"/>
            <w:vAlign w:val="bottom"/>
            <w:gridSpan w:val="21"/>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6"/>
          </w:tcPr>
          <w:p>
            <w:pPr>
              <w:jc w:val="center"/>
              <w:ind w:right="440"/>
              <w:spacing w:after="0" w:line="208" w:lineRule="exact"/>
              <w:rPr>
                <w:sz w:val="20"/>
                <w:szCs w:val="20"/>
                <w:color w:val="auto"/>
              </w:rPr>
            </w:pPr>
            <w:r>
              <w:rPr>
                <w:rFonts w:ascii="Times New Roman" w:cs="Times New Roman" w:eastAsia="Times New Roman" w:hAnsi="Times New Roman"/>
                <w:sz w:val="19"/>
                <w:szCs w:val="19"/>
                <w:color w:val="0000FF"/>
                <w:w w:val="99"/>
              </w:rPr>
              <w:t>I-1</w:t>
            </w:r>
          </w:p>
        </w:tc>
      </w:tr>
      <w:tr>
        <w:trPr>
          <w:trHeight w:val="20"/>
        </w:trPr>
        <w:tc>
          <w:tcPr>
            <w:tcW w:w="15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285"/>
        </w:trPr>
        <w:tc>
          <w:tcPr>
            <w:tcW w:w="1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1A.</w:t>
            </w:r>
          </w:p>
        </w:tc>
        <w:tc>
          <w:tcPr>
            <w:tcW w:w="1020" w:type="dxa"/>
            <w:vAlign w:val="bottom"/>
            <w:gridSpan w:val="4"/>
          </w:tcPr>
          <w:p>
            <w:pPr>
              <w:spacing w:after="0"/>
              <w:rPr>
                <w:sz w:val="20"/>
                <w:szCs w:val="20"/>
                <w:color w:val="auto"/>
              </w:rPr>
            </w:pPr>
            <w:r>
              <w:rPr>
                <w:rFonts w:ascii="Times New Roman" w:cs="Times New Roman" w:eastAsia="Times New Roman" w:hAnsi="Times New Roman"/>
                <w:sz w:val="19"/>
                <w:szCs w:val="19"/>
                <w:color w:val="0000FF"/>
                <w:w w:val="99"/>
              </w:rPr>
              <w:t>Risk Factors.</w:t>
            </w:r>
          </w:p>
        </w:tc>
        <w:tc>
          <w:tcPr>
            <w:tcW w:w="7580" w:type="dxa"/>
            <w:vAlign w:val="bottom"/>
            <w:gridSpan w:val="18"/>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7"/>
          </w:tcPr>
          <w:p>
            <w:pPr>
              <w:jc w:val="center"/>
              <w:ind w:right="360"/>
              <w:spacing w:after="0"/>
              <w:rPr>
                <w:sz w:val="20"/>
                <w:szCs w:val="20"/>
                <w:color w:val="auto"/>
              </w:rPr>
            </w:pPr>
            <w:r>
              <w:rPr>
                <w:rFonts w:ascii="Times New Roman" w:cs="Times New Roman" w:eastAsia="Times New Roman" w:hAnsi="Times New Roman"/>
                <w:sz w:val="19"/>
                <w:szCs w:val="19"/>
                <w:color w:val="421BFF"/>
              </w:rPr>
              <w:t>I-14</w:t>
            </w:r>
          </w:p>
        </w:tc>
      </w:tr>
      <w:tr>
        <w:trPr>
          <w:trHeight w:val="20"/>
        </w:trPr>
        <w:tc>
          <w:tcPr>
            <w:tcW w:w="156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421BFF"/>
            </w:tcBorders>
          </w:tcPr>
          <w:p>
            <w:pPr>
              <w:spacing w:after="0" w:line="20" w:lineRule="exact"/>
              <w:rPr>
                <w:sz w:val="1"/>
                <w:szCs w:val="1"/>
                <w:color w:val="auto"/>
              </w:rPr>
            </w:pPr>
          </w:p>
        </w:tc>
        <w:tc>
          <w:tcPr>
            <w:tcW w:w="280" w:type="dxa"/>
            <w:vAlign w:val="bottom"/>
            <w:tcBorders>
              <w:right w:val="single" w:sz="8" w:color="421BFF"/>
            </w:tcBorders>
            <w:gridSpan w:val="2"/>
            <w:shd w:val="clear" w:color="auto" w:fill="421B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285"/>
        </w:trPr>
        <w:tc>
          <w:tcPr>
            <w:tcW w:w="1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1B.</w:t>
            </w:r>
          </w:p>
        </w:tc>
        <w:tc>
          <w:tcPr>
            <w:tcW w:w="2260" w:type="dxa"/>
            <w:vAlign w:val="bottom"/>
            <w:gridSpan w:val="10"/>
          </w:tcPr>
          <w:p>
            <w:pPr>
              <w:spacing w:after="0"/>
              <w:rPr>
                <w:sz w:val="20"/>
                <w:szCs w:val="20"/>
                <w:color w:val="auto"/>
              </w:rPr>
            </w:pPr>
            <w:r>
              <w:rPr>
                <w:rFonts w:ascii="Times New Roman" w:cs="Times New Roman" w:eastAsia="Times New Roman" w:hAnsi="Times New Roman"/>
                <w:sz w:val="19"/>
                <w:szCs w:val="19"/>
                <w:color w:val="0000FF"/>
              </w:rPr>
              <w:t>Unresolved Staff Comments.</w:t>
            </w:r>
          </w:p>
        </w:tc>
        <w:tc>
          <w:tcPr>
            <w:tcW w:w="6340" w:type="dxa"/>
            <w:vAlign w:val="bottom"/>
            <w:gridSpan w:val="12"/>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7"/>
          </w:tcPr>
          <w:p>
            <w:pPr>
              <w:jc w:val="center"/>
              <w:ind w:right="360"/>
              <w:spacing w:after="0"/>
              <w:rPr>
                <w:sz w:val="20"/>
                <w:szCs w:val="20"/>
                <w:color w:val="auto"/>
              </w:rPr>
            </w:pPr>
            <w:r>
              <w:rPr>
                <w:rFonts w:ascii="Times New Roman" w:cs="Times New Roman" w:eastAsia="Times New Roman" w:hAnsi="Times New Roman"/>
                <w:sz w:val="19"/>
                <w:szCs w:val="19"/>
                <w:color w:val="421BFF"/>
              </w:rPr>
              <w:t>I-41</w:t>
            </w:r>
          </w:p>
        </w:tc>
      </w:tr>
      <w:tr>
        <w:trPr>
          <w:trHeight w:val="20"/>
        </w:trPr>
        <w:tc>
          <w:tcPr>
            <w:tcW w:w="156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421BFF"/>
            </w:tcBorders>
          </w:tcPr>
          <w:p>
            <w:pPr>
              <w:spacing w:after="0" w:line="20" w:lineRule="exact"/>
              <w:rPr>
                <w:sz w:val="1"/>
                <w:szCs w:val="1"/>
                <w:color w:val="auto"/>
              </w:rPr>
            </w:pPr>
          </w:p>
        </w:tc>
        <w:tc>
          <w:tcPr>
            <w:tcW w:w="280" w:type="dxa"/>
            <w:vAlign w:val="bottom"/>
            <w:tcBorders>
              <w:right w:val="single" w:sz="8" w:color="421BFF"/>
            </w:tcBorders>
            <w:gridSpan w:val="2"/>
            <w:shd w:val="clear" w:color="auto" w:fill="421B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285"/>
        </w:trPr>
        <w:tc>
          <w:tcPr>
            <w:tcW w:w="1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1C.</w:t>
            </w:r>
          </w:p>
        </w:tc>
        <w:tc>
          <w:tcPr>
            <w:tcW w:w="1120" w:type="dxa"/>
            <w:vAlign w:val="bottom"/>
            <w:gridSpan w:val="5"/>
          </w:tcPr>
          <w:p>
            <w:pPr>
              <w:spacing w:after="0"/>
              <w:rPr>
                <w:sz w:val="20"/>
                <w:szCs w:val="20"/>
                <w:color w:val="auto"/>
              </w:rPr>
            </w:pPr>
            <w:r>
              <w:rPr>
                <w:rFonts w:ascii="Times New Roman" w:cs="Times New Roman" w:eastAsia="Times New Roman" w:hAnsi="Times New Roman"/>
                <w:sz w:val="19"/>
                <w:szCs w:val="19"/>
                <w:color w:val="0000FF"/>
                <w:w w:val="98"/>
              </w:rPr>
              <w:t>Cybersecurity.</w:t>
            </w:r>
          </w:p>
        </w:tc>
        <w:tc>
          <w:tcPr>
            <w:tcW w:w="1140" w:type="dxa"/>
            <w:vAlign w:val="bottom"/>
            <w:gridSpan w:val="5"/>
          </w:tcPr>
          <w:p>
            <w:pPr>
              <w:spacing w:after="0"/>
              <w:rPr>
                <w:sz w:val="24"/>
                <w:szCs w:val="24"/>
                <w:color w:val="auto"/>
              </w:rPr>
            </w:pPr>
          </w:p>
        </w:tc>
        <w:tc>
          <w:tcPr>
            <w:tcW w:w="6340" w:type="dxa"/>
            <w:vAlign w:val="bottom"/>
            <w:gridSpan w:val="12"/>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7"/>
          </w:tcPr>
          <w:p>
            <w:pPr>
              <w:jc w:val="center"/>
              <w:ind w:right="360"/>
              <w:spacing w:after="0"/>
              <w:rPr>
                <w:sz w:val="20"/>
                <w:szCs w:val="20"/>
                <w:color w:val="auto"/>
              </w:rPr>
            </w:pPr>
            <w:r>
              <w:rPr>
                <w:rFonts w:ascii="Times New Roman" w:cs="Times New Roman" w:eastAsia="Times New Roman" w:hAnsi="Times New Roman"/>
                <w:sz w:val="19"/>
                <w:szCs w:val="19"/>
                <w:color w:val="421BFF"/>
              </w:rPr>
              <w:t>I-41</w:t>
            </w:r>
          </w:p>
        </w:tc>
      </w:tr>
      <w:tr>
        <w:trPr>
          <w:trHeight w:val="20"/>
        </w:trPr>
        <w:tc>
          <w:tcPr>
            <w:tcW w:w="156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421BFF"/>
            </w:tcBorders>
          </w:tcPr>
          <w:p>
            <w:pPr>
              <w:spacing w:after="0" w:line="20" w:lineRule="exact"/>
              <w:rPr>
                <w:sz w:val="1"/>
                <w:szCs w:val="1"/>
                <w:color w:val="auto"/>
              </w:rPr>
            </w:pPr>
          </w:p>
        </w:tc>
        <w:tc>
          <w:tcPr>
            <w:tcW w:w="280" w:type="dxa"/>
            <w:vAlign w:val="bottom"/>
            <w:tcBorders>
              <w:right w:val="single" w:sz="8" w:color="421BFF"/>
            </w:tcBorders>
            <w:gridSpan w:val="2"/>
            <w:shd w:val="clear" w:color="auto" w:fill="421B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285"/>
        </w:trPr>
        <w:tc>
          <w:tcPr>
            <w:tcW w:w="1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2.</w:t>
            </w:r>
          </w:p>
        </w:tc>
        <w:tc>
          <w:tcPr>
            <w:tcW w:w="800" w:type="dxa"/>
            <w:vAlign w:val="bottom"/>
            <w:gridSpan w:val="2"/>
          </w:tcPr>
          <w:p>
            <w:pPr>
              <w:spacing w:after="0"/>
              <w:rPr>
                <w:sz w:val="20"/>
                <w:szCs w:val="20"/>
                <w:color w:val="auto"/>
              </w:rPr>
            </w:pPr>
            <w:r>
              <w:rPr>
                <w:rFonts w:ascii="Times New Roman" w:cs="Times New Roman" w:eastAsia="Times New Roman" w:hAnsi="Times New Roman"/>
                <w:sz w:val="19"/>
                <w:szCs w:val="19"/>
                <w:color w:val="0000FF"/>
                <w:w w:val="92"/>
              </w:rPr>
              <w:t>Properties.</w:t>
            </w:r>
          </w:p>
        </w:tc>
        <w:tc>
          <w:tcPr>
            <w:tcW w:w="320" w:type="dxa"/>
            <w:vAlign w:val="bottom"/>
            <w:gridSpan w:val="3"/>
          </w:tcPr>
          <w:p>
            <w:pPr>
              <w:spacing w:after="0"/>
              <w:rPr>
                <w:sz w:val="24"/>
                <w:szCs w:val="24"/>
                <w:color w:val="auto"/>
              </w:rPr>
            </w:pPr>
          </w:p>
        </w:tc>
        <w:tc>
          <w:tcPr>
            <w:tcW w:w="7480" w:type="dxa"/>
            <w:vAlign w:val="bottom"/>
            <w:gridSpan w:val="17"/>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7"/>
          </w:tcPr>
          <w:p>
            <w:pPr>
              <w:jc w:val="center"/>
              <w:ind w:right="360"/>
              <w:spacing w:after="0"/>
              <w:rPr>
                <w:sz w:val="20"/>
                <w:szCs w:val="20"/>
                <w:color w:val="auto"/>
              </w:rPr>
            </w:pPr>
            <w:r>
              <w:rPr>
                <w:rFonts w:ascii="Times New Roman" w:cs="Times New Roman" w:eastAsia="Times New Roman" w:hAnsi="Times New Roman"/>
                <w:sz w:val="19"/>
                <w:szCs w:val="19"/>
                <w:color w:val="421BFF"/>
              </w:rPr>
              <w:t>I-42</w:t>
            </w:r>
          </w:p>
        </w:tc>
      </w:tr>
      <w:tr>
        <w:trPr>
          <w:trHeight w:val="20"/>
        </w:trPr>
        <w:tc>
          <w:tcPr>
            <w:tcW w:w="15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421BFF"/>
            </w:tcBorders>
          </w:tcPr>
          <w:p>
            <w:pPr>
              <w:spacing w:after="0" w:line="20" w:lineRule="exact"/>
              <w:rPr>
                <w:sz w:val="1"/>
                <w:szCs w:val="1"/>
                <w:color w:val="auto"/>
              </w:rPr>
            </w:pPr>
          </w:p>
        </w:tc>
        <w:tc>
          <w:tcPr>
            <w:tcW w:w="220" w:type="dxa"/>
            <w:vAlign w:val="bottom"/>
            <w:shd w:val="clear" w:color="auto" w:fill="421BFF"/>
          </w:tcPr>
          <w:p>
            <w:pPr>
              <w:spacing w:after="0" w:line="20" w:lineRule="exact"/>
              <w:rPr>
                <w:sz w:val="1"/>
                <w:szCs w:val="1"/>
                <w:color w:val="auto"/>
              </w:rPr>
            </w:pPr>
          </w:p>
        </w:tc>
        <w:tc>
          <w:tcPr>
            <w:tcW w:w="60" w:type="dxa"/>
            <w:vAlign w:val="bottom"/>
            <w:tcBorders>
              <w:right w:val="single" w:sz="8" w:color="421BFF"/>
            </w:tcBorders>
            <w:shd w:val="clear" w:color="auto" w:fill="421B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5"/>
        </w:trPr>
        <w:tc>
          <w:tcPr>
            <w:tcW w:w="1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3.</w:t>
            </w:r>
          </w:p>
        </w:tc>
        <w:tc>
          <w:tcPr>
            <w:tcW w:w="8600" w:type="dxa"/>
            <w:vAlign w:val="bottom"/>
            <w:gridSpan w:val="22"/>
          </w:tcPr>
          <w:p>
            <w:pPr>
              <w:spacing w:after="0"/>
              <w:rPr>
                <w:sz w:val="20"/>
                <w:szCs w:val="20"/>
                <w:color w:val="auto"/>
              </w:rPr>
            </w:pPr>
            <w:r>
              <w:rPr>
                <w:rFonts w:ascii="Times New Roman" w:cs="Times New Roman" w:eastAsia="Times New Roman" w:hAnsi="Times New Roman"/>
                <w:sz w:val="19"/>
                <w:szCs w:val="19"/>
                <w:color w:val="0000FF"/>
              </w:rPr>
              <w:t>Legal Proceedings.</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7"/>
          </w:tcPr>
          <w:p>
            <w:pPr>
              <w:jc w:val="center"/>
              <w:ind w:right="360"/>
              <w:spacing w:after="0"/>
              <w:rPr>
                <w:sz w:val="20"/>
                <w:szCs w:val="20"/>
                <w:color w:val="auto"/>
              </w:rPr>
            </w:pPr>
            <w:r>
              <w:rPr>
                <w:rFonts w:ascii="Times New Roman" w:cs="Times New Roman" w:eastAsia="Times New Roman" w:hAnsi="Times New Roman"/>
                <w:sz w:val="19"/>
                <w:szCs w:val="19"/>
                <w:color w:val="421BFF"/>
              </w:rPr>
              <w:t>I-43</w:t>
            </w:r>
          </w:p>
        </w:tc>
      </w:tr>
      <w:tr>
        <w:trPr>
          <w:trHeight w:val="20"/>
        </w:trPr>
        <w:tc>
          <w:tcPr>
            <w:tcW w:w="15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421BFF"/>
            </w:tcBorders>
          </w:tcPr>
          <w:p>
            <w:pPr>
              <w:spacing w:after="0" w:line="20" w:lineRule="exact"/>
              <w:rPr>
                <w:sz w:val="1"/>
                <w:szCs w:val="1"/>
                <w:color w:val="auto"/>
              </w:rPr>
            </w:pPr>
          </w:p>
        </w:tc>
        <w:tc>
          <w:tcPr>
            <w:tcW w:w="220" w:type="dxa"/>
            <w:vAlign w:val="bottom"/>
            <w:shd w:val="clear" w:color="auto" w:fill="421BFF"/>
          </w:tcPr>
          <w:p>
            <w:pPr>
              <w:spacing w:after="0" w:line="20" w:lineRule="exact"/>
              <w:rPr>
                <w:sz w:val="1"/>
                <w:szCs w:val="1"/>
                <w:color w:val="auto"/>
              </w:rPr>
            </w:pPr>
          </w:p>
        </w:tc>
        <w:tc>
          <w:tcPr>
            <w:tcW w:w="60" w:type="dxa"/>
            <w:vAlign w:val="bottom"/>
            <w:tcBorders>
              <w:right w:val="single" w:sz="8" w:color="421BFF"/>
            </w:tcBorders>
            <w:shd w:val="clear" w:color="auto" w:fill="421B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5"/>
        </w:trPr>
        <w:tc>
          <w:tcPr>
            <w:tcW w:w="1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4.</w:t>
            </w:r>
          </w:p>
        </w:tc>
        <w:tc>
          <w:tcPr>
            <w:tcW w:w="8600" w:type="dxa"/>
            <w:vAlign w:val="bottom"/>
            <w:gridSpan w:val="22"/>
          </w:tcPr>
          <w:p>
            <w:pPr>
              <w:spacing w:after="0"/>
              <w:rPr>
                <w:sz w:val="20"/>
                <w:szCs w:val="20"/>
                <w:color w:val="auto"/>
              </w:rPr>
            </w:pPr>
            <w:r>
              <w:rPr>
                <w:rFonts w:ascii="Times New Roman" w:cs="Times New Roman" w:eastAsia="Times New Roman" w:hAnsi="Times New Roman"/>
                <w:sz w:val="19"/>
                <w:szCs w:val="19"/>
                <w:color w:val="0000FF"/>
              </w:rPr>
              <w:t>Mine Safety Disclosures.</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7"/>
          </w:tcPr>
          <w:p>
            <w:pPr>
              <w:jc w:val="center"/>
              <w:ind w:right="360"/>
              <w:spacing w:after="0"/>
              <w:rPr>
                <w:sz w:val="20"/>
                <w:szCs w:val="20"/>
                <w:color w:val="auto"/>
              </w:rPr>
            </w:pPr>
            <w:r>
              <w:rPr>
                <w:rFonts w:ascii="Times New Roman" w:cs="Times New Roman" w:eastAsia="Times New Roman" w:hAnsi="Times New Roman"/>
                <w:sz w:val="19"/>
                <w:szCs w:val="19"/>
                <w:color w:val="421BFF"/>
              </w:rPr>
              <w:t>I-43</w:t>
            </w:r>
          </w:p>
        </w:tc>
      </w:tr>
      <w:tr>
        <w:trPr>
          <w:trHeight w:val="383"/>
        </w:trPr>
        <w:tc>
          <w:tcPr>
            <w:tcW w:w="156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960" w:type="dxa"/>
            <w:vAlign w:val="bottom"/>
            <w:gridSpan w:val="9"/>
          </w:tcPr>
          <w:p>
            <w:pPr>
              <w:jc w:val="center"/>
              <w:ind w:right="4060"/>
              <w:spacing w:after="0"/>
              <w:rPr>
                <w:sz w:val="20"/>
                <w:szCs w:val="20"/>
                <w:color w:val="auto"/>
              </w:rPr>
            </w:pPr>
            <w:r>
              <w:rPr>
                <w:rFonts w:ascii="Times New Roman" w:cs="Times New Roman" w:eastAsia="Times New Roman" w:hAnsi="Times New Roman"/>
                <w:sz w:val="19"/>
                <w:szCs w:val="19"/>
                <w:color w:val="auto"/>
                <w:w w:val="99"/>
              </w:rPr>
              <w:t>PART II</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top w:val="single" w:sz="8" w:color="421BFF"/>
            </w:tcBorders>
          </w:tcPr>
          <w:p>
            <w:pPr>
              <w:spacing w:after="0"/>
              <w:rPr>
                <w:sz w:val="24"/>
                <w:szCs w:val="24"/>
                <w:color w:val="auto"/>
              </w:rPr>
            </w:pPr>
          </w:p>
        </w:tc>
        <w:tc>
          <w:tcPr>
            <w:tcW w:w="60" w:type="dxa"/>
            <w:vAlign w:val="bottom"/>
            <w:tcBorders>
              <w:top w:val="single" w:sz="8" w:color="421BFF"/>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0"/>
        </w:trPr>
        <w:tc>
          <w:tcPr>
            <w:tcW w:w="1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5.</w:t>
            </w:r>
          </w:p>
        </w:tc>
        <w:tc>
          <w:tcPr>
            <w:tcW w:w="8600" w:type="dxa"/>
            <w:vAlign w:val="bottom"/>
            <w:gridSpan w:val="22"/>
          </w:tcPr>
          <w:p>
            <w:pPr>
              <w:spacing w:after="0"/>
              <w:rPr>
                <w:sz w:val="20"/>
                <w:szCs w:val="20"/>
                <w:color w:val="auto"/>
              </w:rPr>
            </w:pPr>
            <w:r>
              <w:rPr>
                <w:rFonts w:ascii="Times New Roman" w:cs="Times New Roman" w:eastAsia="Times New Roman" w:hAnsi="Times New Roman"/>
                <w:sz w:val="19"/>
                <w:szCs w:val="19"/>
                <w:color w:val="0000FF"/>
              </w:rPr>
              <w:t>Market for Paramount Global’s Common Equity, Related Stockholder Matters and Purchases of Equity</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gridSpan w:val="6"/>
          </w:tcPr>
          <w:p>
            <w:pPr>
              <w:jc w:val="center"/>
              <w:ind w:right="400"/>
              <w:spacing w:after="0"/>
              <w:rPr>
                <w:sz w:val="20"/>
                <w:szCs w:val="20"/>
                <w:color w:val="auto"/>
              </w:rPr>
            </w:pPr>
            <w:r>
              <w:rPr>
                <w:rFonts w:ascii="Times New Roman" w:cs="Times New Roman" w:eastAsia="Times New Roman" w:hAnsi="Times New Roman"/>
                <w:sz w:val="19"/>
                <w:szCs w:val="19"/>
                <w:color w:val="421BFF"/>
                <w:w w:val="91"/>
              </w:rPr>
              <w:t>II-1</w:t>
            </w:r>
          </w:p>
        </w:tc>
      </w:tr>
      <w:tr>
        <w:trPr>
          <w:trHeight w:val="179"/>
        </w:trPr>
        <w:tc>
          <w:tcPr>
            <w:tcW w:w="1560" w:type="dxa"/>
            <w:vAlign w:val="bottom"/>
          </w:tcPr>
          <w:p>
            <w:pPr>
              <w:spacing w:after="0"/>
              <w:rPr>
                <w:sz w:val="15"/>
                <w:szCs w:val="15"/>
                <w:color w:val="auto"/>
              </w:rPr>
            </w:pPr>
          </w:p>
        </w:tc>
        <w:tc>
          <w:tcPr>
            <w:tcW w:w="8000" w:type="dxa"/>
            <w:vAlign w:val="bottom"/>
            <w:tcBorders>
              <w:top w:val="single" w:sz="8" w:color="0000FF"/>
            </w:tcBorders>
            <w:gridSpan w:val="21"/>
          </w:tcPr>
          <w:p>
            <w:pPr>
              <w:spacing w:after="0" w:line="179" w:lineRule="exact"/>
              <w:rPr>
                <w:sz w:val="20"/>
                <w:szCs w:val="20"/>
                <w:color w:val="auto"/>
              </w:rPr>
            </w:pPr>
            <w:r>
              <w:rPr>
                <w:rFonts w:ascii="Times New Roman" w:cs="Times New Roman" w:eastAsia="Times New Roman" w:hAnsi="Times New Roman"/>
                <w:sz w:val="19"/>
                <w:szCs w:val="19"/>
                <w:color w:val="0000FF"/>
              </w:rPr>
              <w:t>Securities.</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top w:val="single" w:sz="8" w:color="421BFF"/>
            </w:tcBorders>
          </w:tcPr>
          <w:p>
            <w:pPr>
              <w:spacing w:after="0"/>
              <w:rPr>
                <w:sz w:val="15"/>
                <w:szCs w:val="15"/>
                <w:color w:val="auto"/>
              </w:rPr>
            </w:pPr>
          </w:p>
        </w:tc>
        <w:tc>
          <w:tcPr>
            <w:tcW w:w="60" w:type="dxa"/>
            <w:vAlign w:val="bottom"/>
            <w:tcBorders>
              <w:top w:val="single" w:sz="8" w:color="421BFF"/>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56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271"/>
        </w:trPr>
        <w:tc>
          <w:tcPr>
            <w:tcW w:w="1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7.</w:t>
            </w:r>
          </w:p>
        </w:tc>
        <w:tc>
          <w:tcPr>
            <w:tcW w:w="70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9"/>
                <w:szCs w:val="19"/>
                <w:color w:val="0000FF"/>
              </w:rPr>
              <w:t>Management’s Discussion and Analysis of Results of Operations and Financial Condition.</w:t>
            </w:r>
          </w:p>
        </w:tc>
        <w:tc>
          <w:tcPr>
            <w:tcW w:w="1580" w:type="dxa"/>
            <w:vAlign w:val="bottom"/>
            <w:gridSpan w:val="4"/>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Borders>
              <w:bottom w:val="single" w:sz="8" w:color="421BFF"/>
            </w:tcBorders>
            <w:gridSpan w:val="2"/>
          </w:tcPr>
          <w:p>
            <w:pPr>
              <w:jc w:val="center"/>
              <w:ind w:right="20"/>
              <w:spacing w:after="0"/>
              <w:rPr>
                <w:sz w:val="20"/>
                <w:szCs w:val="20"/>
                <w:color w:val="auto"/>
              </w:rPr>
            </w:pPr>
            <w:r>
              <w:rPr>
                <w:rFonts w:ascii="Times New Roman" w:cs="Times New Roman" w:eastAsia="Times New Roman" w:hAnsi="Times New Roman"/>
                <w:sz w:val="19"/>
                <w:szCs w:val="19"/>
                <w:color w:val="421BFF"/>
                <w:w w:val="91"/>
              </w:rPr>
              <w:t>II-3</w:t>
            </w:r>
          </w:p>
        </w:tc>
        <w:tc>
          <w:tcPr>
            <w:tcW w:w="380" w:type="dxa"/>
            <w:vAlign w:val="bottom"/>
            <w:gridSpan w:val="4"/>
          </w:tcPr>
          <w:p>
            <w:pPr>
              <w:spacing w:after="0"/>
              <w:rPr>
                <w:sz w:val="23"/>
                <w:szCs w:val="23"/>
                <w:color w:val="auto"/>
              </w:rPr>
            </w:pPr>
          </w:p>
        </w:tc>
      </w:tr>
      <w:tr>
        <w:trPr>
          <w:trHeight w:val="285"/>
        </w:trPr>
        <w:tc>
          <w:tcPr>
            <w:tcW w:w="1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7A.</w:t>
            </w:r>
          </w:p>
        </w:tc>
        <w:tc>
          <w:tcPr>
            <w:tcW w:w="8600" w:type="dxa"/>
            <w:vAlign w:val="bottom"/>
            <w:gridSpan w:val="22"/>
          </w:tcPr>
          <w:p>
            <w:pPr>
              <w:spacing w:after="0"/>
              <w:rPr>
                <w:sz w:val="20"/>
                <w:szCs w:val="20"/>
                <w:color w:val="auto"/>
              </w:rPr>
            </w:pPr>
            <w:r>
              <w:rPr>
                <w:rFonts w:ascii="Times New Roman" w:cs="Times New Roman" w:eastAsia="Times New Roman" w:hAnsi="Times New Roman"/>
                <w:sz w:val="19"/>
                <w:szCs w:val="19"/>
                <w:color w:val="0000FF"/>
              </w:rPr>
              <w:t>Quantitative and Qualitative Disclosures About Market Risk</w:t>
            </w:r>
            <w:r>
              <w:rPr>
                <w:rFonts w:ascii="Times New Roman" w:cs="Times New Roman" w:eastAsia="Times New Roman" w:hAnsi="Times New Roman"/>
                <w:sz w:val="19"/>
                <w:szCs w:val="19"/>
                <w:u w:val="single" w:color="auto"/>
                <w:color w:val="000000"/>
              </w:rPr>
              <w:t>.</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8"/>
          </w:tcPr>
          <w:p>
            <w:pPr>
              <w:jc w:val="center"/>
              <w:ind w:right="360"/>
              <w:spacing w:after="0"/>
              <w:rPr>
                <w:sz w:val="20"/>
                <w:szCs w:val="20"/>
                <w:color w:val="auto"/>
              </w:rPr>
            </w:pPr>
            <w:r>
              <w:rPr>
                <w:rFonts w:ascii="Times New Roman" w:cs="Times New Roman" w:eastAsia="Times New Roman" w:hAnsi="Times New Roman"/>
                <w:sz w:val="19"/>
                <w:szCs w:val="19"/>
                <w:color w:val="421BFF"/>
                <w:w w:val="99"/>
              </w:rPr>
              <w:t>II-37</w:t>
            </w:r>
          </w:p>
        </w:tc>
      </w:tr>
      <w:tr>
        <w:trPr>
          <w:trHeight w:val="285"/>
        </w:trPr>
        <w:tc>
          <w:tcPr>
            <w:tcW w:w="1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8.</w:t>
            </w:r>
          </w:p>
        </w:tc>
        <w:tc>
          <w:tcPr>
            <w:tcW w:w="364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9"/>
                <w:szCs w:val="19"/>
                <w:color w:val="0000FF"/>
              </w:rPr>
              <w:t>Financial Statements and Supplementary Data.</w:t>
            </w:r>
          </w:p>
        </w:tc>
        <w:tc>
          <w:tcPr>
            <w:tcW w:w="1060" w:type="dxa"/>
            <w:vAlign w:val="bottom"/>
            <w:tcBorders>
              <w:top w:val="single" w:sz="8" w:color="0000FF"/>
            </w:tcBorders>
            <w:gridSpan w:val="2"/>
          </w:tcPr>
          <w:p>
            <w:pPr>
              <w:spacing w:after="0"/>
              <w:rPr>
                <w:sz w:val="24"/>
                <w:szCs w:val="24"/>
                <w:color w:val="auto"/>
              </w:rPr>
            </w:pPr>
          </w:p>
        </w:tc>
        <w:tc>
          <w:tcPr>
            <w:tcW w:w="3900" w:type="dxa"/>
            <w:vAlign w:val="bottom"/>
            <w:gridSpan w:val="7"/>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Borders>
              <w:top w:val="single" w:sz="8" w:color="421BFF"/>
              <w:bottom w:val="single" w:sz="8" w:color="421BFF"/>
            </w:tcBorders>
            <w:gridSpan w:val="5"/>
          </w:tcPr>
          <w:p>
            <w:pPr>
              <w:jc w:val="center"/>
              <w:ind w:right="20"/>
              <w:spacing w:after="0"/>
              <w:rPr>
                <w:sz w:val="20"/>
                <w:szCs w:val="20"/>
                <w:color w:val="auto"/>
              </w:rPr>
            </w:pPr>
            <w:r>
              <w:rPr>
                <w:rFonts w:ascii="Times New Roman" w:cs="Times New Roman" w:eastAsia="Times New Roman" w:hAnsi="Times New Roman"/>
                <w:sz w:val="19"/>
                <w:szCs w:val="19"/>
                <w:color w:val="421BFF"/>
                <w:w w:val="99"/>
              </w:rPr>
              <w:t>II-38</w:t>
            </w:r>
          </w:p>
        </w:tc>
        <w:tc>
          <w:tcPr>
            <w:tcW w:w="340" w:type="dxa"/>
            <w:vAlign w:val="bottom"/>
            <w:gridSpan w:val="3"/>
          </w:tcPr>
          <w:p>
            <w:pPr>
              <w:spacing w:after="0"/>
              <w:rPr>
                <w:sz w:val="24"/>
                <w:szCs w:val="24"/>
                <w:color w:val="auto"/>
              </w:rPr>
            </w:pPr>
          </w:p>
        </w:tc>
      </w:tr>
      <w:tr>
        <w:trPr>
          <w:trHeight w:val="285"/>
        </w:trPr>
        <w:tc>
          <w:tcPr>
            <w:tcW w:w="1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9.</w:t>
            </w:r>
          </w:p>
        </w:tc>
        <w:tc>
          <w:tcPr>
            <w:tcW w:w="8600" w:type="dxa"/>
            <w:vAlign w:val="bottom"/>
            <w:gridSpan w:val="22"/>
          </w:tcPr>
          <w:p>
            <w:pPr>
              <w:spacing w:after="0"/>
              <w:rPr>
                <w:sz w:val="20"/>
                <w:szCs w:val="20"/>
                <w:color w:val="auto"/>
              </w:rPr>
            </w:pPr>
            <w:r>
              <w:rPr>
                <w:rFonts w:ascii="Times New Roman" w:cs="Times New Roman" w:eastAsia="Times New Roman" w:hAnsi="Times New Roman"/>
                <w:sz w:val="19"/>
                <w:szCs w:val="19"/>
                <w:color w:val="0000FF"/>
              </w:rPr>
              <w:t>Changes in and Disagreements With Accountants on Accounting and Financial Disclosure.</w:t>
            </w:r>
          </w:p>
        </w:tc>
        <w:tc>
          <w:tcPr>
            <w:tcW w:w="1080" w:type="dxa"/>
            <w:vAlign w:val="bottom"/>
            <w:gridSpan w:val="10"/>
          </w:tcPr>
          <w:p>
            <w:pPr>
              <w:jc w:val="center"/>
              <w:ind w:right="20"/>
              <w:spacing w:after="0"/>
              <w:rPr>
                <w:sz w:val="20"/>
                <w:szCs w:val="20"/>
                <w:color w:val="auto"/>
              </w:rPr>
            </w:pPr>
            <w:r>
              <w:rPr>
                <w:rFonts w:ascii="Times New Roman" w:cs="Times New Roman" w:eastAsia="Times New Roman" w:hAnsi="Times New Roman"/>
                <w:sz w:val="19"/>
                <w:szCs w:val="19"/>
                <w:color w:val="421BFF"/>
              </w:rPr>
              <w:t>II-100</w:t>
            </w:r>
          </w:p>
        </w:tc>
      </w:tr>
      <w:tr>
        <w:trPr>
          <w:trHeight w:val="285"/>
        </w:trPr>
        <w:tc>
          <w:tcPr>
            <w:tcW w:w="1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9A.</w:t>
            </w:r>
          </w:p>
        </w:tc>
        <w:tc>
          <w:tcPr>
            <w:tcW w:w="19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9"/>
                <w:szCs w:val="19"/>
                <w:color w:val="0000FF"/>
              </w:rPr>
              <w:t>Controls and Procedures.</w:t>
            </w:r>
          </w:p>
        </w:tc>
        <w:tc>
          <w:tcPr>
            <w:tcW w:w="5100" w:type="dxa"/>
            <w:vAlign w:val="bottom"/>
            <w:tcBorders>
              <w:top w:val="single" w:sz="8" w:color="0000FF"/>
            </w:tcBorders>
            <w:gridSpan w:val="11"/>
          </w:tcPr>
          <w:p>
            <w:pPr>
              <w:spacing w:after="0"/>
              <w:rPr>
                <w:sz w:val="24"/>
                <w:szCs w:val="24"/>
                <w:color w:val="auto"/>
              </w:rPr>
            </w:pPr>
          </w:p>
        </w:tc>
        <w:tc>
          <w:tcPr>
            <w:tcW w:w="154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top w:val="single" w:sz="8" w:color="421BFF"/>
              <w:bottom w:val="single" w:sz="8" w:color="421BFF"/>
            </w:tcBorders>
            <w:gridSpan w:val="7"/>
          </w:tcPr>
          <w:p>
            <w:pPr>
              <w:jc w:val="center"/>
              <w:spacing w:after="0"/>
              <w:rPr>
                <w:sz w:val="20"/>
                <w:szCs w:val="20"/>
                <w:color w:val="auto"/>
              </w:rPr>
            </w:pPr>
            <w:r>
              <w:rPr>
                <w:rFonts w:ascii="Times New Roman" w:cs="Times New Roman" w:eastAsia="Times New Roman" w:hAnsi="Times New Roman"/>
                <w:sz w:val="19"/>
                <w:szCs w:val="19"/>
                <w:color w:val="421BFF"/>
              </w:rPr>
              <w:t>II-100</w:t>
            </w:r>
          </w:p>
        </w:tc>
        <w:tc>
          <w:tcPr>
            <w:tcW w:w="300" w:type="dxa"/>
            <w:vAlign w:val="bottom"/>
            <w:gridSpan w:val="2"/>
          </w:tcPr>
          <w:p>
            <w:pPr>
              <w:spacing w:after="0"/>
              <w:rPr>
                <w:sz w:val="24"/>
                <w:szCs w:val="24"/>
                <w:color w:val="auto"/>
              </w:rPr>
            </w:pPr>
          </w:p>
        </w:tc>
      </w:tr>
      <w:tr>
        <w:trPr>
          <w:trHeight w:val="285"/>
        </w:trPr>
        <w:tc>
          <w:tcPr>
            <w:tcW w:w="1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9B.</w:t>
            </w:r>
          </w:p>
        </w:tc>
        <w:tc>
          <w:tcPr>
            <w:tcW w:w="8600" w:type="dxa"/>
            <w:vAlign w:val="bottom"/>
            <w:gridSpan w:val="22"/>
          </w:tcPr>
          <w:p>
            <w:pPr>
              <w:spacing w:after="0"/>
              <w:rPr>
                <w:sz w:val="20"/>
                <w:szCs w:val="20"/>
                <w:color w:val="auto"/>
              </w:rPr>
            </w:pPr>
            <w:r>
              <w:rPr>
                <w:rFonts w:ascii="Times New Roman" w:cs="Times New Roman" w:eastAsia="Times New Roman" w:hAnsi="Times New Roman"/>
                <w:sz w:val="19"/>
                <w:szCs w:val="19"/>
                <w:color w:val="0000FF"/>
              </w:rPr>
              <w:t>Other Information.</w:t>
            </w:r>
          </w:p>
        </w:tc>
        <w:tc>
          <w:tcPr>
            <w:tcW w:w="1080" w:type="dxa"/>
            <w:vAlign w:val="bottom"/>
            <w:gridSpan w:val="10"/>
          </w:tcPr>
          <w:p>
            <w:pPr>
              <w:jc w:val="center"/>
              <w:ind w:right="20"/>
              <w:spacing w:after="0"/>
              <w:rPr>
                <w:sz w:val="20"/>
                <w:szCs w:val="20"/>
                <w:color w:val="auto"/>
              </w:rPr>
            </w:pPr>
            <w:r>
              <w:rPr>
                <w:rFonts w:ascii="Times New Roman" w:cs="Times New Roman" w:eastAsia="Times New Roman" w:hAnsi="Times New Roman"/>
                <w:sz w:val="19"/>
                <w:szCs w:val="19"/>
                <w:color w:val="421BFF"/>
              </w:rPr>
              <w:t>II-100</w:t>
            </w:r>
          </w:p>
        </w:tc>
      </w:tr>
      <w:tr>
        <w:trPr>
          <w:trHeight w:val="20"/>
        </w:trPr>
        <w:tc>
          <w:tcPr>
            <w:tcW w:w="156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shd w:val="clear" w:color="auto" w:fill="421BFF"/>
          </w:tcPr>
          <w:p>
            <w:pPr>
              <w:spacing w:after="0" w:line="20" w:lineRule="exact"/>
              <w:rPr>
                <w:sz w:val="1"/>
                <w:szCs w:val="1"/>
                <w:color w:val="auto"/>
              </w:rPr>
            </w:pPr>
          </w:p>
        </w:tc>
        <w:tc>
          <w:tcPr>
            <w:tcW w:w="340" w:type="dxa"/>
            <w:vAlign w:val="bottom"/>
            <w:tcBorders>
              <w:right w:val="single" w:sz="8" w:color="421BFF"/>
            </w:tcBorders>
            <w:gridSpan w:val="3"/>
            <w:shd w:val="clear" w:color="auto" w:fill="421BFF"/>
          </w:tcPr>
          <w:p>
            <w:pPr>
              <w:spacing w:after="0" w:line="20" w:lineRule="exact"/>
              <w:rPr>
                <w:sz w:val="1"/>
                <w:szCs w:val="1"/>
                <w:color w:val="auto"/>
              </w:rPr>
            </w:pPr>
          </w:p>
        </w:tc>
        <w:tc>
          <w:tcPr>
            <w:tcW w:w="80" w:type="dxa"/>
            <w:vAlign w:val="bottom"/>
            <w:tcBorders>
              <w:left w:val="single" w:sz="8" w:color="421BFF"/>
            </w:tcBorders>
            <w:gridSpan w:val="2"/>
            <w:shd w:val="clear" w:color="auto" w:fill="421B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285"/>
        </w:trPr>
        <w:tc>
          <w:tcPr>
            <w:tcW w:w="1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9C.</w:t>
            </w:r>
          </w:p>
        </w:tc>
        <w:tc>
          <w:tcPr>
            <w:tcW w:w="8600" w:type="dxa"/>
            <w:vAlign w:val="bottom"/>
            <w:gridSpan w:val="22"/>
          </w:tcPr>
          <w:p>
            <w:pPr>
              <w:spacing w:after="0"/>
              <w:rPr>
                <w:sz w:val="20"/>
                <w:szCs w:val="20"/>
                <w:color w:val="auto"/>
              </w:rPr>
            </w:pPr>
            <w:r>
              <w:rPr>
                <w:rFonts w:ascii="Times New Roman" w:cs="Times New Roman" w:eastAsia="Times New Roman" w:hAnsi="Times New Roman"/>
                <w:sz w:val="19"/>
                <w:szCs w:val="19"/>
                <w:color w:val="0000FF"/>
              </w:rPr>
              <w:t>Disclosure Regarding Foreign Jurisdictions that Prevent Inspections.</w:t>
            </w:r>
          </w:p>
        </w:tc>
        <w:tc>
          <w:tcPr>
            <w:tcW w:w="1080" w:type="dxa"/>
            <w:vAlign w:val="bottom"/>
            <w:gridSpan w:val="10"/>
          </w:tcPr>
          <w:p>
            <w:pPr>
              <w:jc w:val="center"/>
              <w:ind w:right="20"/>
              <w:spacing w:after="0"/>
              <w:rPr>
                <w:sz w:val="20"/>
                <w:szCs w:val="20"/>
                <w:color w:val="auto"/>
              </w:rPr>
            </w:pPr>
            <w:r>
              <w:rPr>
                <w:rFonts w:ascii="Times New Roman" w:cs="Times New Roman" w:eastAsia="Times New Roman" w:hAnsi="Times New Roman"/>
                <w:sz w:val="19"/>
                <w:szCs w:val="19"/>
                <w:color w:val="421BFF"/>
              </w:rPr>
              <w:t>II-100</w:t>
            </w:r>
          </w:p>
        </w:tc>
      </w:tr>
      <w:tr>
        <w:trPr>
          <w:trHeight w:val="422"/>
        </w:trPr>
        <w:tc>
          <w:tcPr>
            <w:tcW w:w="156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680" w:type="dxa"/>
            <w:vAlign w:val="bottom"/>
            <w:tcBorders>
              <w:top w:val="single" w:sz="8" w:color="0000FF"/>
            </w:tcBorders>
            <w:gridSpan w:val="3"/>
          </w:tcPr>
          <w:p>
            <w:pPr>
              <w:jc w:val="center"/>
              <w:ind w:right="780"/>
              <w:spacing w:after="0"/>
              <w:rPr>
                <w:sz w:val="20"/>
                <w:szCs w:val="20"/>
                <w:color w:val="auto"/>
              </w:rPr>
            </w:pPr>
            <w:r>
              <w:rPr>
                <w:rFonts w:ascii="Times New Roman" w:cs="Times New Roman" w:eastAsia="Times New Roman" w:hAnsi="Times New Roman"/>
                <w:sz w:val="19"/>
                <w:szCs w:val="19"/>
                <w:color w:val="auto"/>
                <w:w w:val="96"/>
              </w:rPr>
              <w:t>PART III</w:t>
            </w:r>
          </w:p>
        </w:tc>
        <w:tc>
          <w:tcPr>
            <w:tcW w:w="3280" w:type="dxa"/>
            <w:vAlign w:val="bottom"/>
            <w:gridSpan w:val="6"/>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Borders>
              <w:top w:val="single" w:sz="8" w:color="421BFF"/>
            </w:tcBorders>
          </w:tcPr>
          <w:p>
            <w:pPr>
              <w:spacing w:after="0"/>
              <w:rPr>
                <w:sz w:val="24"/>
                <w:szCs w:val="24"/>
                <w:color w:val="auto"/>
              </w:rPr>
            </w:pPr>
          </w:p>
        </w:tc>
        <w:tc>
          <w:tcPr>
            <w:tcW w:w="20" w:type="dxa"/>
            <w:vAlign w:val="bottom"/>
            <w:tcBorders>
              <w:top w:val="single" w:sz="8" w:color="421BFF"/>
            </w:tcBorders>
          </w:tcPr>
          <w:p>
            <w:pPr>
              <w:spacing w:after="0"/>
              <w:rPr>
                <w:sz w:val="24"/>
                <w:szCs w:val="24"/>
                <w:color w:val="auto"/>
              </w:rPr>
            </w:pPr>
          </w:p>
        </w:tc>
        <w:tc>
          <w:tcPr>
            <w:tcW w:w="60" w:type="dxa"/>
            <w:vAlign w:val="bottom"/>
            <w:tcBorders>
              <w:top w:val="single" w:sz="8" w:color="421BFF"/>
            </w:tcBorders>
          </w:tcPr>
          <w:p>
            <w:pPr>
              <w:spacing w:after="0"/>
              <w:rPr>
                <w:sz w:val="24"/>
                <w:szCs w:val="24"/>
                <w:color w:val="auto"/>
              </w:rPr>
            </w:pPr>
          </w:p>
        </w:tc>
        <w:tc>
          <w:tcPr>
            <w:tcW w:w="220" w:type="dxa"/>
            <w:vAlign w:val="bottom"/>
            <w:tcBorders>
              <w:top w:val="single" w:sz="8" w:color="421BFF"/>
            </w:tcBorders>
          </w:tcPr>
          <w:p>
            <w:pPr>
              <w:spacing w:after="0"/>
              <w:rPr>
                <w:sz w:val="24"/>
                <w:szCs w:val="24"/>
                <w:color w:val="auto"/>
              </w:rPr>
            </w:pPr>
          </w:p>
        </w:tc>
        <w:tc>
          <w:tcPr>
            <w:tcW w:w="60" w:type="dxa"/>
            <w:vAlign w:val="bottom"/>
            <w:tcBorders>
              <w:top w:val="single" w:sz="8" w:color="421BFF"/>
            </w:tcBorders>
          </w:tcPr>
          <w:p>
            <w:pPr>
              <w:spacing w:after="0"/>
              <w:rPr>
                <w:sz w:val="24"/>
                <w:szCs w:val="24"/>
                <w:color w:val="auto"/>
              </w:rPr>
            </w:pPr>
          </w:p>
        </w:tc>
        <w:tc>
          <w:tcPr>
            <w:tcW w:w="40" w:type="dxa"/>
            <w:vAlign w:val="bottom"/>
            <w:tcBorders>
              <w:top w:val="single" w:sz="8" w:color="421BFF"/>
            </w:tcBorders>
          </w:tcPr>
          <w:p>
            <w:pPr>
              <w:spacing w:after="0"/>
              <w:rPr>
                <w:sz w:val="24"/>
                <w:szCs w:val="24"/>
                <w:color w:val="auto"/>
              </w:rPr>
            </w:pPr>
          </w:p>
        </w:tc>
        <w:tc>
          <w:tcPr>
            <w:tcW w:w="40" w:type="dxa"/>
            <w:vAlign w:val="bottom"/>
            <w:tcBorders>
              <w:top w:val="single" w:sz="8" w:color="421BFF"/>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0"/>
        </w:trPr>
        <w:tc>
          <w:tcPr>
            <w:tcW w:w="1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10.</w:t>
            </w:r>
          </w:p>
        </w:tc>
        <w:tc>
          <w:tcPr>
            <w:tcW w:w="8600" w:type="dxa"/>
            <w:vAlign w:val="bottom"/>
            <w:gridSpan w:val="22"/>
          </w:tcPr>
          <w:p>
            <w:pPr>
              <w:spacing w:after="0"/>
              <w:rPr>
                <w:sz w:val="20"/>
                <w:szCs w:val="20"/>
                <w:color w:val="auto"/>
              </w:rPr>
            </w:pPr>
            <w:r>
              <w:rPr>
                <w:rFonts w:ascii="Times New Roman" w:cs="Times New Roman" w:eastAsia="Times New Roman" w:hAnsi="Times New Roman"/>
                <w:sz w:val="19"/>
                <w:szCs w:val="19"/>
                <w:color w:val="0000FF"/>
              </w:rPr>
              <w:t>Directors, Executive Officers and Corporate Governance.</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8"/>
          </w:tcPr>
          <w:p>
            <w:pPr>
              <w:jc w:val="center"/>
              <w:ind w:right="340"/>
              <w:spacing w:after="0"/>
              <w:rPr>
                <w:sz w:val="20"/>
                <w:szCs w:val="20"/>
                <w:color w:val="auto"/>
              </w:rPr>
            </w:pPr>
            <w:r>
              <w:rPr>
                <w:rFonts w:ascii="Times New Roman" w:cs="Times New Roman" w:eastAsia="Times New Roman" w:hAnsi="Times New Roman"/>
                <w:sz w:val="19"/>
                <w:szCs w:val="19"/>
                <w:color w:val="421BFF"/>
              </w:rPr>
              <w:t>III-1</w:t>
            </w:r>
          </w:p>
        </w:tc>
      </w:tr>
      <w:tr>
        <w:trPr>
          <w:trHeight w:val="20"/>
        </w:trPr>
        <w:tc>
          <w:tcPr>
            <w:tcW w:w="156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421BFF"/>
            </w:tcBorders>
            <w:gridSpan w:val="3"/>
            <w:shd w:val="clear" w:color="auto" w:fill="421BFF"/>
          </w:tcPr>
          <w:p>
            <w:pPr>
              <w:spacing w:after="0" w:line="20" w:lineRule="exact"/>
              <w:rPr>
                <w:sz w:val="1"/>
                <w:szCs w:val="1"/>
                <w:color w:val="auto"/>
              </w:rPr>
            </w:pPr>
          </w:p>
        </w:tc>
        <w:tc>
          <w:tcPr>
            <w:tcW w:w="380" w:type="dxa"/>
            <w:vAlign w:val="bottom"/>
            <w:tcBorders>
              <w:left w:val="single" w:sz="8" w:color="421BFF"/>
            </w:tcBorders>
            <w:gridSpan w:val="4"/>
          </w:tcPr>
          <w:p>
            <w:pPr>
              <w:spacing w:after="0" w:line="20" w:lineRule="exact"/>
              <w:rPr>
                <w:sz w:val="1"/>
                <w:szCs w:val="1"/>
                <w:color w:val="auto"/>
              </w:rPr>
            </w:pPr>
          </w:p>
        </w:tc>
      </w:tr>
      <w:tr>
        <w:trPr>
          <w:trHeight w:val="285"/>
        </w:trPr>
        <w:tc>
          <w:tcPr>
            <w:tcW w:w="1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11.</w:t>
            </w:r>
          </w:p>
        </w:tc>
        <w:tc>
          <w:tcPr>
            <w:tcW w:w="4460" w:type="dxa"/>
            <w:vAlign w:val="bottom"/>
            <w:gridSpan w:val="14"/>
          </w:tcPr>
          <w:p>
            <w:pPr>
              <w:spacing w:after="0"/>
              <w:rPr>
                <w:sz w:val="20"/>
                <w:szCs w:val="20"/>
                <w:color w:val="auto"/>
              </w:rPr>
            </w:pPr>
            <w:r>
              <w:rPr>
                <w:rFonts w:ascii="Times New Roman" w:cs="Times New Roman" w:eastAsia="Times New Roman" w:hAnsi="Times New Roman"/>
                <w:sz w:val="19"/>
                <w:szCs w:val="19"/>
                <w:color w:val="0000FF"/>
              </w:rPr>
              <w:t>Executive Compensation.</w:t>
            </w:r>
          </w:p>
        </w:tc>
        <w:tc>
          <w:tcPr>
            <w:tcW w:w="4140" w:type="dxa"/>
            <w:vAlign w:val="bottom"/>
            <w:gridSpan w:val="8"/>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8"/>
          </w:tcPr>
          <w:p>
            <w:pPr>
              <w:jc w:val="center"/>
              <w:ind w:right="340"/>
              <w:spacing w:after="0"/>
              <w:rPr>
                <w:sz w:val="20"/>
                <w:szCs w:val="20"/>
                <w:color w:val="auto"/>
              </w:rPr>
            </w:pPr>
            <w:r>
              <w:rPr>
                <w:rFonts w:ascii="Times New Roman" w:cs="Times New Roman" w:eastAsia="Times New Roman" w:hAnsi="Times New Roman"/>
                <w:sz w:val="19"/>
                <w:szCs w:val="19"/>
                <w:color w:val="421BFF"/>
              </w:rPr>
              <w:t>III-1</w:t>
            </w:r>
          </w:p>
        </w:tc>
      </w:tr>
      <w:tr>
        <w:trPr>
          <w:trHeight w:val="20"/>
        </w:trPr>
        <w:tc>
          <w:tcPr>
            <w:tcW w:w="156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421BFF"/>
            </w:tcBorders>
            <w:gridSpan w:val="3"/>
            <w:shd w:val="clear" w:color="auto" w:fill="421BFF"/>
          </w:tcPr>
          <w:p>
            <w:pPr>
              <w:spacing w:after="0" w:line="20" w:lineRule="exact"/>
              <w:rPr>
                <w:sz w:val="1"/>
                <w:szCs w:val="1"/>
                <w:color w:val="auto"/>
              </w:rPr>
            </w:pPr>
          </w:p>
        </w:tc>
        <w:tc>
          <w:tcPr>
            <w:tcW w:w="380" w:type="dxa"/>
            <w:vAlign w:val="bottom"/>
            <w:tcBorders>
              <w:left w:val="single" w:sz="8" w:color="421BFF"/>
            </w:tcBorders>
            <w:gridSpan w:val="4"/>
          </w:tcPr>
          <w:p>
            <w:pPr>
              <w:spacing w:after="0" w:line="20" w:lineRule="exact"/>
              <w:rPr>
                <w:sz w:val="1"/>
                <w:szCs w:val="1"/>
                <w:color w:val="auto"/>
              </w:rPr>
            </w:pPr>
          </w:p>
        </w:tc>
      </w:tr>
      <w:tr>
        <w:trPr>
          <w:trHeight w:val="285"/>
        </w:trPr>
        <w:tc>
          <w:tcPr>
            <w:tcW w:w="1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12.</w:t>
            </w:r>
          </w:p>
        </w:tc>
        <w:tc>
          <w:tcPr>
            <w:tcW w:w="7920" w:type="dxa"/>
            <w:vAlign w:val="bottom"/>
            <w:gridSpan w:val="20"/>
          </w:tcPr>
          <w:p>
            <w:pPr>
              <w:spacing w:after="0"/>
              <w:rPr>
                <w:sz w:val="20"/>
                <w:szCs w:val="20"/>
                <w:color w:val="auto"/>
              </w:rPr>
            </w:pPr>
            <w:r>
              <w:rPr>
                <w:rFonts w:ascii="Times New Roman" w:cs="Times New Roman" w:eastAsia="Times New Roman" w:hAnsi="Times New Roman"/>
                <w:sz w:val="19"/>
                <w:szCs w:val="19"/>
                <w:color w:val="0000FF"/>
              </w:rPr>
              <w:t>Security Ownership of Certain Beneficial Owners and Management and Related Stockholder Matters.</w:t>
            </w:r>
          </w:p>
        </w:tc>
        <w:tc>
          <w:tcPr>
            <w:tcW w:w="68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8"/>
          </w:tcPr>
          <w:p>
            <w:pPr>
              <w:jc w:val="center"/>
              <w:ind w:right="340"/>
              <w:spacing w:after="0"/>
              <w:rPr>
                <w:sz w:val="20"/>
                <w:szCs w:val="20"/>
                <w:color w:val="auto"/>
              </w:rPr>
            </w:pPr>
            <w:r>
              <w:rPr>
                <w:rFonts w:ascii="Times New Roman" w:cs="Times New Roman" w:eastAsia="Times New Roman" w:hAnsi="Times New Roman"/>
                <w:sz w:val="19"/>
                <w:szCs w:val="19"/>
                <w:color w:val="421BFF"/>
              </w:rPr>
              <w:t>III-1</w:t>
            </w:r>
          </w:p>
        </w:tc>
      </w:tr>
      <w:tr>
        <w:trPr>
          <w:trHeight w:val="20"/>
        </w:trPr>
        <w:tc>
          <w:tcPr>
            <w:tcW w:w="156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740" w:type="dxa"/>
            <w:vAlign w:val="bottom"/>
            <w:gridSpan w:val="5"/>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421BFF"/>
            </w:tcBorders>
            <w:gridSpan w:val="3"/>
            <w:shd w:val="clear" w:color="auto" w:fill="421BFF"/>
          </w:tcPr>
          <w:p>
            <w:pPr>
              <w:spacing w:after="0" w:line="20" w:lineRule="exact"/>
              <w:rPr>
                <w:sz w:val="1"/>
                <w:szCs w:val="1"/>
                <w:color w:val="auto"/>
              </w:rPr>
            </w:pPr>
          </w:p>
        </w:tc>
        <w:tc>
          <w:tcPr>
            <w:tcW w:w="380" w:type="dxa"/>
            <w:vAlign w:val="bottom"/>
            <w:tcBorders>
              <w:left w:val="single" w:sz="8" w:color="421BFF"/>
            </w:tcBorders>
            <w:gridSpan w:val="4"/>
          </w:tcPr>
          <w:p>
            <w:pPr>
              <w:spacing w:after="0" w:line="20" w:lineRule="exact"/>
              <w:rPr>
                <w:sz w:val="1"/>
                <w:szCs w:val="1"/>
                <w:color w:val="auto"/>
              </w:rPr>
            </w:pPr>
          </w:p>
        </w:tc>
      </w:tr>
      <w:tr>
        <w:trPr>
          <w:trHeight w:val="285"/>
        </w:trPr>
        <w:tc>
          <w:tcPr>
            <w:tcW w:w="1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13.</w:t>
            </w:r>
          </w:p>
        </w:tc>
        <w:tc>
          <w:tcPr>
            <w:tcW w:w="7920" w:type="dxa"/>
            <w:vAlign w:val="bottom"/>
            <w:gridSpan w:val="20"/>
          </w:tcPr>
          <w:p>
            <w:pPr>
              <w:spacing w:after="0"/>
              <w:rPr>
                <w:sz w:val="20"/>
                <w:szCs w:val="20"/>
                <w:color w:val="auto"/>
              </w:rPr>
            </w:pPr>
            <w:r>
              <w:rPr>
                <w:rFonts w:ascii="Times New Roman" w:cs="Times New Roman" w:eastAsia="Times New Roman" w:hAnsi="Times New Roman"/>
                <w:sz w:val="19"/>
                <w:szCs w:val="19"/>
                <w:color w:val="0000FF"/>
              </w:rPr>
              <w:t>Certain Relationships and Related Transactions, and Director Independence.</w:t>
            </w:r>
          </w:p>
        </w:tc>
        <w:tc>
          <w:tcPr>
            <w:tcW w:w="68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8"/>
          </w:tcPr>
          <w:p>
            <w:pPr>
              <w:jc w:val="center"/>
              <w:ind w:right="340"/>
              <w:spacing w:after="0"/>
              <w:rPr>
                <w:sz w:val="20"/>
                <w:szCs w:val="20"/>
                <w:color w:val="auto"/>
              </w:rPr>
            </w:pPr>
            <w:r>
              <w:rPr>
                <w:rFonts w:ascii="Times New Roman" w:cs="Times New Roman" w:eastAsia="Times New Roman" w:hAnsi="Times New Roman"/>
                <w:sz w:val="19"/>
                <w:szCs w:val="19"/>
                <w:color w:val="421BFF"/>
              </w:rPr>
              <w:t>III-1</w:t>
            </w:r>
          </w:p>
        </w:tc>
      </w:tr>
      <w:tr>
        <w:trPr>
          <w:trHeight w:val="20"/>
        </w:trPr>
        <w:tc>
          <w:tcPr>
            <w:tcW w:w="156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20" w:type="dxa"/>
            <w:vAlign w:val="bottom"/>
            <w:gridSpan w:val="10"/>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421BFF"/>
            </w:tcBorders>
            <w:gridSpan w:val="3"/>
            <w:shd w:val="clear" w:color="auto" w:fill="421BFF"/>
          </w:tcPr>
          <w:p>
            <w:pPr>
              <w:spacing w:after="0" w:line="20" w:lineRule="exact"/>
              <w:rPr>
                <w:sz w:val="1"/>
                <w:szCs w:val="1"/>
                <w:color w:val="auto"/>
              </w:rPr>
            </w:pPr>
          </w:p>
        </w:tc>
        <w:tc>
          <w:tcPr>
            <w:tcW w:w="380" w:type="dxa"/>
            <w:vAlign w:val="bottom"/>
            <w:tcBorders>
              <w:left w:val="single" w:sz="8" w:color="421BFF"/>
            </w:tcBorders>
            <w:gridSpan w:val="4"/>
          </w:tcPr>
          <w:p>
            <w:pPr>
              <w:spacing w:after="0" w:line="20" w:lineRule="exact"/>
              <w:rPr>
                <w:sz w:val="1"/>
                <w:szCs w:val="1"/>
                <w:color w:val="auto"/>
              </w:rPr>
            </w:pPr>
          </w:p>
        </w:tc>
      </w:tr>
      <w:tr>
        <w:trPr>
          <w:trHeight w:val="285"/>
        </w:trPr>
        <w:tc>
          <w:tcPr>
            <w:tcW w:w="1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14.</w:t>
            </w:r>
          </w:p>
        </w:tc>
        <w:tc>
          <w:tcPr>
            <w:tcW w:w="8600" w:type="dxa"/>
            <w:vAlign w:val="bottom"/>
            <w:gridSpan w:val="22"/>
          </w:tcPr>
          <w:p>
            <w:pPr>
              <w:spacing w:after="0"/>
              <w:rPr>
                <w:sz w:val="20"/>
                <w:szCs w:val="20"/>
                <w:color w:val="auto"/>
              </w:rPr>
            </w:pPr>
            <w:r>
              <w:rPr>
                <w:rFonts w:ascii="Times New Roman" w:cs="Times New Roman" w:eastAsia="Times New Roman" w:hAnsi="Times New Roman"/>
                <w:sz w:val="19"/>
                <w:szCs w:val="19"/>
                <w:color w:val="0000FF"/>
              </w:rPr>
              <w:t>Principal Accounting Fees and Services.</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8"/>
          </w:tcPr>
          <w:p>
            <w:pPr>
              <w:jc w:val="center"/>
              <w:ind w:right="340"/>
              <w:spacing w:after="0"/>
              <w:rPr>
                <w:sz w:val="20"/>
                <w:szCs w:val="20"/>
                <w:color w:val="auto"/>
              </w:rPr>
            </w:pPr>
            <w:r>
              <w:rPr>
                <w:rFonts w:ascii="Times New Roman" w:cs="Times New Roman" w:eastAsia="Times New Roman" w:hAnsi="Times New Roman"/>
                <w:sz w:val="19"/>
                <w:szCs w:val="19"/>
                <w:color w:val="421BFF"/>
              </w:rPr>
              <w:t>III-1</w:t>
            </w:r>
          </w:p>
        </w:tc>
      </w:tr>
      <w:tr>
        <w:trPr>
          <w:trHeight w:val="422"/>
        </w:trPr>
        <w:tc>
          <w:tcPr>
            <w:tcW w:w="156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960" w:type="dxa"/>
            <w:vAlign w:val="bottom"/>
            <w:gridSpan w:val="9"/>
          </w:tcPr>
          <w:p>
            <w:pPr>
              <w:jc w:val="center"/>
              <w:ind w:right="4040"/>
              <w:spacing w:after="0"/>
              <w:rPr>
                <w:sz w:val="20"/>
                <w:szCs w:val="20"/>
                <w:color w:val="auto"/>
              </w:rPr>
            </w:pPr>
            <w:r>
              <w:rPr>
                <w:rFonts w:ascii="Times New Roman" w:cs="Times New Roman" w:eastAsia="Times New Roman" w:hAnsi="Times New Roman"/>
                <w:sz w:val="19"/>
                <w:szCs w:val="19"/>
                <w:color w:val="auto"/>
                <w:w w:val="98"/>
              </w:rPr>
              <w:t>PART IV</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top w:val="single" w:sz="8" w:color="421BFF"/>
            </w:tcBorders>
          </w:tcPr>
          <w:p>
            <w:pPr>
              <w:spacing w:after="0"/>
              <w:rPr>
                <w:sz w:val="24"/>
                <w:szCs w:val="24"/>
                <w:color w:val="auto"/>
              </w:rPr>
            </w:pPr>
          </w:p>
        </w:tc>
        <w:tc>
          <w:tcPr>
            <w:tcW w:w="220" w:type="dxa"/>
            <w:vAlign w:val="bottom"/>
            <w:tcBorders>
              <w:top w:val="single" w:sz="8" w:color="421BFF"/>
            </w:tcBorders>
          </w:tcPr>
          <w:p>
            <w:pPr>
              <w:spacing w:after="0"/>
              <w:rPr>
                <w:sz w:val="24"/>
                <w:szCs w:val="24"/>
                <w:color w:val="auto"/>
              </w:rPr>
            </w:pPr>
          </w:p>
        </w:tc>
        <w:tc>
          <w:tcPr>
            <w:tcW w:w="60" w:type="dxa"/>
            <w:vAlign w:val="bottom"/>
            <w:tcBorders>
              <w:top w:val="single" w:sz="8" w:color="421BFF"/>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0"/>
        </w:trPr>
        <w:tc>
          <w:tcPr>
            <w:tcW w:w="1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15.</w:t>
            </w:r>
          </w:p>
        </w:tc>
        <w:tc>
          <w:tcPr>
            <w:tcW w:w="3180" w:type="dxa"/>
            <w:vAlign w:val="bottom"/>
            <w:gridSpan w:val="12"/>
          </w:tcPr>
          <w:p>
            <w:pPr>
              <w:spacing w:after="0"/>
              <w:rPr>
                <w:sz w:val="20"/>
                <w:szCs w:val="20"/>
                <w:color w:val="auto"/>
              </w:rPr>
            </w:pPr>
            <w:r>
              <w:rPr>
                <w:rFonts w:ascii="Times New Roman" w:cs="Times New Roman" w:eastAsia="Times New Roman" w:hAnsi="Times New Roman"/>
                <w:sz w:val="19"/>
                <w:szCs w:val="19"/>
                <w:color w:val="0000FF"/>
              </w:rPr>
              <w:t>Exhibits, Financial Statement Schedules.</w:t>
            </w:r>
          </w:p>
        </w:tc>
        <w:tc>
          <w:tcPr>
            <w:tcW w:w="5420" w:type="dxa"/>
            <w:vAlign w:val="bottom"/>
            <w:gridSpan w:val="10"/>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gridSpan w:val="7"/>
          </w:tcPr>
          <w:p>
            <w:pPr>
              <w:jc w:val="center"/>
              <w:ind w:right="380"/>
              <w:spacing w:after="0"/>
              <w:rPr>
                <w:sz w:val="20"/>
                <w:szCs w:val="20"/>
                <w:color w:val="auto"/>
              </w:rPr>
            </w:pPr>
            <w:r>
              <w:rPr>
                <w:rFonts w:ascii="Times New Roman" w:cs="Times New Roman" w:eastAsia="Times New Roman" w:hAnsi="Times New Roman"/>
                <w:sz w:val="19"/>
                <w:szCs w:val="19"/>
                <w:color w:val="421BFF"/>
                <w:w w:val="94"/>
              </w:rPr>
              <w:t>IV-1</w:t>
            </w:r>
          </w:p>
        </w:tc>
      </w:tr>
      <w:tr>
        <w:trPr>
          <w:trHeight w:val="20"/>
        </w:trPr>
        <w:tc>
          <w:tcPr>
            <w:tcW w:w="156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5420" w:type="dxa"/>
            <w:vAlign w:val="bottom"/>
            <w:gridSpan w:val="1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421BFF"/>
            </w:tcBorders>
            <w:gridSpan w:val="3"/>
            <w:shd w:val="clear" w:color="auto" w:fill="421B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r>
      <w:tr>
        <w:trPr>
          <w:trHeight w:val="285"/>
        </w:trPr>
        <w:tc>
          <w:tcPr>
            <w:tcW w:w="1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16.</w:t>
            </w:r>
          </w:p>
        </w:tc>
        <w:tc>
          <w:tcPr>
            <w:tcW w:w="3180" w:type="dxa"/>
            <w:vAlign w:val="bottom"/>
            <w:gridSpan w:val="12"/>
          </w:tcPr>
          <w:p>
            <w:pPr>
              <w:spacing w:after="0"/>
              <w:rPr>
                <w:sz w:val="20"/>
                <w:szCs w:val="20"/>
                <w:color w:val="auto"/>
              </w:rPr>
            </w:pPr>
            <w:r>
              <w:rPr>
                <w:rFonts w:ascii="Times New Roman" w:cs="Times New Roman" w:eastAsia="Times New Roman" w:hAnsi="Times New Roman"/>
                <w:sz w:val="19"/>
                <w:szCs w:val="19"/>
                <w:color w:val="0000FF"/>
              </w:rPr>
              <w:t>Form 10-K Summary.</w:t>
            </w:r>
          </w:p>
        </w:tc>
        <w:tc>
          <w:tcPr>
            <w:tcW w:w="5420" w:type="dxa"/>
            <w:vAlign w:val="bottom"/>
            <w:gridSpan w:val="10"/>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7"/>
          </w:tcPr>
          <w:p>
            <w:pPr>
              <w:jc w:val="center"/>
              <w:ind w:right="380"/>
              <w:spacing w:after="0"/>
              <w:rPr>
                <w:sz w:val="20"/>
                <w:szCs w:val="20"/>
                <w:color w:val="auto"/>
              </w:rPr>
            </w:pPr>
            <w:r>
              <w:rPr>
                <w:rFonts w:ascii="Times New Roman" w:cs="Times New Roman" w:eastAsia="Times New Roman" w:hAnsi="Times New Roman"/>
                <w:sz w:val="19"/>
                <w:szCs w:val="19"/>
                <w:color w:val="421BFF"/>
                <w:w w:val="94"/>
              </w:rPr>
              <w:t>IV-1</w:t>
            </w:r>
          </w:p>
        </w:tc>
      </w:tr>
      <w:tr>
        <w:trPr>
          <w:trHeight w:val="285"/>
        </w:trPr>
        <w:tc>
          <w:tcPr>
            <w:tcW w:w="1560" w:type="dxa"/>
            <w:vAlign w:val="bottom"/>
          </w:tcPr>
          <w:p>
            <w:pPr>
              <w:spacing w:after="0"/>
              <w:rPr>
                <w:sz w:val="24"/>
                <w:szCs w:val="24"/>
                <w:color w:val="auto"/>
              </w:rPr>
            </w:pPr>
          </w:p>
        </w:tc>
        <w:tc>
          <w:tcPr>
            <w:tcW w:w="17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9"/>
                <w:szCs w:val="19"/>
                <w:color w:val="0000FF"/>
              </w:rPr>
              <w:t>Signatures.</w:t>
            </w:r>
          </w:p>
        </w:tc>
        <w:tc>
          <w:tcPr>
            <w:tcW w:w="6900" w:type="dxa"/>
            <w:vAlign w:val="bottom"/>
            <w:gridSpan w:val="15"/>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top w:val="single" w:sz="8" w:color="421BFF"/>
            </w:tcBorders>
          </w:tcPr>
          <w:p>
            <w:pPr>
              <w:spacing w:after="0"/>
              <w:rPr>
                <w:sz w:val="24"/>
                <w:szCs w:val="24"/>
                <w:color w:val="auto"/>
              </w:rPr>
            </w:pPr>
          </w:p>
        </w:tc>
        <w:tc>
          <w:tcPr>
            <w:tcW w:w="220" w:type="dxa"/>
            <w:vAlign w:val="bottom"/>
            <w:tcBorders>
              <w:top w:val="single" w:sz="8" w:color="421BFF"/>
            </w:tcBorders>
          </w:tcPr>
          <w:p>
            <w:pPr>
              <w:spacing w:after="0"/>
              <w:rPr>
                <w:sz w:val="24"/>
                <w:szCs w:val="24"/>
                <w:color w:val="auto"/>
              </w:rPr>
            </w:pPr>
          </w:p>
        </w:tc>
        <w:tc>
          <w:tcPr>
            <w:tcW w:w="60" w:type="dxa"/>
            <w:vAlign w:val="bottom"/>
            <w:tcBorders>
              <w:top w:val="single" w:sz="8" w:color="421BFF"/>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84"/>
        </w:trPr>
        <w:tc>
          <w:tcPr>
            <w:tcW w:w="156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9"/>
          <w:szCs w:val="19"/>
          <w:b w:val="1"/>
          <w:bCs w:val="1"/>
          <w:color w:val="auto"/>
        </w:rPr>
        <w:t>CAUTIONARY NOTE CONCERNING FORWARD-LOOKING STATEMENTS</w:t>
      </w:r>
    </w:p>
    <w:p>
      <w:pPr>
        <w:spacing w:after="0" w:line="236" w:lineRule="exact"/>
        <w:rPr>
          <w:sz w:val="20"/>
          <w:szCs w:val="20"/>
          <w:color w:val="auto"/>
        </w:rPr>
      </w:pPr>
    </w:p>
    <w:p>
      <w:pPr>
        <w:jc w:val="both"/>
        <w:spacing w:after="0" w:line="234" w:lineRule="exact"/>
        <w:rPr>
          <w:sz w:val="20"/>
          <w:szCs w:val="20"/>
          <w:color w:val="auto"/>
        </w:rPr>
      </w:pPr>
      <w:r>
        <w:rPr>
          <w:rFonts w:ascii="Times New Roman" w:cs="Times New Roman" w:eastAsia="Times New Roman" w:hAnsi="Times New Roman"/>
          <w:sz w:val="19"/>
          <w:szCs w:val="19"/>
          <w:color w:val="auto"/>
        </w:rPr>
        <w:t xml:space="preserve">This Annual Report on Form 10-K contains both historical and forward-looking statements, including statements related to our future results and performance. All statements that are not statements of historical fact are, or may be deemed to be, forward-looking statements within the meaning of the Private Securities Litigation Reform Act of 1995. Similarly, statements that describe our objectives, plans or goals are or may be forward-looking statements. These forward-looking statements reflect our current expectations concerning future results and events; generally can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our actual results, performance or achievements to be different from any future results, performance or achievements expressed or implied by these statements. These risks, uncertainties and other factors are discussed in “Item 1A. Risk Factors” below and elsewhere in this Annual Report on Form 10-K. Other risks, uncertainties or other factors, or updates to those discussed herein, may be described in our other filings with the Securities and Exchange Commission (the “SEC”), including our reports on Form 10-Q and Form 8-K, press releases, public conference calls, webcasts, our social media and blog posts and on our website at </w:t>
      </w:r>
      <w:r>
        <w:rPr>
          <w:rFonts w:ascii="Times New Roman" w:cs="Times New Roman" w:eastAsia="Times New Roman" w:hAnsi="Times New Roman"/>
          <w:sz w:val="19"/>
          <w:szCs w:val="19"/>
          <w:i w:val="1"/>
          <w:iCs w:val="1"/>
          <w:color w:val="auto"/>
        </w:rPr>
        <w:t>paramount.com</w:t>
      </w:r>
      <w:r>
        <w:rPr>
          <w:rFonts w:ascii="Times New Roman" w:cs="Times New Roman" w:eastAsia="Times New Roman" w:hAnsi="Times New Roman"/>
          <w:sz w:val="19"/>
          <w:szCs w:val="19"/>
          <w:color w:val="auto"/>
        </w:rPr>
        <w:t>. There may be additional risks, uncertainties and other factors that we do not currently view as material or that are not known. The forward-looking statements included in this Annual Report on Form 10</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K are made only as of the date of this document, and we do not undertake any obligation to publicly update any forward-looking statements to reflect subsequent events or circumstances.</w:t>
      </w:r>
    </w:p>
    <w:p>
      <w:pPr>
        <w:sectPr>
          <w:pgSz w:w="11900" w:h="16838" w:orient="portrait"/>
          <w:cols w:equalWidth="0" w:num="1">
            <w:col w:w="11240"/>
          </w:cols>
          <w:pgMar w:left="320" w:top="749" w:right="339" w:bottom="1440" w:gutter="0" w:footer="0" w:header="0"/>
        </w:sectPr>
      </w:pPr>
    </w:p>
    <w:p>
      <w:pPr>
        <w:spacing w:after="0" w:line="205" w:lineRule="exact"/>
        <w:rPr>
          <w:sz w:val="20"/>
          <w:szCs w:val="20"/>
          <w:color w:val="auto"/>
        </w:rPr>
      </w:pPr>
    </w:p>
    <w:p>
      <w:pPr>
        <w:jc w:val="both"/>
        <w:ind w:left="20" w:hanging="17"/>
        <w:spacing w:after="0" w:line="534" w:lineRule="auto"/>
        <w:rPr>
          <w:sz w:val="20"/>
          <w:szCs w:val="20"/>
          <w:color w:val="auto"/>
        </w:rPr>
      </w:pPr>
      <w:r>
        <w:rPr>
          <w:rFonts w:ascii="Times New Roman" w:cs="Times New Roman" w:eastAsia="Times New Roman" w:hAnsi="Times New Roman"/>
          <w:sz w:val="18"/>
          <w:szCs w:val="18"/>
          <w:b w:val="1"/>
          <w:bCs w:val="1"/>
          <w:color w:val="auto"/>
        </w:rPr>
        <w:t>PART I Item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Business.</w:t>
      </w:r>
    </w:p>
    <w:p>
      <w:pPr>
        <w:spacing w:after="0" w:line="456" w:lineRule="exact"/>
        <w:rPr>
          <w:sz w:val="20"/>
          <w:szCs w:val="20"/>
          <w:color w:val="auto"/>
        </w:rPr>
      </w:pPr>
    </w:p>
    <w:p>
      <w:pPr>
        <w:sectPr>
          <w:pgSz w:w="11900" w:h="16838" w:orient="portrait"/>
          <w:cols w:equalWidth="0" w:num="2">
            <w:col w:w="640" w:space="500"/>
            <w:col w:w="10100"/>
          </w:cols>
          <w:pgMar w:left="320" w:top="74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9"/>
          <w:szCs w:val="19"/>
          <w:b w:val="1"/>
          <w:bCs w:val="1"/>
          <w:color w:val="auto"/>
        </w:rPr>
        <w:t>Overview</w:t>
      </w:r>
    </w:p>
    <w:p>
      <w:pPr>
        <w:spacing w:after="0" w:line="23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We are a leading global media, streaming and entertainment company that creates premium content and experiences for audiences worldwide. Driven by iconic consumer brands, our portfolio includes CBS, Paramount Pictures, Nickelodeon, MTV, Comedy Central, BET, CMT, Paramount+ and Pluto TV. We hold one of the industry’s most extensive libraries of television and film titles. In addition to offering innovative streaming services and digital video products, we also provide powerful capabilities in production, distribution and advertising solutions.</w:t>
      </w:r>
    </w:p>
    <w:p>
      <w:pPr>
        <w:spacing w:after="0" w:line="16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 xml:space="preserve">Our strategy is grounded in producing world-class content with global appeal across television, streaming and theatrical that drives a return on investment. As we execute in line with this strategy, we are focused on driving to </w:t>
      </w: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 xml:space="preserve"> profitability and maximizing cash flow from our traditional businesses.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Skydance Transactions</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On July 7, 2024, Paramount entered into a transaction agreement (the “Transaction Agreement”) with Skydance Media, LLC (“Skydance”) and other parties pursuant to which Paramount and Skydance will become subsidiaries of a new holding company, currently referred to as New Paramount (the transactions contemplated by the Transaction Agreement, the “Transactions”). Concurrent with the execution of the Transaction Agreement, certain affiliates of existing investors of Skydance (the “NAI Equity Investors”), including entities controlled by members of the Ellison family and affiliates of RedBird Capital Partners, entered into an agreement with National Amusements, Inc. (“NAI”), the controlling stockholder of the Company, to purchase all of the outstanding equity interests of NAI (the “NAI Transaction”). In addition, the NAI Equity Investors and certain other affiliates of investors of Skydance (collectively, the “PIPE Equity Investors”) will make an investment of up to $6.0 billion into New Paramount in exchange for up to 400 million newly issued shares of Class B Common Stock of New Paramount (the “New Paramount Class B Common Stock”), subject to ratable reduction, for a purchase price of $15.00 per share, and the NAI Equity Investors will also receive warrants to purchase 200 million shares of New Paramount Class B Common Stock at an initial exercise price of $30.50 per share (subject to customary anti-dilution adjustments), which expire five years after issuance (the “PIPE Transaction”). Up to $4.5 billion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type w:val="continuous"/>
        </w:sectPr>
      </w:pPr>
    </w:p>
    <w:bookmarkStart w:id="3" w:name="page4"/>
    <w:bookmarkEnd w:id="3"/>
    <w:p>
      <w:pPr>
        <w:jc w:val="both"/>
        <w:spacing w:after="0" w:line="273" w:lineRule="auto"/>
        <w:rPr>
          <w:sz w:val="20"/>
          <w:szCs w:val="20"/>
          <w:color w:val="auto"/>
        </w:rPr>
      </w:pPr>
      <w:r>
        <w:rPr>
          <w:rFonts w:ascii="Times New Roman" w:cs="Times New Roman" w:eastAsia="Times New Roman" w:hAnsi="Times New Roman"/>
          <w:sz w:val="19"/>
          <w:szCs w:val="19"/>
          <w:color w:val="auto"/>
        </w:rPr>
        <w:t>proceeds will be used to fund the cash-stock election discussed below and a minimum of $1.5 billion of cash (less a subscription discount of 1.875%) will remain at New Paramount. If the cash-stock elections are undersubscribed, up to an additional $1.5 billion (less a subscription discount of 1.875%) of the unused portion of the $4.5 billion will also remain at New Paramount.</w:t>
      </w:r>
    </w:p>
    <w:p>
      <w:pPr>
        <w:spacing w:after="0" w:line="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The Transactions will also include: (1) a transaction pursuant to which existing Skydance investors will receive 317 million shares of New Paramount Class B Common Stock, and (2) a cash-stock election pursuant to which (a) shares of our Class A Common Stock (the “Class A Common Stock”) held by stockholders other than NAI will be converted, at the stockholders’ election, into the right to receive either $23.00 in cash (the “Class A Cash Consideration”) or 1.5333 shares of New Paramount Class B Common Stock (the “Class A Stock Consideration”) and</w:t>
      </w:r>
    </w:p>
    <w:p>
      <w:pPr>
        <w:spacing w:after="0" w:line="1" w:lineRule="exact"/>
        <w:rPr>
          <w:sz w:val="20"/>
          <w:szCs w:val="20"/>
          <w:color w:val="auto"/>
        </w:rPr>
      </w:pPr>
    </w:p>
    <w:p>
      <w:pPr>
        <w:jc w:val="both"/>
        <w:ind w:firstLine="6"/>
        <w:spacing w:after="0" w:line="259" w:lineRule="auto"/>
        <w:tabs>
          <w:tab w:leader="none" w:pos="287"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shares of our Class B Common Stock (the “Class B Common Stock”) held by stockholders other than NAI, the NAI Equity Investors and certain other affiliates of investors of Skydance referred to above will be converted, at the stockholders’ election, into the right to receive either $15.00 in cash (subject to proration) (the “Class B Cash Consideration”) or one share of New Paramount Class B Common Stock (the “Class B Stock Consideration”). The shares that are settled in cash will cease to exist after the completion of the Transactions. New Paramount Class B Common Stock will not have any voting rights while shares of New Paramount Class A Common Stock (the “New Paramount Class A Common Stock” together with New Paramount Class B Common Stock, the “New Paramount Common Stock”) will be entitled to one vote per share with respect to all matters on which the holders of New Paramount Common Stock are entitled to vote. Following the transaction, NAI and its applicable subsidiaries will hold 100% of the New Paramount Class A Common Stock, which is not expected to be listed for trading on a stock exchange.</w:t>
      </w:r>
    </w:p>
    <w:p>
      <w:pPr>
        <w:spacing w:after="0" w:line="16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The Transactions are subject to customary closing conditions, including regulatory approvals, and are expected to close in the first half of 2025. Consummation of the foregoing transactions is also subject to the contemporaneous consummation of each other transaction described above. In the event of a termination of the Transaction Agreement under certain specified circumstances, we will be required to pay Skydance a termination fee in the amount of $400 million (the “Termination Fee”).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2024 Performance Highlights</w:t>
      </w:r>
    </w:p>
    <w:p>
      <w:pPr>
        <w:spacing w:after="0" w:line="22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We leveraged our distribution platforms, including Paramount+, our growing subscription streaming service; Pluto TV, a leading free advertising-supported streaming television (“FAST”) service; Paramount Pictures, an iconic Hollywood studio; CBS, the leading broadcast network in the United States (the “U.S.”); and our portfolio of cable networks that includes Nickelodeon, MTV and BET, to bring content that appeals to a broad base of viewers around the world.</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In 2024, we continued to make significant progress in building a scaled streaming business, delivering growth in engagement and revenue, and improving </w:t>
      </w: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 xml:space="preserve"> profitability. On Paramount+, a combination of sports, news and entertainment, including originals like </w:t>
      </w:r>
      <w:r>
        <w:rPr>
          <w:rFonts w:ascii="Times New Roman" w:cs="Times New Roman" w:eastAsia="Times New Roman" w:hAnsi="Times New Roman"/>
          <w:sz w:val="19"/>
          <w:szCs w:val="19"/>
          <w:i w:val="1"/>
          <w:iCs w:val="1"/>
          <w:color w:val="auto"/>
        </w:rPr>
        <w:t>Tulsa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King</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Lioness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i w:val="1"/>
          <w:iCs w:val="1"/>
          <w:color w:val="auto"/>
        </w:rPr>
        <w:t xml:space="preserve"> Landman</w:t>
      </w:r>
      <w:r>
        <w:rPr>
          <w:rFonts w:ascii="Times New Roman" w:cs="Times New Roman" w:eastAsia="Times New Roman" w:hAnsi="Times New Roman"/>
          <w:sz w:val="19"/>
          <w:szCs w:val="19"/>
          <w:color w:val="auto"/>
        </w:rPr>
        <w:t>, drove subscriber growth of 15% year-over-year to 77.5 million as of December 31, 2024. Pluto TV continues to be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 global leader in FAST and grew 8% in hours watched for the year.</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Paramount Pictures debuted five number one films at the domestic box office — </w:t>
      </w:r>
      <w:r>
        <w:rPr>
          <w:rFonts w:ascii="Times New Roman" w:cs="Times New Roman" w:eastAsia="Times New Roman" w:hAnsi="Times New Roman"/>
          <w:sz w:val="19"/>
          <w:szCs w:val="19"/>
          <w:i w:val="1"/>
          <w:iCs w:val="1"/>
          <w:color w:val="auto"/>
        </w:rPr>
        <w:t>Mean Girls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Bob Marley: One Love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IF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Smile 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Sonic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Hedgehog 3</w:t>
      </w:r>
      <w:r>
        <w:rPr>
          <w:rFonts w:ascii="Times New Roman" w:cs="Times New Roman" w:eastAsia="Times New Roman" w:hAnsi="Times New Roman"/>
          <w:sz w:val="19"/>
          <w:szCs w:val="19"/>
          <w:color w:val="auto"/>
        </w:rPr>
        <w:t>, the highest-grossing film in the franchise, and expected to be one of the studio’s 10 most profitable releases of the last decade.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Across its three installments, the </w:t>
      </w:r>
      <w:r>
        <w:rPr>
          <w:rFonts w:ascii="Times New Roman" w:cs="Times New Roman" w:eastAsia="Times New Roman" w:hAnsi="Times New Roman"/>
          <w:sz w:val="19"/>
          <w:szCs w:val="19"/>
          <w:i w:val="1"/>
          <w:iCs w:val="1"/>
          <w:color w:val="auto"/>
        </w:rPr>
        <w:t>Sonic the Hedgehog</w:t>
      </w:r>
      <w:r>
        <w:rPr>
          <w:rFonts w:ascii="Times New Roman" w:cs="Times New Roman" w:eastAsia="Times New Roman" w:hAnsi="Times New Roman"/>
          <w:sz w:val="19"/>
          <w:szCs w:val="19"/>
          <w:color w:val="auto"/>
        </w:rPr>
        <w:t xml:space="preserve"> series has generated $1.2 billion at the global box office. </w:t>
      </w:r>
      <w:r>
        <w:rPr>
          <w:rFonts w:ascii="Times New Roman" w:cs="Times New Roman" w:eastAsia="Times New Roman" w:hAnsi="Times New Roman"/>
          <w:sz w:val="19"/>
          <w:szCs w:val="19"/>
          <w:i w:val="1"/>
          <w:iCs w:val="1"/>
          <w:color w:val="auto"/>
        </w:rPr>
        <w:t>Gladiator II</w:t>
      </w:r>
      <w:r>
        <w:rPr>
          <w:rFonts w:ascii="Times New Roman" w:cs="Times New Roman" w:eastAsia="Times New Roman" w:hAnsi="Times New Roman"/>
          <w:sz w:val="19"/>
          <w:szCs w:val="19"/>
          <w:color w:val="auto"/>
        </w:rPr>
        <w:t xml:space="preserve"> has generated more than $460 million globally and </w:t>
      </w:r>
      <w:r>
        <w:rPr>
          <w:rFonts w:ascii="Times New Roman" w:cs="Times New Roman" w:eastAsia="Times New Roman" w:hAnsi="Times New Roman"/>
          <w:sz w:val="19"/>
          <w:szCs w:val="19"/>
          <w:i w:val="1"/>
          <w:iCs w:val="1"/>
          <w:color w:val="auto"/>
        </w:rPr>
        <w:t>Smile 2</w:t>
      </w:r>
      <w:r>
        <w:rPr>
          <w:rFonts w:ascii="Times New Roman" w:cs="Times New Roman" w:eastAsia="Times New Roman" w:hAnsi="Times New Roman"/>
          <w:sz w:val="19"/>
          <w:szCs w:val="19"/>
          <w:color w:val="auto"/>
        </w:rPr>
        <w:t xml:space="preserve"> also debuted number one at the global box office. The studio slate also drove viewing on our linear and streaming platforms and contributed to other revenue streams, such as consumer products.</w:t>
      </w:r>
    </w:p>
    <w:p>
      <w:pPr>
        <w:spacing w:after="0" w:line="1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 xml:space="preserve">CBS finished the 2023-2024 season as America’s number one broadcast network in primetime for the 16th consecutive season, including eight of the top 10 broadcast series and the three most watched new broadcast series with </w:t>
      </w:r>
      <w:r>
        <w:rPr>
          <w:rFonts w:ascii="Times New Roman" w:cs="Times New Roman" w:eastAsia="Times New Roman" w:hAnsi="Times New Roman"/>
          <w:sz w:val="19"/>
          <w:szCs w:val="19"/>
          <w:i w:val="1"/>
          <w:iCs w:val="1"/>
          <w:color w:val="auto"/>
        </w:rPr>
        <w:t>Tracker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Elsbeth</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NCIS: Sydney</w:t>
      </w:r>
      <w:r>
        <w:rPr>
          <w:rFonts w:ascii="Times New Roman" w:cs="Times New Roman" w:eastAsia="Times New Roman" w:hAnsi="Times New Roman"/>
          <w:sz w:val="19"/>
          <w:szCs w:val="19"/>
          <w:color w:val="auto"/>
        </w:rPr>
        <w:t xml:space="preserve">. This season, the fall 2024 primetime slate on CBS featured seven of the top 10 broadcast series, including </w:t>
      </w:r>
      <w:r>
        <w:rPr>
          <w:rFonts w:ascii="Times New Roman" w:cs="Times New Roman" w:eastAsia="Times New Roman" w:hAnsi="Times New Roman"/>
          <w:sz w:val="19"/>
          <w:szCs w:val="19"/>
          <w:i w:val="1"/>
          <w:iCs w:val="1"/>
          <w:color w:val="auto"/>
        </w:rPr>
        <w:t>Tracker</w:t>
      </w:r>
      <w:r>
        <w:rPr>
          <w:rFonts w:ascii="Times New Roman" w:cs="Times New Roman" w:eastAsia="Times New Roman" w:hAnsi="Times New Roman"/>
          <w:sz w:val="19"/>
          <w:szCs w:val="19"/>
          <w:color w:val="auto"/>
        </w:rPr>
        <w:t xml:space="preserve">, the most watched series, </w:t>
      </w:r>
      <w:r>
        <w:rPr>
          <w:rFonts w:ascii="Times New Roman" w:cs="Times New Roman" w:eastAsia="Times New Roman" w:hAnsi="Times New Roman"/>
          <w:sz w:val="19"/>
          <w:szCs w:val="19"/>
          <w:i w:val="1"/>
          <w:iCs w:val="1"/>
          <w:color w:val="auto"/>
        </w:rPr>
        <w:t>Matlock</w:t>
      </w:r>
      <w:r>
        <w:rPr>
          <w:rFonts w:ascii="Times New Roman" w:cs="Times New Roman" w:eastAsia="Times New Roman" w:hAnsi="Times New Roman"/>
          <w:sz w:val="19"/>
          <w:szCs w:val="19"/>
          <w:color w:val="auto"/>
        </w:rPr>
        <w:t xml:space="preserve">, the number one new series, and </w:t>
      </w:r>
      <w:r>
        <w:rPr>
          <w:rFonts w:ascii="Times New Roman" w:cs="Times New Roman" w:eastAsia="Times New Roman" w:hAnsi="Times New Roman"/>
          <w:sz w:val="19"/>
          <w:szCs w:val="19"/>
          <w:i w:val="1"/>
          <w:iCs w:val="1"/>
          <w:color w:val="auto"/>
        </w:rPr>
        <w:t>Georgie &amp; Mandy’s First Marriage</w:t>
      </w:r>
      <w:r>
        <w:rPr>
          <w:rFonts w:ascii="Times New Roman" w:cs="Times New Roman" w:eastAsia="Times New Roman" w:hAnsi="Times New Roman"/>
          <w:sz w:val="19"/>
          <w:szCs w:val="19"/>
          <w:color w:val="auto"/>
        </w:rPr>
        <w:t>, the number one new comedy. The NFL on CBS delivered three of the top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4" w:name="page5"/>
    <w:bookmarkEnd w:id="4"/>
    <w:p>
      <w:pPr>
        <w:jc w:val="both"/>
        <w:spacing w:after="0" w:line="273" w:lineRule="auto"/>
        <w:rPr>
          <w:sz w:val="20"/>
          <w:szCs w:val="20"/>
          <w:color w:val="auto"/>
        </w:rPr>
      </w:pPr>
      <w:r>
        <w:rPr>
          <w:rFonts w:ascii="Times New Roman" w:cs="Times New Roman" w:eastAsia="Times New Roman" w:hAnsi="Times New Roman"/>
          <w:sz w:val="19"/>
          <w:szCs w:val="19"/>
          <w:color w:val="auto"/>
        </w:rPr>
        <w:t xml:space="preserve">four regular season games, averaging over 19 million viewers. CBS News had four programs at number one in their respective categories, including </w:t>
      </w:r>
      <w:r>
        <w:rPr>
          <w:rFonts w:ascii="Times New Roman" w:cs="Times New Roman" w:eastAsia="Times New Roman" w:hAnsi="Times New Roman"/>
          <w:sz w:val="19"/>
          <w:szCs w:val="19"/>
          <w:i w:val="1"/>
          <w:iCs w:val="1"/>
          <w:color w:val="auto"/>
        </w:rPr>
        <w:t>60 Minutes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CBS News Sunday Morning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Face the Nation</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48 Hours</w:t>
      </w:r>
      <w:r>
        <w:rPr>
          <w:rFonts w:ascii="Times New Roman" w:cs="Times New Roman" w:eastAsia="Times New Roman" w:hAnsi="Times New Roman"/>
          <w:sz w:val="19"/>
          <w:szCs w:val="19"/>
          <w:color w:val="auto"/>
        </w:rPr>
        <w:t>, and for the year, grew total minutes watched on our streaming platforms by nearly 60%.</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Our portfolio of cable networks attracted audiences through a broad range of shows in 2024, with four of the top five entertainment series among adults 18 to 34. </w:t>
      </w:r>
      <w:r>
        <w:rPr>
          <w:rFonts w:ascii="Times New Roman" w:cs="Times New Roman" w:eastAsia="Times New Roman" w:hAnsi="Times New Roman"/>
          <w:sz w:val="19"/>
          <w:szCs w:val="19"/>
          <w:i w:val="1"/>
          <w:iCs w:val="1"/>
          <w:color w:val="auto"/>
        </w:rPr>
        <w:t>Yellowstone</w:t>
      </w:r>
      <w:r>
        <w:rPr>
          <w:rFonts w:ascii="Times New Roman" w:cs="Times New Roman" w:eastAsia="Times New Roman" w:hAnsi="Times New Roman"/>
          <w:sz w:val="19"/>
          <w:szCs w:val="19"/>
          <w:color w:val="auto"/>
        </w:rPr>
        <w:t xml:space="preserve"> on Paramount Network once again became the number one entertainment series on cable, premiering with 18 million viewers. Internationally, </w:t>
      </w:r>
      <w:r>
        <w:rPr>
          <w:rFonts w:ascii="Times New Roman" w:cs="Times New Roman" w:eastAsia="Times New Roman" w:hAnsi="Times New Roman"/>
          <w:sz w:val="19"/>
          <w:szCs w:val="19"/>
          <w:i w:val="1"/>
          <w:iCs w:val="1"/>
          <w:color w:val="auto"/>
        </w:rPr>
        <w:t>Yellowstone</w:t>
      </w:r>
      <w:r>
        <w:rPr>
          <w:rFonts w:ascii="Times New Roman" w:cs="Times New Roman" w:eastAsia="Times New Roman" w:hAnsi="Times New Roman"/>
          <w:sz w:val="19"/>
          <w:szCs w:val="19"/>
          <w:color w:val="auto"/>
        </w:rPr>
        <w:t xml:space="preserve"> was number one in starts and engagement on Paramount+. Nickelodeon’s tremendous popularity continued with kids and preschoolers, including </w:t>
      </w:r>
      <w:r>
        <w:rPr>
          <w:rFonts w:ascii="Times New Roman" w:cs="Times New Roman" w:eastAsia="Times New Roman" w:hAnsi="Times New Roman"/>
          <w:sz w:val="19"/>
          <w:szCs w:val="19"/>
          <w:i w:val="1"/>
          <w:iCs w:val="1"/>
          <w:color w:val="auto"/>
        </w:rPr>
        <w:t>SpongeBob</w:t>
      </w:r>
      <w:r>
        <w:rPr>
          <w:rFonts w:ascii="Times New Roman" w:cs="Times New Roman" w:eastAsia="Times New Roman" w:hAnsi="Times New Roman"/>
          <w:sz w:val="19"/>
          <w:szCs w:val="19"/>
          <w:color w:val="auto"/>
        </w:rPr>
        <w:t xml:space="preserve">, the number one series among kids six to 11. The </w:t>
      </w:r>
      <w:r>
        <w:rPr>
          <w:rFonts w:ascii="Times New Roman" w:cs="Times New Roman" w:eastAsia="Times New Roman" w:hAnsi="Times New Roman"/>
          <w:sz w:val="19"/>
          <w:szCs w:val="19"/>
          <w:i w:val="1"/>
          <w:iCs w:val="1"/>
          <w:color w:val="auto"/>
        </w:rPr>
        <w:t>Daily Show</w:t>
      </w:r>
      <w:r>
        <w:rPr>
          <w:rFonts w:ascii="Times New Roman" w:cs="Times New Roman" w:eastAsia="Times New Roman" w:hAnsi="Times New Roman"/>
          <w:sz w:val="19"/>
          <w:szCs w:val="19"/>
          <w:color w:val="auto"/>
        </w:rPr>
        <w:t xml:space="preserve"> on Comedy Central was the number one cable entertainment series in late night and continued to grow across streaming, linear and social platforms, </w:t>
      </w:r>
      <w:r>
        <w:rPr>
          <w:rFonts w:ascii="Times New Roman" w:cs="Times New Roman" w:eastAsia="Times New Roman" w:hAnsi="Times New Roman"/>
          <w:sz w:val="19"/>
          <w:szCs w:val="19"/>
          <w:i w:val="1"/>
          <w:iCs w:val="1"/>
          <w:color w:val="auto"/>
        </w:rPr>
        <w:t>MTV Video Music Awards</w:t>
      </w:r>
      <w:r>
        <w:rPr>
          <w:rFonts w:ascii="Times New Roman" w:cs="Times New Roman" w:eastAsia="Times New Roman" w:hAnsi="Times New Roman"/>
          <w:sz w:val="19"/>
          <w:szCs w:val="19"/>
          <w:color w:val="auto"/>
        </w:rPr>
        <w:t xml:space="preserve"> had its biggest audience in four years, and </w:t>
      </w:r>
      <w:r>
        <w:rPr>
          <w:rFonts w:ascii="Times New Roman" w:cs="Times New Roman" w:eastAsia="Times New Roman" w:hAnsi="Times New Roman"/>
          <w:sz w:val="19"/>
          <w:szCs w:val="19"/>
          <w:i w:val="1"/>
          <w:iCs w:val="1"/>
          <w:color w:val="auto"/>
        </w:rPr>
        <w:t>The Challenge</w:t>
      </w:r>
      <w:r>
        <w:rPr>
          <w:rFonts w:ascii="Times New Roman" w:cs="Times New Roman" w:eastAsia="Times New Roman" w:hAnsi="Times New Roman"/>
          <w:sz w:val="19"/>
          <w:szCs w:val="19"/>
          <w:color w:val="auto"/>
        </w:rPr>
        <w:t xml:space="preserve"> was the number one competition show on cable and delivered the highest season premiere share in franchise history.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Segment Overview</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operate through the following segments:</w:t>
      </w:r>
    </w:p>
    <w:p>
      <w:pPr>
        <w:spacing w:after="0" w:line="215" w:lineRule="exact"/>
        <w:rPr>
          <w:sz w:val="20"/>
          <w:szCs w:val="20"/>
          <w:color w:val="auto"/>
        </w:rPr>
      </w:pPr>
    </w:p>
    <w:p>
      <w:pPr>
        <w:jc w:val="both"/>
        <w:ind w:left="320" w:hanging="314"/>
        <w:spacing w:after="0" w:line="271" w:lineRule="auto"/>
        <w:tabs>
          <w:tab w:leader="none" w:pos="30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TV Media. </w:t>
      </w:r>
      <w:r>
        <w:rPr>
          <w:rFonts w:ascii="Times New Roman" w:cs="Times New Roman" w:eastAsia="Times New Roman" w:hAnsi="Times New Roman"/>
          <w:sz w:val="19"/>
          <w:szCs w:val="19"/>
          <w:color w:val="auto"/>
        </w:rPr>
        <w:t>Our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segment consists of our (1) domestic and international broadcast networks and owned television stations; (2)</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domestic cable networks and international extensions of certain of our domestic cable network brands; and (3) domestic and international television studio operations, and production and distribution of first-run syndicated programming.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generated approximately 65% of our consolidated revenues in 2024.</w:t>
      </w:r>
    </w:p>
    <w:p>
      <w:pPr>
        <w:spacing w:after="0" w:line="165" w:lineRule="exact"/>
        <w:rPr>
          <w:rFonts w:ascii="Times New Roman" w:cs="Times New Roman" w:eastAsia="Times New Roman" w:hAnsi="Times New Roman"/>
          <w:sz w:val="19"/>
          <w:szCs w:val="19"/>
          <w:color w:val="auto"/>
        </w:rPr>
      </w:pPr>
    </w:p>
    <w:p>
      <w:pPr>
        <w:ind w:left="320" w:hanging="314"/>
        <w:spacing w:after="0" w:line="289" w:lineRule="auto"/>
        <w:tabs>
          <w:tab w:leader="none" w:pos="30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Direct-to-Consumer. </w:t>
      </w:r>
      <w:r>
        <w:rPr>
          <w:rFonts w:ascii="Times New Roman" w:cs="Times New Roman" w:eastAsia="Times New Roman" w:hAnsi="Times New Roman"/>
          <w:sz w:val="19"/>
          <w:szCs w:val="19"/>
          <w:color w:val="auto"/>
        </w:rPr>
        <w:t>Our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segment includes our portfolio of domestic and international pay and free streaming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services. </w:t>
      </w: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 xml:space="preserve"> generated approximately 26% of our consolidated revenues in 2024.</w:t>
      </w:r>
    </w:p>
    <w:p>
      <w:pPr>
        <w:spacing w:after="0" w:line="149" w:lineRule="exact"/>
        <w:rPr>
          <w:rFonts w:ascii="Times New Roman" w:cs="Times New Roman" w:eastAsia="Times New Roman" w:hAnsi="Times New Roman"/>
          <w:sz w:val="19"/>
          <w:szCs w:val="19"/>
          <w:color w:val="auto"/>
        </w:rPr>
      </w:pPr>
    </w:p>
    <w:p>
      <w:pPr>
        <w:jc w:val="both"/>
        <w:ind w:left="320" w:hanging="314"/>
        <w:spacing w:after="0" w:line="275" w:lineRule="auto"/>
        <w:tabs>
          <w:tab w:leader="none" w:pos="30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Filmed Entertainment. </w:t>
      </w:r>
      <w:r>
        <w:rPr>
          <w:rFonts w:ascii="Times New Roman" w:cs="Times New Roman" w:eastAsia="Times New Roman" w:hAnsi="Times New Roman"/>
          <w:sz w:val="19"/>
          <w:szCs w:val="19"/>
          <w:color w:val="auto"/>
        </w:rPr>
        <w:t>Our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segment consists of the production and acquisition of films, series and short-form</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content for release and licensing around the world, including in theaters, on streaming services, on television, and through digital home entertainment and DVDs/Blu-rays. </w:t>
      </w: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 xml:space="preserve"> generated approximately 10% of our consolidated revenues in 2024.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Corporate Information</w:t>
      </w:r>
    </w:p>
    <w:p>
      <w:pPr>
        <w:spacing w:after="0" w:line="236" w:lineRule="exact"/>
        <w:rPr>
          <w:sz w:val="20"/>
          <w:szCs w:val="20"/>
          <w:color w:val="auto"/>
        </w:rPr>
      </w:pPr>
    </w:p>
    <w:p>
      <w:pPr>
        <w:jc w:val="both"/>
        <w:spacing w:after="0" w:line="249" w:lineRule="exact"/>
        <w:rPr>
          <w:sz w:val="20"/>
          <w:szCs w:val="20"/>
          <w:color w:val="auto"/>
        </w:rPr>
      </w:pPr>
      <w:r>
        <w:rPr>
          <w:rFonts w:ascii="Times New Roman" w:cs="Times New Roman" w:eastAsia="Times New Roman" w:hAnsi="Times New Roman"/>
          <w:sz w:val="19"/>
          <w:szCs w:val="19"/>
          <w:color w:val="auto"/>
        </w:rPr>
        <w:t xml:space="preserve">We were organized as a Delaware corporation in 1986. Our principal offices are located at 1515 Broadway, New York, New York 10036. Our telephone number is (212) 258-6000 and our website is </w:t>
      </w:r>
      <w:r>
        <w:rPr>
          <w:rFonts w:ascii="Times New Roman" w:cs="Times New Roman" w:eastAsia="Times New Roman" w:hAnsi="Times New Roman"/>
          <w:sz w:val="19"/>
          <w:szCs w:val="19"/>
          <w:i w:val="1"/>
          <w:iCs w:val="1"/>
          <w:color w:val="auto"/>
        </w:rPr>
        <w:t>paramount.com</w:t>
      </w:r>
      <w:r>
        <w:rPr>
          <w:rFonts w:ascii="Times New Roman" w:cs="Times New Roman" w:eastAsia="Times New Roman" w:hAnsi="Times New Roman"/>
          <w:sz w:val="19"/>
          <w:szCs w:val="19"/>
          <w:color w:val="auto"/>
        </w:rPr>
        <w:t>. Information included on or accessible through our website is not intended to be incorporated into this Annual Report on Form 10</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K.</w:t>
      </w:r>
    </w:p>
    <w:p>
      <w:pPr>
        <w:spacing w:after="0" w:line="16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We have two classes of common stock, Class A Common Stock and Class B Common Stock (together, our “Common Stock”), both of which are listed on The Nasdaq Stock Market LLC, under the ticker symbols “PARAA” and “PARA,” respectively. Shares of our Class A Common Stock are entitled to one vote per share. Shares of our Class B Common Stock do not have voting rights. As of December 31, 2024, NAI, a closely held corporation that owns and operates movie screens in the U.S., the United Kingdom (the “U.K.”) and South America, directly or indirectly owned approximately 77.4% of our voting Class A Common Stock, and approximately 9.5% of our Common Stock. NAI is not subject to the reporting requirements of the Securities Exchange Act of 1934, as amended.</w:t>
      </w:r>
    </w:p>
    <w:p>
      <w:pPr>
        <w:spacing w:after="0" w:line="16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In December 2019, we changed our name from CBS Corporation (“CBS”) to ViacomCBS Inc. (“ViacomCBS”) in connection with the merger of Viacom Inc. (“Viacom”) and CBS. In February 2022, we changed our name to Paramount Global. Unless the context requires otherwise, references in this document to “Paramount,” “the Company,” “we,” “us” and “our” mean Paramount Global and its consolidated subsidiaries, to “CBS” mean CBS and its consolidated subsidiaries prior to the merger and to “Viacom” mean Viacom and its consolidated subsidiaries prior to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9"/>
          <w:szCs w:val="19"/>
          <w:b w:val="1"/>
          <w:bCs w:val="1"/>
          <w:color w:val="auto"/>
        </w:rPr>
        <w:t>Our Segments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TV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156210</wp:posOffset>
            </wp:positionV>
            <wp:extent cx="4686300" cy="8832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86300"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 xml:space="preserve">Our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segment consists of our (1) broadcast operations — the CBS Television Network, our domestic broadcast television network; CBS Stations, our owned television stations; and our international free-to-air networks, Network 10, Channel 5, Telefe and Chilevisión; (2) domestic premium and basic cable networks, including Nickelodeon, MTV, CMT, Comedy Central, BET and Paramount+ with SHOWTIME, and international extensions of certain of these brands; and (3) domestic and international television studio operations, including CBS Studios and SHOWTIME/MTV Entertainment Studios, as well as CBS Media Ventures, which produces and distributes first-run syndicated programming.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also includes a number of digital properties such as CBS News Streaming for 24-hour news and CBS Sports HQ for sports news and analysis.</w:t>
      </w:r>
    </w:p>
    <w:p>
      <w:pPr>
        <w:spacing w:after="0" w:line="1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i w:val="1"/>
          <w:iCs w:val="1"/>
          <w:color w:val="auto"/>
        </w:rPr>
        <w:t xml:space="preserve">TV Media’s </w:t>
      </w:r>
      <w:r>
        <w:rPr>
          <w:rFonts w:ascii="Times New Roman" w:cs="Times New Roman" w:eastAsia="Times New Roman" w:hAnsi="Times New Roman"/>
          <w:sz w:val="19"/>
          <w:szCs w:val="19"/>
          <w:color w:val="auto"/>
        </w:rPr>
        <w:t>revenues are generated primarily from (1) advertising; (2) affiliate and subscription revenues principally comprised of (i) fees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received from distributors for carriage of our cable networks (known as cable affiliate fees) and our owned television stations (known as retransmission fees) and (ii) fees received from television stations owned by third parties for their affiliation with the CBS Television Network (known as reverse compensation); and (3) the licensing and distribution of our content and other rights. In 2024, advertising, affiliate and subscription, and licensing and other generated approximately 43%, 41% and 16%, respectively, of the segment’s total revenues.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 xml:space="preserve">TV Media </w:t>
      </w:r>
      <w:r>
        <w:rPr>
          <w:rFonts w:ascii="Times New Roman" w:cs="Times New Roman" w:eastAsia="Times New Roman" w:hAnsi="Times New Roman"/>
          <w:sz w:val="19"/>
          <w:szCs w:val="19"/>
          <w:color w:val="auto"/>
        </w:rPr>
        <w:t>generated approximately 65%, 68% and 72% of our consolidated revenues in 2024, 2023 and 2022, respectively.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Broadcast</w:t>
      </w:r>
    </w:p>
    <w:p>
      <w:pPr>
        <w:spacing w:after="0" w:line="2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b w:val="1"/>
          <w:bCs w:val="1"/>
          <w:color w:val="auto"/>
        </w:rPr>
        <w:t xml:space="preserve">CBS Television Network. </w:t>
      </w:r>
      <w:r>
        <w:rPr>
          <w:rFonts w:ascii="Times New Roman" w:cs="Times New Roman" w:eastAsia="Times New Roman" w:hAnsi="Times New Roman"/>
          <w:sz w:val="19"/>
          <w:szCs w:val="19"/>
          <w:color w:val="auto"/>
        </w:rPr>
        <w:t>The CBS Television Network (the “CBS Network”), through CBS Entertainment, CBS News and CBS Sports,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distributes entertainment, news and public affairs, and sports programming to both owned and affiliated broadcast television stations. CBS Network content is also available on (1) the internet, including through CBS.com, CBSNews.com, CBSSports.com and related apps; (2) our streaming services, such as Paramount+ with SHOWTIME and Pluto TV; and (3) multichannel video programming distributors (“MVPDs”) and video streaming services. CBS Entertainment acquires or develops and schedules entertainment programming on the CBS Network, which includes primetime comedies and dramas, reality, specials, kids’ programs, daytime dramas, game shows and late night. CBS News operates a worldwide news organization providing the CBS Network, CBS News Radio and digital platforms with regularly scheduled news and public affairs programs. CBS Sports broadcasts include certain regular-season and playoff NFL games, including wild card playoff games and American Football Conference divisional playoff and championship games and, on a rotating basis with other networks, the Super Bowl; certain regular-season and tournament college basketball games, including the National Collegiate Athletic Association’s (the “NCAA”) Division I Men’s Basketball Tournament; regular-season college football games, including the Big Ten Conference and the Army-Navy Game; the PGA Tour, the PGA Championship and the Masters; and certain UEFA Champions League games.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b w:val="1"/>
          <w:bCs w:val="1"/>
          <w:color w:val="auto"/>
        </w:rPr>
        <w:t xml:space="preserve">CBS Stations. </w:t>
      </w:r>
      <w:r>
        <w:rPr>
          <w:rFonts w:ascii="Times New Roman" w:cs="Times New Roman" w:eastAsia="Times New Roman" w:hAnsi="Times New Roman"/>
          <w:sz w:val="19"/>
          <w:szCs w:val="19"/>
          <w:color w:val="auto"/>
        </w:rPr>
        <w:t>CBS Stations consists of our 29 owned broadcast television stations, all of which operate under licenses granted by the Federal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Communications Commission (the “FCC”) pursuant to the Communications Act of 1934, as amended (the “Communications Act”). Our stations are located in the five largest, and 15 of the top 20, television markets in the U.S. We own multiple stations within the same local market area in 10 major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bookmarkStart w:id="6" w:name="page7"/>
    <w:bookmarkEnd w:id="6"/>
    <w:p>
      <w:pPr>
        <w:jc w:val="both"/>
        <w:spacing w:after="0" w:line="300" w:lineRule="auto"/>
        <w:rPr>
          <w:sz w:val="20"/>
          <w:szCs w:val="20"/>
          <w:color w:val="auto"/>
        </w:rPr>
      </w:pPr>
      <w:r>
        <w:rPr>
          <w:rFonts w:ascii="Times New Roman" w:cs="Times New Roman" w:eastAsia="Times New Roman" w:hAnsi="Times New Roman"/>
          <w:sz w:val="19"/>
          <w:szCs w:val="19"/>
          <w:color w:val="auto"/>
        </w:rPr>
        <w:t>markets, including New York, Los Angeles and Philadelphia. The stations broadcast news, public affairs, sports and other programming to serve their local markets. Local versions of CBS News Streaming offer local news from certain of our owned stations.</w:t>
      </w:r>
    </w:p>
    <w:p>
      <w:pPr>
        <w:spacing w:after="0" w:line="12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b w:val="1"/>
          <w:bCs w:val="1"/>
          <w:color w:val="auto"/>
        </w:rPr>
        <w:t xml:space="preserve">International Free-to-Air Networks. </w:t>
      </w:r>
      <w:r>
        <w:rPr>
          <w:rFonts w:ascii="Times New Roman" w:cs="Times New Roman" w:eastAsia="Times New Roman" w:hAnsi="Times New Roman"/>
          <w:sz w:val="19"/>
          <w:szCs w:val="19"/>
          <w:color w:val="auto"/>
        </w:rPr>
        <w:t>We operate a number of free-to-air networks around the world: Network 10 in Australia, whose brands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include 10, 10 Bold Drama, 10 Peach Comedy and 10 Play; Channel 5, a public service broadcaster in the U.K. whose brands include 5, 5 Action, 5 Select, 5Star, 5USA, Milkshake and My5; Telefe in Argentina, whose brands include Telefe Noticias, Mi Telefe, Telefe Internacional, tlfesports, Mitelefe and Telefe Channels on Pluto TV; and Chilevisión in Chile, whose brands include Chilevisión Noticias, CHV and Chilevisión Channels on Pluto TV.</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Cable</w:t>
      </w:r>
    </w:p>
    <w:p>
      <w:pPr>
        <w:spacing w:after="0" w:line="2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Paramount Media Networks. </w:t>
      </w:r>
      <w:r>
        <w:rPr>
          <w:rFonts w:ascii="Times New Roman" w:cs="Times New Roman" w:eastAsia="Times New Roman" w:hAnsi="Times New Roman"/>
          <w:sz w:val="19"/>
          <w:szCs w:val="19"/>
          <w:color w:val="auto"/>
        </w:rPr>
        <w:t>Paramount Media Networks connects with global audiences through its iconic brands ― CMT, a country music</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and lifestyle channel; Comedy Central, a comedy brand with a focus on adult animation and late-night programming; Logo, a network dedicated to lifestyle and entertainment programming for LGBTQ+ audiences; MTV, a storied youth entertainment brand home to notable franchises and live events such as the </w:t>
      </w:r>
      <w:r>
        <w:rPr>
          <w:rFonts w:ascii="Times New Roman" w:cs="Times New Roman" w:eastAsia="Times New Roman" w:hAnsi="Times New Roman"/>
          <w:sz w:val="19"/>
          <w:szCs w:val="19"/>
          <w:i w:val="1"/>
          <w:iCs w:val="1"/>
          <w:color w:val="auto"/>
        </w:rPr>
        <w:t>MTV Video Music Awards</w:t>
      </w:r>
      <w:r>
        <w:rPr>
          <w:rFonts w:ascii="Times New Roman" w:cs="Times New Roman" w:eastAsia="Times New Roman" w:hAnsi="Times New Roman"/>
          <w:sz w:val="19"/>
          <w:szCs w:val="19"/>
          <w:color w:val="auto"/>
        </w:rPr>
        <w:t xml:space="preserve">; Nickelodeon, an entertainment brand for kids and families; Paramount Network, a premier entertainment destination and home to </w:t>
      </w:r>
      <w:r>
        <w:rPr>
          <w:rFonts w:ascii="Times New Roman" w:cs="Times New Roman" w:eastAsia="Times New Roman" w:hAnsi="Times New Roman"/>
          <w:sz w:val="19"/>
          <w:szCs w:val="19"/>
          <w:i w:val="1"/>
          <w:iCs w:val="1"/>
          <w:color w:val="auto"/>
        </w:rPr>
        <w:t>Yellowstone</w:t>
      </w:r>
      <w:r>
        <w:rPr>
          <w:rFonts w:ascii="Times New Roman" w:cs="Times New Roman" w:eastAsia="Times New Roman" w:hAnsi="Times New Roman"/>
          <w:sz w:val="19"/>
          <w:szCs w:val="19"/>
          <w:color w:val="auto"/>
        </w:rPr>
        <w:t>; Paramount+ with SHOWTIME, our premium channel, offering original scripted and unscripted series, movies, documentaries and docuseries and comedy; Pop TV, a pop culture-focused channel; The Smithsonian Channel, home of popular genres such as air and space, travel, history, science, nature and culture; and TV Land, a destination for viewers in their 30s and 40s.</w:t>
      </w:r>
    </w:p>
    <w:p>
      <w:pPr>
        <w:spacing w:after="0" w:line="1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b w:val="1"/>
          <w:bCs w:val="1"/>
          <w:color w:val="auto"/>
        </w:rPr>
        <w:t xml:space="preserve">BET Media Group. </w:t>
      </w:r>
      <w:r>
        <w:rPr>
          <w:rFonts w:ascii="Times New Roman" w:cs="Times New Roman" w:eastAsia="Times New Roman" w:hAnsi="Times New Roman"/>
          <w:sz w:val="19"/>
          <w:szCs w:val="19"/>
          <w:color w:val="auto"/>
        </w:rPr>
        <w:t>BET Media Group provides premium entertainment, music, news, digital and public affairs content for Black audiences.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BET Media Group serves as a destination for Black expression as well as a gathering place for Black creators, talent and communities. BET Media Group’s multiplatform extensions include BET Studios, a studio venture that offers equity ownership to Black content creators, and BET’s events and experience business, which includes the </w:t>
      </w:r>
      <w:r>
        <w:rPr>
          <w:rFonts w:ascii="Times New Roman" w:cs="Times New Roman" w:eastAsia="Times New Roman" w:hAnsi="Times New Roman"/>
          <w:sz w:val="19"/>
          <w:szCs w:val="19"/>
          <w:i w:val="1"/>
          <w:iCs w:val="1"/>
          <w:color w:val="auto"/>
        </w:rPr>
        <w:t>BET Awards</w:t>
      </w:r>
      <w:r>
        <w:rPr>
          <w:rFonts w:ascii="Times New Roman" w:cs="Times New Roman" w:eastAsia="Times New Roman" w:hAnsi="Times New Roman"/>
          <w:sz w:val="19"/>
          <w:szCs w:val="19"/>
          <w:color w:val="auto"/>
        </w:rPr>
        <w:t>, and VH1, a multicultural pop culture destination.</w:t>
      </w:r>
    </w:p>
    <w:p>
      <w:pPr>
        <w:spacing w:after="0" w:line="15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b w:val="1"/>
          <w:bCs w:val="1"/>
          <w:color w:val="auto"/>
        </w:rPr>
        <w:t xml:space="preserve">CBS Sports Network. </w:t>
      </w:r>
      <w:r>
        <w:rPr>
          <w:rFonts w:ascii="Times New Roman" w:cs="Times New Roman" w:eastAsia="Times New Roman" w:hAnsi="Times New Roman"/>
          <w:sz w:val="19"/>
          <w:szCs w:val="19"/>
          <w:color w:val="auto"/>
        </w:rPr>
        <w:t>The CBS Sports Network is CBS Sports’ 24-hour cable channel that provides a diverse slate of sports and related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content. The network televises live professional, amateur and college events, including Division I college football, basketball, hockey and lacrosse, and certain domestic and international soccer games. The network also showcases a variety of additional programming, including studio shows, features and documentaries. CBS Sports Network also provides ancillary coverage for CBS Sports relating to major events, such as the NCAA Division I Men’s Basketball Tournament, the Masters and the PGA Championship</w:t>
      </w:r>
      <w:r>
        <w:rPr>
          <w:rFonts w:ascii="Times New Roman" w:cs="Times New Roman" w:eastAsia="Times New Roman" w:hAnsi="Times New Roman"/>
          <w:sz w:val="19"/>
          <w:szCs w:val="19"/>
          <w:i w:val="1"/>
          <w:iCs w:val="1"/>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Studios</w:t>
      </w:r>
    </w:p>
    <w:p>
      <w:pPr>
        <w:spacing w:after="0" w:line="2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 xml:space="preserve">Our studios produce content across broadcast, cable and streaming in the U.S. and internationally. Our studios include CBS Studios, which produces series and maintains an extensive library of intellectual property, including global franchises such as </w:t>
      </w:r>
      <w:r>
        <w:rPr>
          <w:rFonts w:ascii="Times New Roman" w:cs="Times New Roman" w:eastAsia="Times New Roman" w:hAnsi="Times New Roman"/>
          <w:sz w:val="19"/>
          <w:szCs w:val="19"/>
          <w:i w:val="1"/>
          <w:iCs w:val="1"/>
          <w:color w:val="auto"/>
        </w:rPr>
        <w:t>NCIS</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Star Trek</w:t>
      </w:r>
      <w:r>
        <w:rPr>
          <w:rFonts w:ascii="Times New Roman" w:cs="Times New Roman" w:eastAsia="Times New Roman" w:hAnsi="Times New Roman"/>
          <w:sz w:val="19"/>
          <w:szCs w:val="19"/>
          <w:color w:val="auto"/>
        </w:rPr>
        <w:t>, as well as late night and daytime programming; and SHOWTIME/MTV Entertainment Studios, which produces television series and films and includes MTV Documentary Films.</w:t>
      </w:r>
    </w:p>
    <w:p>
      <w:pPr>
        <w:spacing w:after="0" w:line="1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CBS Media Ventures (“CMV”) produces and distributes original series programming across various dayparts and genres, including talk shows, court shows, game shows and newsmagazines, which are licensed on a market-by-market basis to television stations for local broadcast television and streaming. CMV engages in national advertising and integrated marketing sales for the programming it distributes, as well as serving as the national advertising sales agent for other major syndicators.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9"/>
          <w:szCs w:val="19"/>
          <w:b w:val="1"/>
          <w:bCs w:val="1"/>
          <w:i w:val="1"/>
          <w:iCs w:val="1"/>
          <w:color w:val="auto"/>
        </w:rPr>
        <w:t>Direct-to-Consumer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4686300" cy="8832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86300"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 xml:space="preserve">Our </w:t>
      </w: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 xml:space="preserve"> segment includes our portfolio of domestic and international pay and free streaming services, including Paramount+, Pluto TV and BET+. </w:t>
      </w:r>
      <w:r>
        <w:rPr>
          <w:rFonts w:ascii="Times New Roman" w:cs="Times New Roman" w:eastAsia="Times New Roman" w:hAnsi="Times New Roman"/>
          <w:sz w:val="19"/>
          <w:szCs w:val="19"/>
          <w:i w:val="1"/>
          <w:iCs w:val="1"/>
          <w:color w:val="auto"/>
        </w:rPr>
        <w:t>Direct-to-Consumer’s</w:t>
      </w:r>
      <w:r>
        <w:rPr>
          <w:rFonts w:ascii="Times New Roman" w:cs="Times New Roman" w:eastAsia="Times New Roman" w:hAnsi="Times New Roman"/>
          <w:sz w:val="19"/>
          <w:szCs w:val="19"/>
          <w:color w:val="auto"/>
        </w:rPr>
        <w:t xml:space="preserve"> revenues are principally comprised of advertising and subscription revenues generated by our streaming services. In 2024, subscriptions and advertising generated approximately 72% and 28%, respectively, of the segment’s total revenues.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 xml:space="preserve">Direct-to-Consumer </w:t>
      </w:r>
      <w:r>
        <w:rPr>
          <w:rFonts w:ascii="Times New Roman" w:cs="Times New Roman" w:eastAsia="Times New Roman" w:hAnsi="Times New Roman"/>
          <w:sz w:val="19"/>
          <w:szCs w:val="19"/>
          <w:color w:val="auto"/>
        </w:rPr>
        <w:t>generated approximately 26%, 22% and 16% of our consolidated revenues in 2024, 2023 and 2022, respectively.</w:t>
      </w:r>
    </w:p>
    <w:p>
      <w:pPr>
        <w:spacing w:after="0" w:line="23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b w:val="1"/>
          <w:bCs w:val="1"/>
          <w:color w:val="auto"/>
        </w:rPr>
        <w:t xml:space="preserve">Paramount+. </w:t>
      </w:r>
      <w:r>
        <w:rPr>
          <w:rFonts w:ascii="Times New Roman" w:cs="Times New Roman" w:eastAsia="Times New Roman" w:hAnsi="Times New Roman"/>
          <w:sz w:val="19"/>
          <w:szCs w:val="19"/>
          <w:color w:val="auto"/>
        </w:rPr>
        <w:t>Paramount+, our global on-demand and live subscription streaming service, combines live sports, news and entertainment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content. Paramount+ features an expansive catalogue of original series, shows and popular movies across every genre from our brands and production studios and from third parties. Domestically, Paramount+ is home to livestreamed CBS Sports programming. A destination for soccer fans, Paramount+ also features select live and on-demand matches from a number of domestic and international leagues, including UEFA Champions League, Italy’s Serie A and the National Women’s Soccer League. Paramount+ enables subscribers to stream local CBS Stations live across the U.S. in addition to CBS News Streaming and CBS Sports HQ. Paramount+ is available in two tiers in the U.S.: Paramount+ with SHOWTIME, our premium, advertising-free (except during livestreamed and other limited content) streaming offering for a subscription fee; and Paramount+ Essential, our advertising-supported offering available for a lower fee that includes the NFL but not livestreamed local CBS Stations or SHOWTIME content.</w:t>
      </w:r>
    </w:p>
    <w:p>
      <w:pPr>
        <w:spacing w:after="0" w:line="17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b w:val="1"/>
          <w:bCs w:val="1"/>
          <w:color w:val="auto"/>
        </w:rPr>
        <w:t xml:space="preserve">Pluto TV. </w:t>
      </w:r>
      <w:r>
        <w:rPr>
          <w:rFonts w:ascii="Times New Roman" w:cs="Times New Roman" w:eastAsia="Times New Roman" w:hAnsi="Times New Roman"/>
          <w:sz w:val="19"/>
          <w:szCs w:val="19"/>
          <w:color w:val="auto"/>
        </w:rPr>
        <w:t>Pluto TV, our global FAST service, features a broad range of curated live linear channels and on-demand content. Categories cover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wide array of genres, including movies, television series, classic television, sports, news and opinion, drama, reality, competition reality, true crime, game shows, comedy, daytime TV, home and food, lifestyle, anime, animals and nature, music, kids and local news.</w:t>
      </w:r>
    </w:p>
    <w:p>
      <w:pPr>
        <w:spacing w:after="0" w:line="16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b w:val="1"/>
          <w:bCs w:val="1"/>
          <w:color w:val="auto"/>
        </w:rPr>
        <w:t xml:space="preserve">BET+. </w:t>
      </w:r>
      <w:r>
        <w:rPr>
          <w:rFonts w:ascii="Times New Roman" w:cs="Times New Roman" w:eastAsia="Times New Roman" w:hAnsi="Times New Roman"/>
          <w:sz w:val="19"/>
          <w:szCs w:val="19"/>
          <w:color w:val="auto"/>
        </w:rPr>
        <w:t>BET+, a joint venture between BET and Tyler Perry Studios, is a subscription streaming service in the U.S. focused on Black</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audiences, featuring movies, television, stand-up comedy, award shows and specials. BET+ is home to exclusive original content from leading Black creators. BET+ is available in advertising-free (except during livestreamed and other limited content) and advertising-supported tiers.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Filmed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156210</wp:posOffset>
            </wp:positionV>
            <wp:extent cx="4686300" cy="8832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686300"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 xml:space="preserve">Our </w:t>
      </w: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 xml:space="preserve"> segment consists of Paramount Pictures, Paramount Players, Paramount Animation, Nickelodeon Studios, Awesomeness and Miramax. </w:t>
      </w: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 xml:space="preserve"> produces and acquires films, series and short-form content for release and licensing around the world, including in theaters, on streaming services, on television, and through digital home entertainment and DVDs/Blu-rays. </w:t>
      </w:r>
      <w:r>
        <w:rPr>
          <w:rFonts w:ascii="Times New Roman" w:cs="Times New Roman" w:eastAsia="Times New Roman" w:hAnsi="Times New Roman"/>
          <w:sz w:val="19"/>
          <w:szCs w:val="19"/>
          <w:i w:val="1"/>
          <w:iCs w:val="1"/>
          <w:color w:val="auto"/>
        </w:rPr>
        <w:t>Filmed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Entertainment’s </w:t>
      </w:r>
      <w:r>
        <w:rPr>
          <w:rFonts w:ascii="Times New Roman" w:cs="Times New Roman" w:eastAsia="Times New Roman" w:hAnsi="Times New Roman"/>
          <w:sz w:val="19"/>
          <w:szCs w:val="19"/>
          <w:color w:val="auto"/>
        </w:rPr>
        <w:t>revenues are generated primarily from the release or distribution of films theatrically and the licensing of film and television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bookmarkStart w:id="8" w:name="page9"/>
    <w:bookmarkEnd w:id="8"/>
    <w:p>
      <w:pPr>
        <w:jc w:val="both"/>
        <w:spacing w:after="0" w:line="300" w:lineRule="auto"/>
        <w:rPr>
          <w:sz w:val="20"/>
          <w:szCs w:val="20"/>
          <w:color w:val="auto"/>
        </w:rPr>
      </w:pPr>
      <w:r>
        <w:rPr>
          <w:rFonts w:ascii="Times New Roman" w:cs="Times New Roman" w:eastAsia="Times New Roman" w:hAnsi="Times New Roman"/>
          <w:sz w:val="19"/>
          <w:szCs w:val="19"/>
          <w:color w:val="auto"/>
        </w:rPr>
        <w:t>content. In 2024, theatrical, licensing and other, and advertising revenues generated approximately 27%, 72% and 1%, respectively, of the segment’s total revenues.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 xml:space="preserve">Filmed Entertainment </w:t>
      </w:r>
      <w:r>
        <w:rPr>
          <w:rFonts w:ascii="Times New Roman" w:cs="Times New Roman" w:eastAsia="Times New Roman" w:hAnsi="Times New Roman"/>
          <w:sz w:val="19"/>
          <w:szCs w:val="19"/>
          <w:color w:val="auto"/>
        </w:rPr>
        <w:t>generated approximately 10%, 10% and 13% of our consolidated revenues in 2024, 2023 and 2022, respectively.</w:t>
      </w:r>
    </w:p>
    <w:p>
      <w:pPr>
        <w:spacing w:after="0" w:line="23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b w:val="1"/>
          <w:bCs w:val="1"/>
          <w:color w:val="auto"/>
        </w:rPr>
        <w:t xml:space="preserve">Paramount Pictures. </w:t>
      </w:r>
      <w:r>
        <w:rPr>
          <w:rFonts w:ascii="Times New Roman" w:cs="Times New Roman" w:eastAsia="Times New Roman" w:hAnsi="Times New Roman"/>
          <w:sz w:val="19"/>
          <w:szCs w:val="19"/>
          <w:color w:val="auto"/>
        </w:rPr>
        <w:t>A global producer and distributor of filmed entertainment since 1912, Paramount Pictures is an iconic brand with 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extensive library of films, which include such classics as </w:t>
      </w:r>
      <w:r>
        <w:rPr>
          <w:rFonts w:ascii="Times New Roman" w:cs="Times New Roman" w:eastAsia="Times New Roman" w:hAnsi="Times New Roman"/>
          <w:sz w:val="19"/>
          <w:szCs w:val="19"/>
          <w:i w:val="1"/>
          <w:iCs w:val="1"/>
          <w:color w:val="auto"/>
        </w:rPr>
        <w:t>Titanic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Forrest Gump</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The Godfather</w:t>
      </w:r>
      <w:r>
        <w:rPr>
          <w:rFonts w:ascii="Times New Roman" w:cs="Times New Roman" w:eastAsia="Times New Roman" w:hAnsi="Times New Roman"/>
          <w:sz w:val="19"/>
          <w:szCs w:val="19"/>
          <w:color w:val="auto"/>
        </w:rPr>
        <w:t xml:space="preserve">, and well-known franchises such as </w:t>
      </w:r>
      <w:r>
        <w:rPr>
          <w:rFonts w:ascii="Times New Roman" w:cs="Times New Roman" w:eastAsia="Times New Roman" w:hAnsi="Times New Roman"/>
          <w:sz w:val="19"/>
          <w:szCs w:val="19"/>
          <w:i w:val="1"/>
          <w:iCs w:val="1"/>
          <w:color w:val="auto"/>
        </w:rPr>
        <w:t xml:space="preserve">Mission: Impossible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i w:val="1"/>
          <w:iCs w:val="1"/>
          <w:color w:val="auto"/>
        </w:rPr>
        <w:t xml:space="preserve"> Transformers</w:t>
      </w:r>
      <w:r>
        <w:rPr>
          <w:rFonts w:ascii="Times New Roman" w:cs="Times New Roman" w:eastAsia="Times New Roman" w:hAnsi="Times New Roman"/>
          <w:sz w:val="19"/>
          <w:szCs w:val="19"/>
          <w:color w:val="auto"/>
        </w:rPr>
        <w:t>.</w:t>
      </w:r>
    </w:p>
    <w:p>
      <w:pPr>
        <w:spacing w:after="0" w:line="16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color w:val="auto"/>
        </w:rPr>
        <w:t xml:space="preserve">Paramount Players. </w:t>
      </w:r>
      <w:r>
        <w:rPr>
          <w:rFonts w:ascii="Times New Roman" w:cs="Times New Roman" w:eastAsia="Times New Roman" w:hAnsi="Times New Roman"/>
          <w:sz w:val="19"/>
          <w:szCs w:val="19"/>
          <w:color w:val="auto"/>
        </w:rPr>
        <w:t>Paramount Players focuses on creating genre films from distinct, contemporary voices and properties, as well as drawing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from Paramount’s rich library of content.</w:t>
      </w:r>
    </w:p>
    <w:p>
      <w:pPr>
        <w:spacing w:after="0" w:line="15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color w:val="auto"/>
        </w:rPr>
        <w:t xml:space="preserve">Paramount Animation. </w:t>
      </w:r>
      <w:r>
        <w:rPr>
          <w:rFonts w:ascii="Times New Roman" w:cs="Times New Roman" w:eastAsia="Times New Roman" w:hAnsi="Times New Roman"/>
          <w:sz w:val="19"/>
          <w:szCs w:val="19"/>
          <w:color w:val="auto"/>
        </w:rPr>
        <w:t>Paramount Animation develops and produces franchise and original animated films, including drawing from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Paramount Pictures and Nickelodeon libraries.</w:t>
      </w:r>
    </w:p>
    <w:p>
      <w:pPr>
        <w:spacing w:after="0" w:line="150"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b w:val="1"/>
          <w:bCs w:val="1"/>
          <w:color w:val="auto"/>
        </w:rPr>
        <w:t xml:space="preserve">Nickelodeon Studios. </w:t>
      </w:r>
      <w:r>
        <w:rPr>
          <w:rFonts w:ascii="Times New Roman" w:cs="Times New Roman" w:eastAsia="Times New Roman" w:hAnsi="Times New Roman"/>
          <w:sz w:val="19"/>
          <w:szCs w:val="19"/>
          <w:color w:val="auto"/>
        </w:rPr>
        <w:t>Nickelodeon Studios produces animated and live-action series, films and short-form content for kids and families across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multiple platforms worldwide.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Awesomeness. </w:t>
      </w:r>
      <w:r>
        <w:rPr>
          <w:rFonts w:ascii="Times New Roman" w:cs="Times New Roman" w:eastAsia="Times New Roman" w:hAnsi="Times New Roman"/>
          <w:sz w:val="19"/>
          <w:szCs w:val="19"/>
          <w:color w:val="auto"/>
        </w:rPr>
        <w:t>Awesomeness produces live-action series, films and short-form content for the global Gen Z audience.</w:t>
      </w:r>
    </w:p>
    <w:p>
      <w:pPr>
        <w:spacing w:after="0" w:line="23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b w:val="1"/>
          <w:bCs w:val="1"/>
          <w:color w:val="auto"/>
        </w:rPr>
        <w:t xml:space="preserve">Miramax. </w:t>
      </w:r>
      <w:r>
        <w:rPr>
          <w:rFonts w:ascii="Times New Roman" w:cs="Times New Roman" w:eastAsia="Times New Roman" w:hAnsi="Times New Roman"/>
          <w:sz w:val="19"/>
          <w:szCs w:val="19"/>
          <w:color w:val="auto"/>
        </w:rPr>
        <w:t>Miramax, a joint venture with beIN Media Group, is a global film and television studio with an extensive library of content. We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have exclusive, long-term rights to distribute Miramax’s library, as well as certain rights to co-produce, co-finance and/or distribute new film and television projects.</w:t>
      </w:r>
    </w:p>
    <w:p>
      <w:pPr>
        <w:spacing w:after="0" w:line="16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We produce most of the films we release theatrically and also acquire films for distribution from third parties. In some cases, we co-finance and/or co-distribute films with third parties, including other studios, who participate in the financing of the costs of a film or group of films in exchange for an economic participation and a partial copyright interest.</w:t>
      </w:r>
    </w:p>
    <w:p>
      <w:pPr>
        <w:spacing w:after="0" w:line="1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We distribute films in various media worldwide or in select territories and may engage third-party distributors for certain films in certain territories. Domestically, we generally market and distribute our own theatrical and home entertainment releases. Internationally, we distribute theatrical releases through our international affiliates or, in territories where we have no operating presence, through United International Pictures, our joint venture with Universal Studios, or other third-party distributors. Home entertainment releases on DVD and Blu-ray discs are distributed internationally by local licensees. We also license films and television shows domestically and/or internationally to a variety of platforms.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Corporate Responsibility</w:t>
      </w:r>
    </w:p>
    <w:p>
      <w:pPr>
        <w:spacing w:after="0" w:line="22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A significant part of our corporate responsibility strategy is centered on understanding and responding to our biggest risks and opportunities in three focus areas: (1) On-Screen Content &amp; Social Impact (pursuing opportunities to represent, inform and influence through our content and brands), (2) Workforce &amp; Culture (recruitment, retention and treatment of employees, contractors and partners) and (3) Sustainable Production &amp; Operations (environmental and social impacts of our operations, facilities, productions and other activities).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Sustainability Governance</w:t>
      </w:r>
    </w:p>
    <w:p>
      <w:pPr>
        <w:spacing w:after="0" w:line="22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Our sustainability team oversees the day-to-day strategy and implementation of our sustainability efforts under the leadership of our Steering Committee comprised of senior management, which includes our Chief Financial Officer and General Counsel. We also have multiple working groups dedicated to specific topics, including Governance, Sustainable Production, Regulatory Preparation and Sports Operations, comprised of subject matter experts from across our brands and functional teams, which together with the Steering Committee constitute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9" w:name="page10"/>
    <w:bookmarkEnd w:id="9"/>
    <w:p>
      <w:pPr>
        <w:jc w:val="both"/>
        <w:spacing w:after="0" w:line="264" w:lineRule="auto"/>
        <w:rPr>
          <w:sz w:val="20"/>
          <w:szCs w:val="20"/>
          <w:color w:val="auto"/>
        </w:rPr>
      </w:pPr>
      <w:r>
        <w:rPr>
          <w:rFonts w:ascii="Times New Roman" w:cs="Times New Roman" w:eastAsia="Times New Roman" w:hAnsi="Times New Roman"/>
          <w:sz w:val="19"/>
          <w:szCs w:val="19"/>
          <w:color w:val="auto"/>
        </w:rPr>
        <w:t>sustainability council. The council actively reviews and refines our sustainability strategies, programs and policies, and the sustainability team regularly updates the Steering Committee and other senior management, as well as the Nominating and Governance Committee of our Board of Directors, which, pursuant to its charter, oversees and monitors significant issues impacting our culture and reputation, as well as our handling of sustainability matters. Our sustainability team also partners with our Investor Relations and Legal teams in discussions with the investor community to share updates and answer questions.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Human Capital Management</w:t>
      </w:r>
    </w:p>
    <w:p>
      <w:pPr>
        <w:spacing w:after="0" w:line="23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We work to create a culture that is welcoming and a workplace where our employees and talent feel supported and have the opportunity to thrive. Our human capital management strategy is intended to address the areas described below. Additional information on the below topics can be found on our website.</w:t>
      </w:r>
    </w:p>
    <w:p>
      <w:pPr>
        <w:spacing w:after="0" w:line="15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As of December 31, 2024, we employed approximately 18,600 full- and part-time employees in 32 countries worldwide and had approximately 3,500 project-based staff on our payroll. We also use temporary employees in the ordinary course of business.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 Culture of Inclusion</w:t>
      </w:r>
    </w:p>
    <w:p>
      <w:pPr>
        <w:spacing w:after="0" w:line="22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We work to cultivate a culture of inclusion that honors everyone’s unique contributions through a range of partnerships, collaborations, programs and initiatives, including brand and companywide cross-functional inclusion councils and a talent sourcing team focused on building inclusive talent pipelines.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Preventing Harassment and Discrimination</w:t>
      </w:r>
    </w:p>
    <w:p>
      <w:pPr>
        <w:spacing w:after="0" w:line="23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We are committed to building a work environment free of harassment and discrimination. We make annual anti-discrimination and anti-harassment trainings available to all employees. We require employees to report any incidents of harassment or discrimination, and our Employee Relations team oversees all investigations of such complaints.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Employee Attraction, Retention and Training</w:t>
      </w:r>
    </w:p>
    <w:p>
      <w:pPr>
        <w:spacing w:after="0" w:line="23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Through our comprehensive compensation and benefits programs and our range of employee learning opportunities and tuition support and mentoring programs, we strive to recruit and retain top talent and create a high-performance culture.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Health, Safety and Security</w:t>
      </w:r>
    </w:p>
    <w:p>
      <w:pPr>
        <w:spacing w:after="0" w:line="2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physical and mental well-being of all our workers, including across our productions worldwide, are a top priority. We strive to take a proactive and targeted approach to identifying and mitigating health, safety and security risks. We require risk appropriate health and safety education throughout the organization, including daily safety meetings for production team members and job- and event-specific safety training for employees where appropriate. We strive to track, report and, as necessary, address safety, health and security incidents across the Company. Beyond the health and safety programs required by law, we offer a variety of mental health resources to support our employees and their families.</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Social Impact and Corporate Social Responsibility</w:t>
      </w:r>
    </w:p>
    <w:p>
      <w:pPr>
        <w:spacing w:after="0" w:line="23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We drive our global impact through our content, strategic initiatives, community programs and partnerships, philanthropy and employee engagement efforts. We use our content and platforms to represent, explore and champion issues that align with our values and impact our viewers, including by exploring and raising awareness of topics such as mental health and civic engagement.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9"/>
          <w:szCs w:val="19"/>
          <w:b w:val="1"/>
          <w:bCs w:val="1"/>
          <w:color w:val="auto"/>
        </w:rPr>
        <w:t>Competition</w:t>
      </w:r>
    </w:p>
    <w:p>
      <w:pPr>
        <w:spacing w:after="0" w:line="23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We operate in highly competitive industries and markets and compete for creative talent and intellectual property, as well as for audiences, advertisers and distribution of our content.</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We compete with a variety of media, technology and entertainment companies with substantial resources to produce, acquire and distribute content around the world, including broadcast and cable networks, streaming services, film and television studios, production companies, independent producers and syndicators, television stations and television station groups. We compete with other content creators for creative talent, including producers, directors, actors and writers, as well as for rights to new content ideas and intellectual property and the acquisition of popular programming.</w:t>
      </w:r>
    </w:p>
    <w:p>
      <w:pPr>
        <w:spacing w:after="0" w:line="1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We compete for audiences for our content with releases from other film studios, television producers and streaming services, as well as with other forms of entertainment and consumer spending outlets. We compete for audiences and advertising revenues primarily with other television networks; streaming services; social media; websites, apps and other online experiences; radio programming; and print media. Our businesses also face competition from many other entertainment options, including video games, sports and other live entertainment, travel and outdoor recreation.</w:t>
      </w:r>
    </w:p>
    <w:p>
      <w:pPr>
        <w:spacing w:after="0" w:line="200" w:lineRule="exact"/>
        <w:rPr>
          <w:sz w:val="20"/>
          <w:szCs w:val="20"/>
          <w:color w:val="auto"/>
        </w:rPr>
      </w:pPr>
    </w:p>
    <w:p>
      <w:pPr>
        <w:spacing w:after="0" w:line="21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 xml:space="preserve">We compete for distribution of our content. Our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 xml:space="preserve"> businesses compete for distribution of our program services and streaming services (and receipt of related fees) with other television networks, programmers and streaming services. We also compete with other broadcast networks to secure affiliations with independently-owned television stations to ensure the effective distribution of network programming in the U.S. We compete with studios and other producers of entertainment content for distribution on third-party platforms.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additional information regarding competition, see “Item 1A. Risk Factors — Risks Relating to Our Business and Industry.”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Regulation</w:t>
      </w:r>
    </w:p>
    <w:p>
      <w:pPr>
        <w:spacing w:after="0" w:line="2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 xml:space="preserve">Our businesses are subject to and affected by laws and regulations of U.S. federal, state and local governmental authorities, as well as laws and regulations of countries other than the U.S. and pan-national bodies such as the European Union (the “E.U.”). The laws and regulations affecting our businesses are constantly subject to change, as are the protections those laws and regulations afford us. The discussion below describes certain, but not all, laws and regulations affecting our businesses. See “Item 1A. Risk Factors — Risks Relating to Legal and Regulatory Matters — </w:t>
      </w:r>
      <w:r>
        <w:rPr>
          <w:rFonts w:ascii="Times New Roman" w:cs="Times New Roman" w:eastAsia="Times New Roman" w:hAnsi="Times New Roman"/>
          <w:sz w:val="19"/>
          <w:szCs w:val="19"/>
          <w:i w:val="1"/>
          <w:iCs w:val="1"/>
          <w:color w:val="auto"/>
        </w:rPr>
        <w:t>Failures to comply with or changes in U.S. or foreign laws or regulations could have an adverse effect on our business,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financial condition or results of operations</w:t>
      </w:r>
      <w:r>
        <w:rPr>
          <w:rFonts w:ascii="Times New Roman" w:cs="Times New Roman" w:eastAsia="Times New Roman" w:hAnsi="Times New Roman"/>
          <w:sz w:val="19"/>
          <w:szCs w:val="19"/>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FCC and Similar Regulation</w:t>
      </w:r>
    </w:p>
    <w:p>
      <w:pPr>
        <w:spacing w:after="0" w:line="2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 FCC regulates broadcast television, some aspects of cable network programming, and certain programming delivered by internet protocol in the U.S., pursuant to U.S. federal law, including the Communications Act. Violation of FCC rules can result in substantial monetary fines, the imposition of reporting obligations, limited renewals of broadcast station licenses and, in egregious cases, denial of license renewal or revocation of a license. Our international free-to-air networks are subject to the local rules and regulations of foreign regulators, including the Australian Communications and Media Authority (ACMA) in Australia; the Office of Communications (Ofcom) in the U.K.; Ente Nacional de Comunicaciones (ENACOM) in Argentina; and Consejo Nacional de Televisión (CNTV) in Chile.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License Renewals and Transfers</w:t>
      </w:r>
    </w:p>
    <w:p>
      <w:pPr>
        <w:spacing w:after="0" w:line="23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Each of our owned television stations in the U.S. must be licensed by the FCC. Television broadcast licenses are typically granted for eight-year terms, and we must obtain renewals as they expire to continue operating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bookmarkStart w:id="11" w:name="page12"/>
    <w:bookmarkEnd w:id="11"/>
    <w:p>
      <w:pPr>
        <w:jc w:val="both"/>
        <w:spacing w:after="0" w:line="263" w:lineRule="auto"/>
        <w:rPr>
          <w:sz w:val="20"/>
          <w:szCs w:val="20"/>
          <w:color w:val="auto"/>
        </w:rPr>
      </w:pPr>
      <w:r>
        <w:rPr>
          <w:rFonts w:ascii="Times New Roman" w:cs="Times New Roman" w:eastAsia="Times New Roman" w:hAnsi="Times New Roman"/>
          <w:sz w:val="19"/>
          <w:szCs w:val="19"/>
          <w:color w:val="auto"/>
        </w:rPr>
        <w:t>stations. The Communications Act requires the FCC to renew a broadcast license if the FCC finds that (1) the station has served the public interest, convenience and necessity; (2) with respect to the station, there have been no serious violations by the licensee of either the Communications Act or FCC rules; and (3) there have been no other violations by the licensee of the Communications Act or FCC rules that, taken together, constitute a pattern of abuse. A station remains authorized to operate while its license renewal application is pending. In addition, the Communications Act requires prior FCC approval for the assignment of a license or transfer of control of an FCC licensee. For example, because consummation of the Transactions will result in a transfer of control of the television stations that we own and operate, applications are currently pending before the FCC seeking approval for that transfer of control.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Broadcast Ownership Regulation</w:t>
      </w:r>
    </w:p>
    <w:p>
      <w:pPr>
        <w:spacing w:after="0" w:line="23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The Communications Act and FCC rules impose local and national ownership limits on broadcast television stations, as well as ownership limits on certain broadcast networks, in the U.S. The broadcast ownership rules discussed below are the most relevant to our U.S.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Local Television Ownership</w:t>
      </w:r>
    </w:p>
    <w:p>
      <w:pPr>
        <w:spacing w:after="0" w:line="23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FCC’s local television ownership rule generally prohibits common ownership of two full-power stations in a market unless at least one of the stations is not a top-four ranked station in the market based on audience share at the time of acquisition of the second station. In certain circumstances, the rule also restricts broadcasters from maintaining two or more top-four ranked broadcast channels in the same market via use of a station’s multicast channels or a low-power television station. However, the FCC may permit such common ownership if it finds such ownership would serve the public interest, convenience and necessity.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Dual Network Rule</w:t>
      </w:r>
    </w:p>
    <w:p>
      <w:pPr>
        <w:spacing w:after="0" w:line="21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The dual network rule prohibits any of the four major U.S. broadcast networks — ABC, CBS, FOX and NBC — from combining or being under common control.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Television National Audience Reach Limitation</w:t>
      </w:r>
    </w:p>
    <w:p>
      <w:pPr>
        <w:spacing w:after="0" w:line="23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Under the national television ownership rule, one party may not own, or have an attributable interest under the FCC’s rules in, television stations that reach more than 39% of all U.S. television households. For purposes of this rule, an ultra high frequency (UHF) station is afforded a “discount” and is therefore attributed with reaching only 50% of the television households in its market.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Foreign Ownership</w:t>
      </w:r>
    </w:p>
    <w:p>
      <w:pPr>
        <w:spacing w:after="0" w:line="21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The Communications Act generally restricts foreign individuals or entities from collectively owning more than 25% of our voting power or equity. FCC approval is required to exceed the 25% threshold. The FCC has approved foreign ownership levels of up to 100% in certain instances, following its review and approval of specific, named foreign individuals.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Cable and Satellite Carriage of Television Broadcast Stations</w:t>
      </w:r>
    </w:p>
    <w:p>
      <w:pPr>
        <w:spacing w:after="0" w:line="2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Communications Act and FCC rules govern the retransmission of broadcast television stations by cable system operators, direct broadcast satellite operators, and other MVPDs in the U.S. Pursuant to these regulations, we have elected to negotiate with MVPDs for the right to carry our broadcast television stations via retransmission consent agreements. The Communications Act and FCC rules require that broadcasters and some categories of MVPDs negotiate in good faith for retransmission consent. Some MVPDs and other third parties have sought changes to federal law that would eliminate or otherwise limit the ability of broadcasters to obtain fair compensation for the grant of retransmission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9"/>
          <w:szCs w:val="19"/>
          <w:i w:val="1"/>
          <w:iCs w:val="1"/>
          <w:color w:val="auto"/>
        </w:rPr>
        <w:t>Program Regulation</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 FCC also regulates the content of broadcast, cable network, and other video programming. The FCC prohibits broadcasters from airing obscene material at any time and indecent or profane material between 6:00 a.m. and 10:00 p.m. The FCC also monitors compliance with requirements that apply to broadcasters and cable networks relating to political advertising, identification of program sponsors, and the use and integrity of the Emergency Alert System. In addition, FCC rules require the closed captioning of almost all broadcast and/or cable programming, as well as certain programming in the U.S. delivered by internet protocol. Broadcast television stations in certain markets that are affiliated with one of the four major U.S. broadcast networks must also provide a certain amount of programming every quarter that includes audio-narrated description of a program’s key visual elements that make the program accessible to blind and low-vision viewers.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Children’s Programming</w:t>
      </w:r>
    </w:p>
    <w:p>
      <w:pPr>
        <w:spacing w:after="0" w:line="22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Our business is subject to various regulations in the U.S. and abroad applicable to children’s programming. U.S. federal law and FCC rules limit the amount and content of commercial matter that may be shown on broadcast television stations and cable networks during programming designed for children 12 years of age and younger, and the FCC also limits the display of certain commercial website addresses during children’s programming. Moreover, each of our broadcast television stations in the U.S. is required to air, in general, three hours per week of programming specifically designed to meet the educational and informational programming needs of children 16 years of age and younger.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Broadcast Transmission Standard</w:t>
      </w:r>
    </w:p>
    <w:p>
      <w:pPr>
        <w:spacing w:after="0" w:line="23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FCC rules permit television broadcasters to voluntarily broadcast using the “Next Generation” broadcast television transmission standard developed by the Advanced Television Systems Committee, Inc., also called “ATSC 3.0.” Full-service television stations using the standard are subject to certain requirements, including the obligation to continue broadcasting a generally identical program stream in the current ATSC 1.0 broadcast standard. The ATSC 3.0 standard can be used to offer better picture quality and improved mobile broadcast viewing. Consumers may be required to obtain new television sets or other equipment capable of receiving ATSC 3.0 broadcasts. We are participating in ATSC 3.0 partnerships with other broadcasters and may enter into additional partnerships in the future.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Global Data Protection Laws and Privacy Laws</w:t>
      </w:r>
    </w:p>
    <w:p>
      <w:pPr>
        <w:spacing w:after="0" w:line="2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We are subject to a number of data protection and privacy laws in many of the jurisdictions in which we operate, including laws in a number of different U.S. states, the U.K. and the E.U. These laws impact, or may impact, the way we collect, use, process, transfer, store and secure personal data. We are also subject to laws and regulations in many jurisdictions specifically intended to protect the interests of children, including the privacy of minors online. See “Item 1A. Risk Factors — Risks Relating to Legal and Regulatory Matters — </w:t>
      </w:r>
      <w:r>
        <w:rPr>
          <w:rFonts w:ascii="Times New Roman" w:cs="Times New Roman" w:eastAsia="Times New Roman" w:hAnsi="Times New Roman"/>
          <w:sz w:val="19"/>
          <w:szCs w:val="19"/>
          <w:i w:val="1"/>
          <w:iCs w:val="1"/>
          <w:color w:val="auto"/>
        </w:rPr>
        <w:t>We are subject to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complex, often inconsistent and potentially costly laws, regulations, industry standards and contractual obligations relating to privacy and data protection</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Intellectual Property</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 xml:space="preserve">We are fundamentally a content company, and the trademark, copyright, patent and other intellectual property laws that protect our brands, content and related intellectual property are extremely important to us. It is our practice to protect our brands, content and related intellectual property. Notwithstanding these efforts and the many legal protections that exist to combat piracy, the infringement of our intellectual property rights presents a significant challenge to our industry. See “Item 1A. Risk Factors — Risks Relating to Intellectual Property — </w:t>
      </w:r>
      <w:r>
        <w:rPr>
          <w:rFonts w:ascii="Times New Roman" w:cs="Times New Roman" w:eastAsia="Times New Roman" w:hAnsi="Times New Roman"/>
          <w:sz w:val="19"/>
          <w:szCs w:val="19"/>
          <w:i w:val="1"/>
          <w:iCs w:val="1"/>
          <w:color w:val="auto"/>
        </w:rPr>
        <w:t>Infringement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our content reduces revenue received from the distribution of our programming, films, interactive games and other entertainment content.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9"/>
          <w:szCs w:val="19"/>
          <w:b w:val="1"/>
          <w:bCs w:val="1"/>
          <w:color w:val="auto"/>
        </w:rPr>
        <w:t>Our Executive Officers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executive officers as of the date hereof are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80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Name</w:t>
            </w:r>
          </w:p>
        </w:tc>
        <w:tc>
          <w:tcPr>
            <w:tcW w:w="1380" w:type="dxa"/>
            <w:vAlign w:val="bottom"/>
          </w:tcPr>
          <w:p>
            <w:pPr>
              <w:jc w:val="right"/>
              <w:ind w:right="163"/>
              <w:spacing w:after="0"/>
              <w:rPr>
                <w:sz w:val="20"/>
                <w:szCs w:val="20"/>
                <w:color w:val="auto"/>
              </w:rPr>
            </w:pPr>
            <w:r>
              <w:rPr>
                <w:rFonts w:ascii="Times New Roman" w:cs="Times New Roman" w:eastAsia="Times New Roman" w:hAnsi="Times New Roman"/>
                <w:sz w:val="19"/>
                <w:szCs w:val="19"/>
                <w:b w:val="1"/>
                <w:bCs w:val="1"/>
                <w:color w:val="auto"/>
              </w:rPr>
              <w:t>Age</w:t>
            </w:r>
          </w:p>
        </w:tc>
        <w:tc>
          <w:tcPr>
            <w:tcW w:w="7060" w:type="dxa"/>
            <w:vAlign w:val="bottom"/>
          </w:tcPr>
          <w:p>
            <w:pPr>
              <w:ind w:left="260"/>
              <w:spacing w:after="0"/>
              <w:rPr>
                <w:sz w:val="20"/>
                <w:szCs w:val="20"/>
                <w:color w:val="auto"/>
              </w:rPr>
            </w:pPr>
            <w:r>
              <w:rPr>
                <w:rFonts w:ascii="Times New Roman" w:cs="Times New Roman" w:eastAsia="Times New Roman" w:hAnsi="Times New Roman"/>
                <w:sz w:val="19"/>
                <w:szCs w:val="19"/>
                <w:b w:val="1"/>
                <w:bCs w:val="1"/>
                <w:color w:val="auto"/>
              </w:rPr>
              <w:t>Position</w:t>
            </w:r>
          </w:p>
        </w:tc>
      </w:tr>
      <w:tr>
        <w:trPr>
          <w:trHeight w:val="35"/>
        </w:trPr>
        <w:tc>
          <w:tcPr>
            <w:tcW w:w="28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7060" w:type="dxa"/>
            <w:vAlign w:val="bottom"/>
            <w:tcBorders>
              <w:bottom w:val="single" w:sz="8" w:color="auto"/>
            </w:tcBorders>
          </w:tcPr>
          <w:p>
            <w:pPr>
              <w:spacing w:after="0"/>
              <w:rPr>
                <w:sz w:val="3"/>
                <w:szCs w:val="3"/>
                <w:color w:val="auto"/>
              </w:rPr>
            </w:pPr>
          </w:p>
        </w:tc>
      </w:tr>
      <w:tr>
        <w:trPr>
          <w:trHeight w:val="192"/>
        </w:trPr>
        <w:tc>
          <w:tcPr>
            <w:tcW w:w="2800" w:type="dxa"/>
            <w:vAlign w:val="bottom"/>
          </w:tcPr>
          <w:p>
            <w:pPr>
              <w:ind w:left="20"/>
              <w:spacing w:after="0" w:line="192" w:lineRule="exact"/>
              <w:rPr>
                <w:sz w:val="20"/>
                <w:szCs w:val="20"/>
                <w:color w:val="auto"/>
              </w:rPr>
            </w:pPr>
            <w:r>
              <w:rPr>
                <w:rFonts w:ascii="Times New Roman" w:cs="Times New Roman" w:eastAsia="Times New Roman" w:hAnsi="Times New Roman"/>
                <w:sz w:val="19"/>
                <w:szCs w:val="19"/>
                <w:color w:val="auto"/>
              </w:rPr>
              <w:t>George Cheeks</w:t>
            </w:r>
          </w:p>
        </w:tc>
        <w:tc>
          <w:tcPr>
            <w:tcW w:w="1380" w:type="dxa"/>
            <w:vAlign w:val="bottom"/>
          </w:tcPr>
          <w:p>
            <w:pPr>
              <w:jc w:val="right"/>
              <w:ind w:right="243"/>
              <w:spacing w:after="0" w:line="192" w:lineRule="exact"/>
              <w:rPr>
                <w:sz w:val="20"/>
                <w:szCs w:val="20"/>
                <w:color w:val="auto"/>
              </w:rPr>
            </w:pPr>
            <w:r>
              <w:rPr>
                <w:rFonts w:ascii="Times New Roman" w:cs="Times New Roman" w:eastAsia="Times New Roman" w:hAnsi="Times New Roman"/>
                <w:sz w:val="19"/>
                <w:szCs w:val="19"/>
                <w:color w:val="auto"/>
              </w:rPr>
              <w:t>60</w:t>
            </w:r>
          </w:p>
        </w:tc>
        <w:tc>
          <w:tcPr>
            <w:tcW w:w="7060" w:type="dxa"/>
            <w:vAlign w:val="bottom"/>
          </w:tcPr>
          <w:p>
            <w:pPr>
              <w:ind w:left="260"/>
              <w:spacing w:after="0" w:line="192" w:lineRule="exact"/>
              <w:rPr>
                <w:sz w:val="20"/>
                <w:szCs w:val="20"/>
                <w:color w:val="auto"/>
              </w:rPr>
            </w:pPr>
            <w:r>
              <w:rPr>
                <w:rFonts w:ascii="Times New Roman" w:cs="Times New Roman" w:eastAsia="Times New Roman" w:hAnsi="Times New Roman"/>
                <w:sz w:val="19"/>
                <w:szCs w:val="19"/>
                <w:color w:val="auto"/>
              </w:rPr>
              <w:t>Co-Chief Executive Officer, Paramount Global and President and Chief Executive</w:t>
            </w:r>
          </w:p>
        </w:tc>
      </w:tr>
      <w:tr>
        <w:trPr>
          <w:trHeight w:val="229"/>
        </w:trPr>
        <w:tc>
          <w:tcPr>
            <w:tcW w:w="28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06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Officer, CBS</w:t>
            </w:r>
          </w:p>
        </w:tc>
      </w:tr>
      <w:tr>
        <w:trPr>
          <w:trHeight w:val="266"/>
        </w:trPr>
        <w:tc>
          <w:tcPr>
            <w:tcW w:w="28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Naveen Chopra</w:t>
            </w:r>
          </w:p>
        </w:tc>
        <w:tc>
          <w:tcPr>
            <w:tcW w:w="1380" w:type="dxa"/>
            <w:vAlign w:val="bottom"/>
          </w:tcPr>
          <w:p>
            <w:pPr>
              <w:jc w:val="right"/>
              <w:ind w:right="243"/>
              <w:spacing w:after="0"/>
              <w:rPr>
                <w:sz w:val="20"/>
                <w:szCs w:val="20"/>
                <w:color w:val="auto"/>
              </w:rPr>
            </w:pPr>
            <w:r>
              <w:rPr>
                <w:rFonts w:ascii="Times New Roman" w:cs="Times New Roman" w:eastAsia="Times New Roman" w:hAnsi="Times New Roman"/>
                <w:sz w:val="19"/>
                <w:szCs w:val="19"/>
                <w:color w:val="auto"/>
              </w:rPr>
              <w:t>51</w:t>
            </w:r>
          </w:p>
        </w:tc>
        <w:tc>
          <w:tcPr>
            <w:tcW w:w="706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Executive Vice President, Chief Financial Officer</w:t>
            </w:r>
          </w:p>
        </w:tc>
      </w:tr>
      <w:tr>
        <w:trPr>
          <w:trHeight w:val="345"/>
        </w:trPr>
        <w:tc>
          <w:tcPr>
            <w:tcW w:w="28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Caryn K. Groce</w:t>
            </w:r>
          </w:p>
        </w:tc>
        <w:tc>
          <w:tcPr>
            <w:tcW w:w="1380" w:type="dxa"/>
            <w:vAlign w:val="bottom"/>
          </w:tcPr>
          <w:p>
            <w:pPr>
              <w:jc w:val="right"/>
              <w:ind w:right="243"/>
              <w:spacing w:after="0"/>
              <w:rPr>
                <w:sz w:val="20"/>
                <w:szCs w:val="20"/>
                <w:color w:val="auto"/>
              </w:rPr>
            </w:pPr>
            <w:r>
              <w:rPr>
                <w:rFonts w:ascii="Times New Roman" w:cs="Times New Roman" w:eastAsia="Times New Roman" w:hAnsi="Times New Roman"/>
                <w:sz w:val="19"/>
                <w:szCs w:val="19"/>
                <w:color w:val="auto"/>
              </w:rPr>
              <w:t>52</w:t>
            </w:r>
          </w:p>
        </w:tc>
        <w:tc>
          <w:tcPr>
            <w:tcW w:w="706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Executive Vice President, Acting General Counsel and Secretary</w:t>
            </w:r>
          </w:p>
        </w:tc>
      </w:tr>
      <w:tr>
        <w:trPr>
          <w:trHeight w:val="344"/>
        </w:trPr>
        <w:tc>
          <w:tcPr>
            <w:tcW w:w="28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Doretha (DeDe) Lea</w:t>
            </w:r>
          </w:p>
        </w:tc>
        <w:tc>
          <w:tcPr>
            <w:tcW w:w="1380" w:type="dxa"/>
            <w:vAlign w:val="bottom"/>
          </w:tcPr>
          <w:p>
            <w:pPr>
              <w:jc w:val="right"/>
              <w:ind w:right="243"/>
              <w:spacing w:after="0"/>
              <w:rPr>
                <w:sz w:val="20"/>
                <w:szCs w:val="20"/>
                <w:color w:val="auto"/>
              </w:rPr>
            </w:pPr>
            <w:r>
              <w:rPr>
                <w:rFonts w:ascii="Times New Roman" w:cs="Times New Roman" w:eastAsia="Times New Roman" w:hAnsi="Times New Roman"/>
                <w:sz w:val="19"/>
                <w:szCs w:val="19"/>
                <w:color w:val="auto"/>
              </w:rPr>
              <w:t>60</w:t>
            </w:r>
          </w:p>
        </w:tc>
        <w:tc>
          <w:tcPr>
            <w:tcW w:w="706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Executive Vice President, Global Public Policy and Government Relations</w:t>
            </w:r>
          </w:p>
        </w:tc>
      </w:tr>
      <w:tr>
        <w:trPr>
          <w:trHeight w:val="286"/>
        </w:trPr>
        <w:tc>
          <w:tcPr>
            <w:tcW w:w="28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Christopher D. McCarthy</w:t>
            </w:r>
          </w:p>
        </w:tc>
        <w:tc>
          <w:tcPr>
            <w:tcW w:w="1380" w:type="dxa"/>
            <w:vAlign w:val="bottom"/>
          </w:tcPr>
          <w:p>
            <w:pPr>
              <w:jc w:val="right"/>
              <w:ind w:right="243"/>
              <w:spacing w:after="0"/>
              <w:rPr>
                <w:sz w:val="20"/>
                <w:szCs w:val="20"/>
                <w:color w:val="auto"/>
              </w:rPr>
            </w:pPr>
            <w:r>
              <w:rPr>
                <w:rFonts w:ascii="Times New Roman" w:cs="Times New Roman" w:eastAsia="Times New Roman" w:hAnsi="Times New Roman"/>
                <w:sz w:val="19"/>
                <w:szCs w:val="19"/>
                <w:color w:val="auto"/>
              </w:rPr>
              <w:t>49</w:t>
            </w:r>
          </w:p>
        </w:tc>
        <w:tc>
          <w:tcPr>
            <w:tcW w:w="706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Co-Chief Executive Officer, Paramount Global and President and Chief Executive</w:t>
            </w:r>
          </w:p>
        </w:tc>
      </w:tr>
      <w:tr>
        <w:trPr>
          <w:trHeight w:val="229"/>
        </w:trPr>
        <w:tc>
          <w:tcPr>
            <w:tcW w:w="28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06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Officer, Showtime/MTV Entertainment Studios and Paramount Media Networks</w:t>
            </w:r>
          </w:p>
        </w:tc>
      </w:tr>
      <w:tr>
        <w:trPr>
          <w:trHeight w:val="266"/>
        </w:trPr>
        <w:tc>
          <w:tcPr>
            <w:tcW w:w="28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Nancy Phillips</w:t>
            </w:r>
          </w:p>
        </w:tc>
        <w:tc>
          <w:tcPr>
            <w:tcW w:w="1380" w:type="dxa"/>
            <w:vAlign w:val="bottom"/>
          </w:tcPr>
          <w:p>
            <w:pPr>
              <w:jc w:val="right"/>
              <w:ind w:right="243"/>
              <w:spacing w:after="0"/>
              <w:rPr>
                <w:sz w:val="20"/>
                <w:szCs w:val="20"/>
                <w:color w:val="auto"/>
              </w:rPr>
            </w:pPr>
            <w:r>
              <w:rPr>
                <w:rFonts w:ascii="Times New Roman" w:cs="Times New Roman" w:eastAsia="Times New Roman" w:hAnsi="Times New Roman"/>
                <w:sz w:val="19"/>
                <w:szCs w:val="19"/>
                <w:color w:val="auto"/>
              </w:rPr>
              <w:t>57</w:t>
            </w:r>
          </w:p>
        </w:tc>
        <w:tc>
          <w:tcPr>
            <w:tcW w:w="706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Executive Vice President, Chief People Officer</w:t>
            </w:r>
          </w:p>
        </w:tc>
      </w:tr>
      <w:tr>
        <w:trPr>
          <w:trHeight w:val="287"/>
        </w:trPr>
        <w:tc>
          <w:tcPr>
            <w:tcW w:w="28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Brian Robbins</w:t>
            </w:r>
          </w:p>
        </w:tc>
        <w:tc>
          <w:tcPr>
            <w:tcW w:w="1380" w:type="dxa"/>
            <w:vAlign w:val="bottom"/>
          </w:tcPr>
          <w:p>
            <w:pPr>
              <w:jc w:val="right"/>
              <w:ind w:right="243"/>
              <w:spacing w:after="0"/>
              <w:rPr>
                <w:sz w:val="20"/>
                <w:szCs w:val="20"/>
                <w:color w:val="auto"/>
              </w:rPr>
            </w:pPr>
            <w:r>
              <w:rPr>
                <w:rFonts w:ascii="Times New Roman" w:cs="Times New Roman" w:eastAsia="Times New Roman" w:hAnsi="Times New Roman"/>
                <w:sz w:val="19"/>
                <w:szCs w:val="19"/>
                <w:color w:val="auto"/>
              </w:rPr>
              <w:t>61</w:t>
            </w:r>
          </w:p>
        </w:tc>
        <w:tc>
          <w:tcPr>
            <w:tcW w:w="706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Co-Chief Executive Officer, Paramount Global and President and Chief Executive</w:t>
            </w:r>
          </w:p>
        </w:tc>
      </w:tr>
      <w:tr>
        <w:trPr>
          <w:trHeight w:val="253"/>
        </w:trPr>
        <w:tc>
          <w:tcPr>
            <w:tcW w:w="28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706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Officer, Paramount Pictures and Nickelodeon</w:t>
            </w:r>
          </w:p>
        </w:tc>
      </w:tr>
    </w:tbl>
    <w:p>
      <w:pPr>
        <w:spacing w:after="0" w:line="26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b w:val="1"/>
          <w:bCs w:val="1"/>
          <w:i w:val="1"/>
          <w:iCs w:val="1"/>
          <w:color w:val="auto"/>
        </w:rPr>
        <w:t xml:space="preserve">George Cheeks </w:t>
      </w:r>
      <w:r>
        <w:rPr>
          <w:rFonts w:ascii="Times New Roman" w:cs="Times New Roman" w:eastAsia="Times New Roman" w:hAnsi="Times New Roman"/>
          <w:sz w:val="19"/>
          <w:szCs w:val="19"/>
          <w:color w:val="auto"/>
        </w:rPr>
        <w:t>has been our Co-Chief Executive Officer since May 2024 and has also been the President and Chief Executive Officer of CBS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since joining Paramount in March 2020. Prior to joining Paramount, Mr. Cheeks served in senior executive positions at NBCUniversal from 2012 to 2020, including as Co-Chairman of NBC Entertainment and, most recently, Vice Chairman, NBCUniversal Content Studios. From 1998 to 2012, Mr. Cheeks held various senior executive positions across Viacom.</w:t>
      </w:r>
    </w:p>
    <w:p>
      <w:pPr>
        <w:spacing w:after="0" w:line="15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b w:val="1"/>
          <w:bCs w:val="1"/>
          <w:i w:val="1"/>
          <w:iCs w:val="1"/>
          <w:color w:val="auto"/>
        </w:rPr>
        <w:t xml:space="preserve">Naveen Chopra </w:t>
      </w:r>
      <w:r>
        <w:rPr>
          <w:rFonts w:ascii="Times New Roman" w:cs="Times New Roman" w:eastAsia="Times New Roman" w:hAnsi="Times New Roman"/>
          <w:sz w:val="19"/>
          <w:szCs w:val="19"/>
          <w:color w:val="auto"/>
        </w:rPr>
        <w:t>has been our Executive Vice President, Chief Financial Officer since August 2020. Prior to that, he served as Vice President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and Chief Financial Officer of Amazon Devices &amp; Services, beginning in 2019. Prior to joining Amazon Devices &amp; Services, Mr. Chopra served as Chief Financial Officer of Pandora Media from 2017 to 2019 and as its Interim Chief Executive Officer during part of this time, having previously served as Interim Chief Executive Officer of TiVo Inc. in 2016 and as its Chief Financial Officer from 2012 to 2016.</w:t>
      </w:r>
    </w:p>
    <w:p>
      <w:pPr>
        <w:spacing w:after="0" w:line="16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b w:val="1"/>
          <w:bCs w:val="1"/>
          <w:i w:val="1"/>
          <w:iCs w:val="1"/>
          <w:color w:val="auto"/>
        </w:rPr>
        <w:t xml:space="preserve">Caryn K. Groce </w:t>
      </w:r>
      <w:r>
        <w:rPr>
          <w:rFonts w:ascii="Times New Roman" w:cs="Times New Roman" w:eastAsia="Times New Roman" w:hAnsi="Times New Roman"/>
          <w:sz w:val="19"/>
          <w:szCs w:val="19"/>
          <w:color w:val="auto"/>
        </w:rPr>
        <w:t>has been our Executive Vice President, Acting General Counsel and Secretary since June 2024. Prior to that, she had served as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Executive Vice President, Deputy General Counsel and Assistant Secretary since the December 2019 merger between CBS and Viacom. Prior to the merger, she held various positions in the legal department of Viacom beginning in 2010, including Senior Vice President, General Counsel of Viacom International Media Networks. Prior to joining Viacom, Ms. Groce served as Senior Corporate Transactions Counsel at NBCUniversal, and was a corporate associate at Cravath, Swaine &amp; Moore LLP and Hogan Lovells.</w:t>
      </w:r>
    </w:p>
    <w:p>
      <w:pPr>
        <w:spacing w:after="0" w:line="1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Doretha (DeDe) Lea </w:t>
      </w:r>
      <w:r>
        <w:rPr>
          <w:rFonts w:ascii="Times New Roman" w:cs="Times New Roman" w:eastAsia="Times New Roman" w:hAnsi="Times New Roman"/>
          <w:sz w:val="19"/>
          <w:szCs w:val="19"/>
          <w:color w:val="auto"/>
        </w:rPr>
        <w:t>has been our Executive Vice President, Global Public Policy and Government Relations since the December 2019 merger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between CBS and Viacom. Prior to the merger, she served as Executive Vice President, Global Government Affairs of Viacom beginning in 2013, having previously served as Executive Vice President, Government Relations of Viacom beginning in 2005. Ms. Lea served in various government relations positions at the Company beginning in 1997, with the exception of 2004 to 2005, when she served as Vice President of Government Affairs at Belo Corp. Prior to joining the Company in 1997, she was Senior Vice President of Government Relations at the National Association of Broadcasters.</w:t>
      </w:r>
    </w:p>
    <w:p>
      <w:pPr>
        <w:spacing w:after="0" w:line="16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 xml:space="preserve">Christopher D. McCarthy </w:t>
      </w:r>
      <w:r>
        <w:rPr>
          <w:rFonts w:ascii="Times New Roman" w:cs="Times New Roman" w:eastAsia="Times New Roman" w:hAnsi="Times New Roman"/>
          <w:sz w:val="19"/>
          <w:szCs w:val="19"/>
          <w:color w:val="auto"/>
        </w:rPr>
        <w:t>has been our Co-Chief Executive Officer since May 2024 and has also been President and Chief Executive Officer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Showtime/MTV Entertainment Studios and Paramount Media Networks since 2022. He previously served as President of Entertainment and Youth Brands for Domestic Media Networks and President and Chief Executive Officer of MTV Entertainment Group since the December 2019 merger between CBS and Viacom. Prior to the merger, Mr. McCarthy served in senior executive positions across the Company and Viacom, including as President of MTV, VH1, CMT and Logo, since joining as a freelancer in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bookmarkStart w:id="14" w:name="page15"/>
    <w:bookmarkEnd w:id="14"/>
    <w:p>
      <w:pPr>
        <w:jc w:val="both"/>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Nancy Phillips </w:t>
      </w:r>
      <w:r>
        <w:rPr>
          <w:rFonts w:ascii="Times New Roman" w:cs="Times New Roman" w:eastAsia="Times New Roman" w:hAnsi="Times New Roman"/>
          <w:sz w:val="19"/>
          <w:szCs w:val="19"/>
          <w:color w:val="auto"/>
        </w:rPr>
        <w:t>has been our Executive Vice President, Chief People Officer since the December 2019 merger between CBS and Viacom. Prior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to joining Paramount, she served as Executive Vice President and Chief Human Resources Officer of Nielsen Holdings PLC beginning in 2017, having served as Executive Vice President and Chief Human Resources Officer of Broadcom Corporation from 2014 to 2016. From 2010 to 2014, Ms. Phillips was Senior Vice President, Human Resources for the Imaging and Printing Group at Hewlett-Packard Company, and previously served as Senior Vice President, Human Resources, Enterprise Services. From 2008 to 2010, Ms. Phillips served as Executive Vice President and Chief Human Resources Officer at Fifth Third Bancorp. Prior to that, Ms. Phillips spent 11 years at General Electric Company, holding various human resources positions. Ms. Phillips practiced law from 1993 to 1997.</w:t>
      </w:r>
    </w:p>
    <w:p>
      <w:pPr>
        <w:spacing w:after="0" w:line="15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 xml:space="preserve">Brian Robbins </w:t>
      </w:r>
      <w:r>
        <w:rPr>
          <w:rFonts w:ascii="Times New Roman" w:cs="Times New Roman" w:eastAsia="Times New Roman" w:hAnsi="Times New Roman"/>
          <w:sz w:val="19"/>
          <w:szCs w:val="19"/>
          <w:color w:val="auto"/>
        </w:rPr>
        <w:t>has been our Co-Chief Executive Officer since May 2024 and has also been President and Chief Executive Officer of Paramount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Pictures since September 2021, and President and Chief Executive Officer of Nickelodeon since July 2021. He previously served as President, Kids &amp; Family Entertainment since the December 2019 merger between CBS and Viacom. Prior to the merger, he served as Viacom’s President of Nickelodeon. Mr. Robbins began his career as a producer of television, film, and digital media and is the founder and former Chief Executive Officer of Awesomeness.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Available Information</w:t>
      </w:r>
    </w:p>
    <w:p>
      <w:pPr>
        <w:spacing w:after="0" w:line="2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 xml:space="preserve">We file annual, quarterly and current reports, proxy and information statements and other information with the SEC. Our annual reports on Form 10-K, quarterly reports on Form 10-Q, current reports on Form 8-K and any amendments to such reports filed with or furnished to the SEC pursuant to the Securities Exchange Act of 1934, as amended, will be available free of charge on our website at </w:t>
      </w:r>
      <w:r>
        <w:rPr>
          <w:rFonts w:ascii="Times New Roman" w:cs="Times New Roman" w:eastAsia="Times New Roman" w:hAnsi="Times New Roman"/>
          <w:sz w:val="19"/>
          <w:szCs w:val="19"/>
          <w:i w:val="1"/>
          <w:iCs w:val="1"/>
          <w:color w:val="auto"/>
        </w:rPr>
        <w:t>paramount.com</w:t>
      </w:r>
      <w:r>
        <w:rPr>
          <w:rFonts w:ascii="Times New Roman" w:cs="Times New Roman" w:eastAsia="Times New Roman" w:hAnsi="Times New Roman"/>
          <w:sz w:val="19"/>
          <w:szCs w:val="19"/>
          <w:color w:val="auto"/>
        </w:rPr>
        <w:t xml:space="preserve"> (under </w:t>
      </w:r>
      <w:r>
        <w:rPr>
          <w:rFonts w:ascii="Times New Roman" w:cs="Times New Roman" w:eastAsia="Times New Roman" w:hAnsi="Times New Roman"/>
          <w:sz w:val="19"/>
          <w:szCs w:val="19"/>
          <w:i w:val="1"/>
          <w:iCs w:val="1"/>
          <w:color w:val="auto"/>
        </w:rPr>
        <w:t>Investors</w:t>
      </w:r>
      <w:r>
        <w:rPr>
          <w:rFonts w:ascii="Times New Roman" w:cs="Times New Roman" w:eastAsia="Times New Roman" w:hAnsi="Times New Roman"/>
          <w:sz w:val="19"/>
          <w:szCs w:val="19"/>
          <w:color w:val="auto"/>
        </w:rPr>
        <w:t>) as soon as reasonably practicable after the reports are filed with the SEC. These documents are also available on the SEC’s website at</w:t>
      </w:r>
      <w:r>
        <w:rPr>
          <w:rFonts w:ascii="Times New Roman" w:cs="Times New Roman" w:eastAsia="Times New Roman" w:hAnsi="Times New Roman"/>
          <w:sz w:val="19"/>
          <w:szCs w:val="19"/>
          <w:i w:val="1"/>
          <w:iCs w:val="1"/>
          <w:color w:val="auto"/>
        </w:rPr>
        <w:t xml:space="preserve"> sec.gov.</w:t>
      </w:r>
    </w:p>
    <w:p>
      <w:pPr>
        <w:spacing w:after="0" w:line="200" w:lineRule="exact"/>
        <w:rPr>
          <w:sz w:val="20"/>
          <w:szCs w:val="20"/>
          <w:color w:val="auto"/>
        </w:rPr>
      </w:pPr>
    </w:p>
    <w:p>
      <w:pPr>
        <w:spacing w:after="0" w:line="21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We announce material financial information through SEC filings, press releases, public conference calls and webcasts on our website at </w:t>
      </w:r>
      <w:r>
        <w:rPr>
          <w:rFonts w:ascii="Times New Roman" w:cs="Times New Roman" w:eastAsia="Times New Roman" w:hAnsi="Times New Roman"/>
          <w:sz w:val="19"/>
          <w:szCs w:val="19"/>
          <w:i w:val="1"/>
          <w:iCs w:val="1"/>
          <w:color w:val="auto"/>
        </w:rPr>
        <w:t xml:space="preserve">paramount.com </w:t>
      </w:r>
      <w:r>
        <w:rPr>
          <w:rFonts w:ascii="Times New Roman" w:cs="Times New Roman" w:eastAsia="Times New Roman" w:hAnsi="Times New Roman"/>
          <w:sz w:val="19"/>
          <w:szCs w:val="19"/>
          <w:color w:val="auto"/>
        </w:rPr>
        <w:t>(under</w:t>
      </w:r>
      <w:r>
        <w:rPr>
          <w:rFonts w:ascii="Times New Roman" w:cs="Times New Roman" w:eastAsia="Times New Roman" w:hAnsi="Times New Roman"/>
          <w:sz w:val="19"/>
          <w:szCs w:val="19"/>
          <w:i w:val="1"/>
          <w:iCs w:val="1"/>
          <w:color w:val="auto"/>
        </w:rPr>
        <w:t xml:space="preserve"> Investors</w:t>
      </w:r>
      <w:r>
        <w:rPr>
          <w:rFonts w:ascii="Times New Roman" w:cs="Times New Roman" w:eastAsia="Times New Roman" w:hAnsi="Times New Roman"/>
          <w:sz w:val="19"/>
          <w:szCs w:val="19"/>
          <w:color w:val="auto"/>
        </w:rPr>
        <w:t>). We may use any of these channels as well as social media and blogs to communicate with investors about our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Company. It is possible information we post on social media and blogs could be deemed to be material information. Therefore, we encourage investors, the media, and others interested in our Company to review the information we post on the social media channels and blogs listed on our investor relations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bookmarkStart w:id="15" w:name="page16"/>
    <w:bookmarkEnd w:id="15"/>
    <w:p>
      <w:pPr>
        <w:ind w:left="20"/>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1A.</w:t>
      </w:r>
      <w:r>
        <w:rPr>
          <w:sz w:val="20"/>
          <w:szCs w:val="20"/>
          <w:color w:val="auto"/>
        </w:rPr>
        <w:tab/>
      </w:r>
      <w:r>
        <w:rPr>
          <w:rFonts w:ascii="Times New Roman" w:cs="Times New Roman" w:eastAsia="Times New Roman" w:hAnsi="Times New Roman"/>
          <w:sz w:val="19"/>
          <w:szCs w:val="19"/>
          <w:b w:val="1"/>
          <w:bCs w:val="1"/>
          <w:i w:val="1"/>
          <w:iCs w:val="1"/>
          <w:color w:val="auto"/>
        </w:rPr>
        <w:t>Risk Factors.</w:t>
      </w:r>
    </w:p>
    <w:p>
      <w:pPr>
        <w:spacing w:after="0" w:line="200" w:lineRule="exact"/>
        <w:rPr>
          <w:sz w:val="20"/>
          <w:szCs w:val="20"/>
          <w:color w:val="auto"/>
        </w:rPr>
      </w:pPr>
    </w:p>
    <w:p>
      <w:pPr>
        <w:spacing w:after="0" w:line="26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A wide range of risks may affect our business, financial condition or results of operations, now and in the future. We consider the risks described below to be the most significant. There may be other currently unknown or unpredictable factors that could have adverse effects on our business, financial condition or results of operations.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 Factors Summary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Risks Relating to Our Business and Industry</w:t>
      </w:r>
    </w:p>
    <w:p>
      <w:pPr>
        <w:spacing w:after="0" w:line="170" w:lineRule="exact"/>
        <w:rPr>
          <w:sz w:val="20"/>
          <w:szCs w:val="20"/>
          <w:color w:val="auto"/>
        </w:rPr>
      </w:pPr>
    </w:p>
    <w:p>
      <w:pPr>
        <w:ind w:left="320" w:hanging="314"/>
        <w:spacing w:after="0"/>
        <w:tabs>
          <w:tab w:leader="none" w:pos="3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success of our streaming business.</w:t>
      </w:r>
    </w:p>
    <w:p>
      <w:pPr>
        <w:spacing w:after="0" w:line="86" w:lineRule="exact"/>
        <w:rPr>
          <w:rFonts w:ascii="Times New Roman" w:cs="Times New Roman" w:eastAsia="Times New Roman" w:hAnsi="Times New Roman"/>
          <w:sz w:val="19"/>
          <w:szCs w:val="19"/>
          <w:color w:val="auto"/>
        </w:rPr>
      </w:pPr>
    </w:p>
    <w:p>
      <w:pPr>
        <w:ind w:left="320" w:hanging="314"/>
        <w:spacing w:after="0"/>
        <w:tabs>
          <w:tab w:leader="none" w:pos="320" w:val="left"/>
        </w:tabs>
        <w:numPr>
          <w:ilvl w:val="0"/>
          <w:numId w:val="5"/>
        </w:numPr>
        <w:rPr>
          <w:rFonts w:ascii="Arial" w:cs="Arial" w:eastAsia="Arial" w:hAnsi="Arial"/>
          <w:sz w:val="19"/>
          <w:szCs w:val="19"/>
          <w:color w:val="auto"/>
        </w:rPr>
      </w:pPr>
      <w:r>
        <w:rPr>
          <w:rFonts w:ascii="Times New Roman" w:cs="Times New Roman" w:eastAsia="Times New Roman" w:hAnsi="Times New Roman"/>
          <w:sz w:val="19"/>
          <w:szCs w:val="19"/>
          <w:color w:val="auto"/>
        </w:rPr>
        <w:t>The impact of a variety of external factors on our advertising revenues.</w:t>
      </w:r>
    </w:p>
    <w:p>
      <w:pPr>
        <w:spacing w:after="0" w:line="72" w:lineRule="exact"/>
        <w:rPr>
          <w:rFonts w:ascii="Arial" w:cs="Arial" w:eastAsia="Arial" w:hAnsi="Arial"/>
          <w:sz w:val="19"/>
          <w:szCs w:val="19"/>
          <w:color w:val="auto"/>
        </w:rPr>
      </w:pPr>
    </w:p>
    <w:p>
      <w:pPr>
        <w:ind w:left="320" w:hanging="314"/>
        <w:spacing w:after="0"/>
        <w:tabs>
          <w:tab w:leader="none" w:pos="320" w:val="left"/>
        </w:tabs>
        <w:numPr>
          <w:ilvl w:val="0"/>
          <w:numId w:val="5"/>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compete in a highly competitive and dynamic industry and business.</w:t>
      </w:r>
    </w:p>
    <w:p>
      <w:pPr>
        <w:spacing w:after="0" w:line="85" w:lineRule="exact"/>
        <w:rPr>
          <w:rFonts w:ascii="Arial" w:cs="Arial" w:eastAsia="Arial" w:hAnsi="Arial"/>
          <w:sz w:val="19"/>
          <w:szCs w:val="19"/>
          <w:color w:val="auto"/>
        </w:rPr>
      </w:pPr>
    </w:p>
    <w:p>
      <w:pPr>
        <w:ind w:left="320" w:hanging="314"/>
        <w:spacing w:after="0"/>
        <w:tabs>
          <w:tab w:leader="none" w:pos="3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Anticipating and adapting to shifting content consumption patterns, evolving technologies and distribution models.</w:t>
      </w:r>
    </w:p>
    <w:p>
      <w:pPr>
        <w:spacing w:after="0" w:line="86" w:lineRule="exact"/>
        <w:rPr>
          <w:rFonts w:ascii="Times New Roman" w:cs="Times New Roman" w:eastAsia="Times New Roman" w:hAnsi="Times New Roman"/>
          <w:sz w:val="19"/>
          <w:szCs w:val="19"/>
          <w:color w:val="auto"/>
        </w:rPr>
      </w:pPr>
    </w:p>
    <w:p>
      <w:pPr>
        <w:ind w:left="320" w:hanging="314"/>
        <w:spacing w:after="0"/>
        <w:tabs>
          <w:tab w:leader="none" w:pos="3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Uncertainties relating to investments in new businesses, products, services and technologies, and the evolution of our business strategy.</w:t>
      </w:r>
    </w:p>
    <w:p>
      <w:pPr>
        <w:spacing w:after="0" w:line="86" w:lineRule="exact"/>
        <w:rPr>
          <w:rFonts w:ascii="Times New Roman" w:cs="Times New Roman" w:eastAsia="Times New Roman" w:hAnsi="Times New Roman"/>
          <w:sz w:val="19"/>
          <w:szCs w:val="19"/>
          <w:color w:val="auto"/>
        </w:rPr>
      </w:pPr>
    </w:p>
    <w:p>
      <w:pPr>
        <w:ind w:left="320" w:hanging="314"/>
        <w:spacing w:after="0"/>
        <w:tabs>
          <w:tab w:leader="none" w:pos="3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loss of affiliation and distribution agreements, renewal of these agreements on less favorable terms or adverse interpretations thereof.</w:t>
      </w:r>
    </w:p>
    <w:p>
      <w:pPr>
        <w:spacing w:after="0" w:line="86" w:lineRule="exact"/>
        <w:rPr>
          <w:rFonts w:ascii="Times New Roman" w:cs="Times New Roman" w:eastAsia="Times New Roman" w:hAnsi="Times New Roman"/>
          <w:sz w:val="19"/>
          <w:szCs w:val="19"/>
          <w:color w:val="auto"/>
        </w:rPr>
      </w:pPr>
    </w:p>
    <w:p>
      <w:pPr>
        <w:ind w:left="320" w:hanging="314"/>
        <w:spacing w:after="0"/>
        <w:tabs>
          <w:tab w:leader="none" w:pos="3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Damage to our reputation or brands.</w:t>
      </w:r>
    </w:p>
    <w:p>
      <w:pPr>
        <w:spacing w:after="0" w:line="86" w:lineRule="exact"/>
        <w:rPr>
          <w:rFonts w:ascii="Times New Roman" w:cs="Times New Roman" w:eastAsia="Times New Roman" w:hAnsi="Times New Roman"/>
          <w:sz w:val="19"/>
          <w:szCs w:val="19"/>
          <w:color w:val="auto"/>
        </w:rPr>
      </w:pPr>
    </w:p>
    <w:p>
      <w:pPr>
        <w:ind w:left="320" w:hanging="314"/>
        <w:spacing w:after="0"/>
        <w:tabs>
          <w:tab w:leader="none" w:pos="3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Losses due to asset impairment charges for goodwill, intangible assets, FCC licenses and content.</w:t>
      </w:r>
    </w:p>
    <w:p>
      <w:pPr>
        <w:spacing w:after="0" w:line="86" w:lineRule="exact"/>
        <w:rPr>
          <w:rFonts w:ascii="Times New Roman" w:cs="Times New Roman" w:eastAsia="Times New Roman" w:hAnsi="Times New Roman"/>
          <w:sz w:val="19"/>
          <w:szCs w:val="19"/>
          <w:color w:val="auto"/>
        </w:rPr>
      </w:pPr>
    </w:p>
    <w:p>
      <w:pPr>
        <w:ind w:left="320" w:hanging="314"/>
        <w:spacing w:after="0"/>
        <w:tabs>
          <w:tab w:leader="none" w:pos="3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Liabilities related to discontinued operations and former businesses.</w:t>
      </w:r>
    </w:p>
    <w:p>
      <w:pPr>
        <w:spacing w:after="0" w:line="86" w:lineRule="exact"/>
        <w:rPr>
          <w:rFonts w:ascii="Times New Roman" w:cs="Times New Roman" w:eastAsia="Times New Roman" w:hAnsi="Times New Roman"/>
          <w:sz w:val="19"/>
          <w:szCs w:val="19"/>
          <w:color w:val="auto"/>
        </w:rPr>
      </w:pPr>
    </w:p>
    <w:p>
      <w:pPr>
        <w:ind w:left="320" w:hanging="314"/>
        <w:spacing w:after="0"/>
        <w:tabs>
          <w:tab w:leader="none" w:pos="3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Increasing scrutiny of, and evolving expectations for, sustainability initiatives.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Risks Relating to Business Continuity, Cybersecurity and Privacy and Data Protection</w:t>
      </w:r>
    </w:p>
    <w:p>
      <w:pPr>
        <w:spacing w:after="0" w:line="157" w:lineRule="exact"/>
        <w:rPr>
          <w:sz w:val="20"/>
          <w:szCs w:val="20"/>
          <w:color w:val="auto"/>
        </w:rPr>
      </w:pPr>
    </w:p>
    <w:p>
      <w:pPr>
        <w:ind w:left="320" w:hanging="314"/>
        <w:spacing w:after="0" w:line="300" w:lineRule="auto"/>
        <w:tabs>
          <w:tab w:leader="none" w:pos="308"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Disruptions or attacks on our or our service providers’ networks, information systems and other technologies, resulting in the disclosure of business or personal information, business disruptions, damage to our brands and reputation, and legal exposure and financial losses.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Risks Relating to Intellectual Property</w:t>
      </w:r>
    </w:p>
    <w:p>
      <w:pPr>
        <w:spacing w:after="0" w:line="157" w:lineRule="exact"/>
        <w:rPr>
          <w:sz w:val="20"/>
          <w:szCs w:val="20"/>
          <w:color w:val="auto"/>
        </w:rPr>
      </w:pPr>
    </w:p>
    <w:p>
      <w:pPr>
        <w:ind w:left="320" w:hanging="314"/>
        <w:spacing w:after="0"/>
        <w:tabs>
          <w:tab w:leader="none" w:pos="32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maintain and monetize our intellectual property rights.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Risks Relating to Macroeconomic and Political Conditions</w:t>
      </w:r>
    </w:p>
    <w:p>
      <w:pPr>
        <w:spacing w:after="0" w:line="157" w:lineRule="exact"/>
        <w:rPr>
          <w:sz w:val="20"/>
          <w:szCs w:val="20"/>
          <w:color w:val="auto"/>
        </w:rPr>
      </w:pPr>
    </w:p>
    <w:p>
      <w:pPr>
        <w:ind w:left="320" w:hanging="314"/>
        <w:spacing w:after="0"/>
        <w:tabs>
          <w:tab w:leader="none" w:pos="32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Economic and political conditions in the U.S. and around the world.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Risks Relating to Legal and Regulatory Matters</w:t>
      </w:r>
    </w:p>
    <w:p>
      <w:pPr>
        <w:spacing w:after="0" w:line="157" w:lineRule="exact"/>
        <w:rPr>
          <w:sz w:val="20"/>
          <w:szCs w:val="20"/>
          <w:color w:val="auto"/>
        </w:rPr>
      </w:pPr>
    </w:p>
    <w:p>
      <w:pPr>
        <w:ind w:left="320" w:hanging="314"/>
        <w:spacing w:after="0"/>
        <w:tabs>
          <w:tab w:leader="none" w:pos="32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Compliance with U.S. and foreign laws or regulations, including privacy and data protection.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Risks Relating to Human Capital</w:t>
      </w:r>
    </w:p>
    <w:p>
      <w:pPr>
        <w:spacing w:after="0" w:line="157" w:lineRule="exact"/>
        <w:rPr>
          <w:sz w:val="20"/>
          <w:szCs w:val="20"/>
          <w:color w:val="auto"/>
        </w:rPr>
      </w:pPr>
    </w:p>
    <w:p>
      <w:pPr>
        <w:ind w:left="320" w:hanging="314"/>
        <w:spacing w:after="0"/>
        <w:tabs>
          <w:tab w:leader="none" w:pos="32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inability to hire or retain key employees or secure creative talent.</w:t>
      </w:r>
    </w:p>
    <w:p>
      <w:pPr>
        <w:spacing w:after="0" w:line="86" w:lineRule="exact"/>
        <w:rPr>
          <w:rFonts w:ascii="Times New Roman" w:cs="Times New Roman" w:eastAsia="Times New Roman" w:hAnsi="Times New Roman"/>
          <w:sz w:val="19"/>
          <w:szCs w:val="19"/>
          <w:color w:val="auto"/>
        </w:rPr>
      </w:pPr>
    </w:p>
    <w:p>
      <w:pPr>
        <w:ind w:left="320" w:hanging="314"/>
        <w:spacing w:after="0"/>
        <w:tabs>
          <w:tab w:leader="none" w:pos="32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Disruptions to our business caused by labor disputes.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Risks Relating to the Transactions</w:t>
      </w:r>
    </w:p>
    <w:p>
      <w:pPr>
        <w:spacing w:after="0" w:line="157" w:lineRule="exact"/>
        <w:rPr>
          <w:sz w:val="20"/>
          <w:szCs w:val="20"/>
          <w:color w:val="auto"/>
        </w:rPr>
      </w:pPr>
    </w:p>
    <w:p>
      <w:pPr>
        <w:ind w:left="320" w:hanging="314"/>
        <w:spacing w:after="0"/>
        <w:tabs>
          <w:tab w:leader="none" w:pos="32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Challenges combining the Company’s and Skydance’s businesses and realizing expected benefits.</w:t>
      </w:r>
    </w:p>
    <w:p>
      <w:pPr>
        <w:spacing w:after="0" w:line="86" w:lineRule="exact"/>
        <w:rPr>
          <w:rFonts w:ascii="Times New Roman" w:cs="Times New Roman" w:eastAsia="Times New Roman" w:hAnsi="Times New Roman"/>
          <w:sz w:val="19"/>
          <w:szCs w:val="19"/>
          <w:color w:val="auto"/>
        </w:rPr>
      </w:pPr>
    </w:p>
    <w:p>
      <w:pPr>
        <w:ind w:left="320" w:hanging="314"/>
        <w:spacing w:after="0"/>
        <w:tabs>
          <w:tab w:leader="none" w:pos="32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Dilution to the earnings per share of New Paramount may negatively affect the market price of the New Paramount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9" w:right="339" w:bottom="1440" w:gutter="0" w:footer="0" w:header="0"/>
        </w:sectPr>
      </w:pPr>
    </w:p>
    <w:bookmarkStart w:id="16" w:name="page17"/>
    <w:bookmarkEnd w:id="16"/>
    <w:p>
      <w:pPr>
        <w:ind w:left="320" w:hanging="314"/>
        <w:spacing w:after="0" w:line="298" w:lineRule="auto"/>
        <w:tabs>
          <w:tab w:leader="none" w:pos="308"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market price for shares of New Paramount Class B Common Stock may be affected by factors different from those that have affected the market price for shares of our Common Stock.</w:t>
      </w:r>
    </w:p>
    <w:p>
      <w:pPr>
        <w:ind w:left="320" w:hanging="314"/>
        <w:spacing w:after="0" w:line="285" w:lineRule="auto"/>
        <w:tabs>
          <w:tab w:leader="none" w:pos="308"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Because the stock consideration exchange ratios are fixed and will not be adjusted for stock price changes, our stockholders cannot be sure of the value of the stock consideration they will receive.</w:t>
      </w:r>
    </w:p>
    <w:p>
      <w:pPr>
        <w:spacing w:after="0" w:line="11" w:lineRule="exact"/>
        <w:rPr>
          <w:rFonts w:ascii="Times New Roman" w:cs="Times New Roman" w:eastAsia="Times New Roman" w:hAnsi="Times New Roman"/>
          <w:sz w:val="19"/>
          <w:szCs w:val="19"/>
          <w:color w:val="auto"/>
        </w:rPr>
      </w:pPr>
    </w:p>
    <w:p>
      <w:pPr>
        <w:ind w:left="320" w:hanging="314"/>
        <w:spacing w:after="0"/>
        <w:tabs>
          <w:tab w:leader="none" w:pos="32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Holders of our Class B Common Stock may not receive all merger consideration in the form they elect.</w:t>
      </w:r>
    </w:p>
    <w:p>
      <w:pPr>
        <w:spacing w:after="0" w:line="86" w:lineRule="exact"/>
        <w:rPr>
          <w:rFonts w:ascii="Times New Roman" w:cs="Times New Roman" w:eastAsia="Times New Roman" w:hAnsi="Times New Roman"/>
          <w:sz w:val="19"/>
          <w:szCs w:val="19"/>
          <w:color w:val="auto"/>
        </w:rPr>
      </w:pPr>
    </w:p>
    <w:p>
      <w:pPr>
        <w:ind w:left="320" w:hanging="314"/>
        <w:spacing w:after="0"/>
        <w:tabs>
          <w:tab w:leader="none" w:pos="32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existing stockholders will have a reduced ownership and economic interest in New Paramount.</w:t>
      </w:r>
    </w:p>
    <w:p>
      <w:pPr>
        <w:spacing w:after="0" w:line="86" w:lineRule="exact"/>
        <w:rPr>
          <w:rFonts w:ascii="Times New Roman" w:cs="Times New Roman" w:eastAsia="Times New Roman" w:hAnsi="Times New Roman"/>
          <w:sz w:val="19"/>
          <w:szCs w:val="19"/>
          <w:color w:val="auto"/>
        </w:rPr>
      </w:pPr>
    </w:p>
    <w:p>
      <w:pPr>
        <w:ind w:left="320" w:hanging="314"/>
        <w:spacing w:after="0"/>
        <w:tabs>
          <w:tab w:leader="none" w:pos="32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PIPE Transaction is subject to certain cutbacks in the event that stock elections exceed specified thresholds.</w:t>
      </w:r>
    </w:p>
    <w:p>
      <w:pPr>
        <w:spacing w:after="0" w:line="86" w:lineRule="exact"/>
        <w:rPr>
          <w:rFonts w:ascii="Times New Roman" w:cs="Times New Roman" w:eastAsia="Times New Roman" w:hAnsi="Times New Roman"/>
          <w:sz w:val="19"/>
          <w:szCs w:val="19"/>
          <w:color w:val="auto"/>
        </w:rPr>
      </w:pPr>
    </w:p>
    <w:p>
      <w:pPr>
        <w:ind w:left="320" w:hanging="314"/>
        <w:spacing w:after="0" w:line="285" w:lineRule="auto"/>
        <w:tabs>
          <w:tab w:leader="none" w:pos="308"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Transactions may be prevented or delayed or the anticipated benefits of the Transactions could be reduced if we do not obtain certain regulatory approvals.</w:t>
      </w:r>
    </w:p>
    <w:p>
      <w:pPr>
        <w:spacing w:after="0" w:line="11" w:lineRule="exact"/>
        <w:rPr>
          <w:rFonts w:ascii="Times New Roman" w:cs="Times New Roman" w:eastAsia="Times New Roman" w:hAnsi="Times New Roman"/>
          <w:sz w:val="19"/>
          <w:szCs w:val="19"/>
          <w:color w:val="auto"/>
        </w:rPr>
      </w:pPr>
    </w:p>
    <w:p>
      <w:pPr>
        <w:ind w:left="320" w:hanging="314"/>
        <w:spacing w:after="0"/>
        <w:tabs>
          <w:tab w:leader="none" w:pos="32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Transactions are subject to a number of conditions to Closing.</w:t>
      </w:r>
    </w:p>
    <w:p>
      <w:pPr>
        <w:spacing w:after="0" w:line="86" w:lineRule="exact"/>
        <w:rPr>
          <w:rFonts w:ascii="Times New Roman" w:cs="Times New Roman" w:eastAsia="Times New Roman" w:hAnsi="Times New Roman"/>
          <w:sz w:val="19"/>
          <w:szCs w:val="19"/>
          <w:color w:val="auto"/>
        </w:rPr>
      </w:pPr>
    </w:p>
    <w:p>
      <w:pPr>
        <w:ind w:left="320" w:hanging="314"/>
        <w:spacing w:after="0"/>
        <w:tabs>
          <w:tab w:leader="none" w:pos="32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transaction and merger-related transition costs in connection with the Transactions.</w:t>
      </w:r>
    </w:p>
    <w:p>
      <w:pPr>
        <w:spacing w:after="0" w:line="86" w:lineRule="exact"/>
        <w:rPr>
          <w:rFonts w:ascii="Times New Roman" w:cs="Times New Roman" w:eastAsia="Times New Roman" w:hAnsi="Times New Roman"/>
          <w:sz w:val="19"/>
          <w:szCs w:val="19"/>
          <w:color w:val="auto"/>
        </w:rPr>
      </w:pPr>
    </w:p>
    <w:p>
      <w:pPr>
        <w:ind w:left="320" w:hanging="314"/>
        <w:spacing w:after="0"/>
        <w:tabs>
          <w:tab w:leader="none" w:pos="32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Business uncertainties and contractual restrictions while the Transactions are pending.</w:t>
      </w:r>
    </w:p>
    <w:p>
      <w:pPr>
        <w:spacing w:after="0" w:line="86" w:lineRule="exact"/>
        <w:rPr>
          <w:rFonts w:ascii="Times New Roman" w:cs="Times New Roman" w:eastAsia="Times New Roman" w:hAnsi="Times New Roman"/>
          <w:sz w:val="19"/>
          <w:szCs w:val="19"/>
          <w:color w:val="auto"/>
        </w:rPr>
      </w:pPr>
    </w:p>
    <w:p>
      <w:pPr>
        <w:ind w:left="320" w:hanging="314"/>
        <w:spacing w:after="0" w:line="298" w:lineRule="auto"/>
        <w:tabs>
          <w:tab w:leader="none" w:pos="308"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Under the terms of the Transaction Agreement, the go-shop period has expired and we are no longer permitted to pursue alternatives to the Transactions.</w:t>
      </w:r>
    </w:p>
    <w:p>
      <w:pPr>
        <w:ind w:left="320" w:hanging="314"/>
        <w:spacing w:after="0"/>
        <w:tabs>
          <w:tab w:leader="none" w:pos="32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Tax consequences of the Transactions may adversely affect holders of our Common Stock.</w:t>
      </w:r>
    </w:p>
    <w:p>
      <w:pPr>
        <w:spacing w:after="0" w:line="86" w:lineRule="exact"/>
        <w:rPr>
          <w:rFonts w:ascii="Times New Roman" w:cs="Times New Roman" w:eastAsia="Times New Roman" w:hAnsi="Times New Roman"/>
          <w:sz w:val="19"/>
          <w:szCs w:val="19"/>
          <w:color w:val="auto"/>
        </w:rPr>
      </w:pPr>
    </w:p>
    <w:p>
      <w:pPr>
        <w:ind w:left="320" w:hanging="314"/>
        <w:spacing w:after="0" w:line="285" w:lineRule="auto"/>
        <w:tabs>
          <w:tab w:leader="none" w:pos="308"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new 1% U.S. federal excise tax could be imposed on us or New Paramount in connection with redemptions by us or New Paramount of our respective shares.</w:t>
      </w:r>
    </w:p>
    <w:p>
      <w:pPr>
        <w:spacing w:after="0" w:line="11" w:lineRule="exact"/>
        <w:rPr>
          <w:rFonts w:ascii="Times New Roman" w:cs="Times New Roman" w:eastAsia="Times New Roman" w:hAnsi="Times New Roman"/>
          <w:sz w:val="19"/>
          <w:szCs w:val="19"/>
          <w:color w:val="auto"/>
        </w:rPr>
      </w:pPr>
    </w:p>
    <w:p>
      <w:pPr>
        <w:ind w:left="320" w:hanging="314"/>
        <w:spacing w:after="0" w:line="298" w:lineRule="auto"/>
        <w:tabs>
          <w:tab w:leader="none" w:pos="308"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executive officers, directors and affiliates may have interests in the Transactions that are different from, or in addition to, the rights of our stockholders.</w:t>
      </w:r>
    </w:p>
    <w:p>
      <w:pPr>
        <w:ind w:left="320" w:hanging="314"/>
        <w:spacing w:after="0"/>
        <w:tabs>
          <w:tab w:leader="none" w:pos="32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Failure to complete the Transactions could negatively impact our businesses or financial results and the stock price of our Common Stock.</w:t>
      </w:r>
    </w:p>
    <w:p>
      <w:pPr>
        <w:spacing w:after="0" w:line="73" w:lineRule="exact"/>
        <w:rPr>
          <w:rFonts w:ascii="Times New Roman" w:cs="Times New Roman" w:eastAsia="Times New Roman" w:hAnsi="Times New Roman"/>
          <w:sz w:val="19"/>
          <w:szCs w:val="19"/>
          <w:color w:val="auto"/>
        </w:rPr>
      </w:pPr>
    </w:p>
    <w:p>
      <w:pPr>
        <w:ind w:left="320" w:hanging="314"/>
        <w:spacing w:after="0" w:line="270" w:lineRule="auto"/>
        <w:tabs>
          <w:tab w:leader="none" w:pos="308"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Lawsuits filed in connection with the Transactions could result in substantial costs and/or delay or prevent the completion of the Transactions.</w:t>
      </w:r>
    </w:p>
    <w:p>
      <w:pPr>
        <w:spacing w:after="0" w:line="297" w:lineRule="exact"/>
        <w:rPr>
          <w:rFonts w:ascii="Times New Roman" w:cs="Times New Roman" w:eastAsia="Times New Roman" w:hAnsi="Times New Roman"/>
          <w:sz w:val="19"/>
          <w:szCs w:val="19"/>
          <w:color w:val="auto"/>
        </w:rPr>
      </w:pPr>
    </w:p>
    <w:p>
      <w:pPr>
        <w:ind w:left="320" w:hanging="314"/>
        <w:spacing w:after="0"/>
        <w:tabs>
          <w:tab w:leader="none" w:pos="32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waive one or more of the conditions to Closing without re-obtaining stockholder approval.</w:t>
      </w:r>
    </w:p>
    <w:p>
      <w:pPr>
        <w:spacing w:after="0" w:line="86" w:lineRule="exact"/>
        <w:rPr>
          <w:rFonts w:ascii="Times New Roman" w:cs="Times New Roman" w:eastAsia="Times New Roman" w:hAnsi="Times New Roman"/>
          <w:sz w:val="19"/>
          <w:szCs w:val="19"/>
          <w:color w:val="auto"/>
        </w:rPr>
      </w:pPr>
    </w:p>
    <w:p>
      <w:pPr>
        <w:ind w:left="320" w:hanging="314"/>
        <w:spacing w:after="0" w:line="296" w:lineRule="auto"/>
        <w:tabs>
          <w:tab w:leader="none" w:pos="308"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Uncertainty regarding the Transactions may create difficulties retaining, motivating and recruiting executives and other key employees before and following the completion of the Transactions.</w:t>
      </w:r>
    </w:p>
    <w:p>
      <w:pPr>
        <w:spacing w:after="0" w:line="17" w:lineRule="exact"/>
        <w:rPr>
          <w:rFonts w:ascii="Times New Roman" w:cs="Times New Roman" w:eastAsia="Times New Roman" w:hAnsi="Times New Roman"/>
          <w:sz w:val="19"/>
          <w:szCs w:val="19"/>
          <w:color w:val="auto"/>
        </w:rPr>
      </w:pPr>
    </w:p>
    <w:p>
      <w:pPr>
        <w:ind w:left="320" w:hanging="314"/>
        <w:spacing w:after="0" w:line="274" w:lineRule="auto"/>
        <w:tabs>
          <w:tab w:leader="none" w:pos="315" w:val="left"/>
        </w:tabs>
        <w:numPr>
          <w:ilvl w:val="0"/>
          <w:numId w:val="12"/>
        </w:numPr>
        <w:rPr>
          <w:rFonts w:ascii="Arial" w:cs="Arial" w:eastAsia="Arial" w:hAnsi="Arial"/>
          <w:sz w:val="21"/>
          <w:szCs w:val="21"/>
          <w:color w:val="auto"/>
        </w:rPr>
      </w:pPr>
      <w:r>
        <w:rPr>
          <w:rFonts w:ascii="Times New Roman" w:cs="Times New Roman" w:eastAsia="Times New Roman" w:hAnsi="Times New Roman"/>
          <w:sz w:val="19"/>
          <w:szCs w:val="19"/>
          <w:color w:val="auto"/>
        </w:rPr>
        <w:t>The Transactions may trigger change in control or other provisions in certain agreements, which may allow third parties to terminate or alter existing contracts or relationships.</w:t>
      </w:r>
    </w:p>
    <w:p>
      <w:pPr>
        <w:spacing w:after="0" w:line="44" w:lineRule="exact"/>
        <w:rPr>
          <w:rFonts w:ascii="Arial" w:cs="Arial" w:eastAsia="Arial" w:hAnsi="Arial"/>
          <w:sz w:val="21"/>
          <w:szCs w:val="21"/>
          <w:color w:val="auto"/>
        </w:rPr>
      </w:pPr>
    </w:p>
    <w:p>
      <w:pPr>
        <w:ind w:left="320" w:hanging="314"/>
        <w:spacing w:after="0"/>
        <w:tabs>
          <w:tab w:leader="none" w:pos="32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Our stockholders will not be entitled to appraisal rights in connection with the Transactions.</w:t>
      </w:r>
    </w:p>
    <w:p>
      <w:pPr>
        <w:spacing w:after="0" w:line="89" w:lineRule="exact"/>
        <w:rPr>
          <w:rFonts w:ascii="Times New Roman" w:cs="Times New Roman" w:eastAsia="Times New Roman" w:hAnsi="Times New Roman"/>
          <w:sz w:val="21"/>
          <w:szCs w:val="21"/>
          <w:color w:val="auto"/>
        </w:rPr>
      </w:pPr>
    </w:p>
    <w:p>
      <w:pPr>
        <w:ind w:left="320" w:hanging="314"/>
        <w:spacing w:after="0" w:line="260" w:lineRule="auto"/>
        <w:tabs>
          <w:tab w:leader="none" w:pos="315"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Changes and uncertainties with respect to taxes in the jurisdictions in which New Paramount will operate may have an adverse effect on New Paramount’s business.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Risks Relating to Ownership of our Common Stock</w:t>
      </w:r>
    </w:p>
    <w:p>
      <w:pPr>
        <w:spacing w:after="0" w:line="157" w:lineRule="exact"/>
        <w:rPr>
          <w:sz w:val="20"/>
          <w:szCs w:val="20"/>
          <w:color w:val="auto"/>
        </w:rPr>
      </w:pPr>
    </w:p>
    <w:p>
      <w:pPr>
        <w:ind w:left="320" w:hanging="314"/>
        <w:spacing w:after="0"/>
        <w:tabs>
          <w:tab w:leader="none" w:pos="32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Volatility in the prices of our Common Stock.</w:t>
      </w:r>
    </w:p>
    <w:p>
      <w:pPr>
        <w:spacing w:after="0" w:line="86" w:lineRule="exact"/>
        <w:rPr>
          <w:rFonts w:ascii="Times New Roman" w:cs="Times New Roman" w:eastAsia="Times New Roman" w:hAnsi="Times New Roman"/>
          <w:sz w:val="19"/>
          <w:szCs w:val="19"/>
          <w:color w:val="auto"/>
        </w:rPr>
      </w:pPr>
    </w:p>
    <w:p>
      <w:pPr>
        <w:ind w:left="320" w:hanging="314"/>
        <w:spacing w:after="0"/>
        <w:tabs>
          <w:tab w:leader="none" w:pos="32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NAI is in a position to control actions that require stockholder approval.</w:t>
      </w:r>
    </w:p>
    <w:p>
      <w:pPr>
        <w:spacing w:after="0" w:line="86" w:lineRule="exact"/>
        <w:rPr>
          <w:rFonts w:ascii="Times New Roman" w:cs="Times New Roman" w:eastAsia="Times New Roman" w:hAnsi="Times New Roman"/>
          <w:sz w:val="19"/>
          <w:szCs w:val="19"/>
          <w:color w:val="auto"/>
        </w:rPr>
      </w:pPr>
    </w:p>
    <w:p>
      <w:pPr>
        <w:ind w:left="320" w:hanging="314"/>
        <w:spacing w:after="0"/>
        <w:tabs>
          <w:tab w:leader="none" w:pos="32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Sales of NAI’s shares of our Common Stock could adversely affect the stock prices.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Relating to Our Business and Industry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If our streaming business is unsuccessful, our business, financial condition or results of operations could be adversely affected.</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Streaming is intensely competitive and cash intensive and there can be no assurance our streaming business will be profitable or otherwise successful. Our ability to continue to attract, engage and retain streaming subscribers and active users (together, “users”), as well as generate corresponding subscription and advertising revenues, depends on a number of factors, including our ability to consistently provide appealing and differentiated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7" w:name="page18"/>
    <w:bookmarkEnd w:id="17"/>
    <w:p>
      <w:pPr>
        <w:jc w:val="both"/>
        <w:spacing w:after="0" w:line="263" w:lineRule="auto"/>
        <w:rPr>
          <w:sz w:val="20"/>
          <w:szCs w:val="20"/>
          <w:color w:val="auto"/>
        </w:rPr>
      </w:pPr>
      <w:r>
        <w:rPr>
          <w:rFonts w:ascii="Times New Roman" w:cs="Times New Roman" w:eastAsia="Times New Roman" w:hAnsi="Times New Roman"/>
          <w:sz w:val="19"/>
          <w:szCs w:val="19"/>
          <w:color w:val="auto"/>
        </w:rPr>
        <w:t>that resonates globally, offer a quality experience for selecting and viewing that content, execute a windowing strategy that maximizes service appeal and the value of our content, successfully market our content and services, and make effective choices globally regarding whether we distribute our content and services directly through our owned-and-operated services or through third parties, including through hard bundles, MVPD bundles and channel distributors. Our success will require significant investments to produce original content and acquire the rights to third-party content, including sports, as well as the establishment and maintenance of key content and distribution partnerships. If we are unable to manage costs or maintain such partnerships, we may fail to meet our profitability goals.</w:t>
      </w:r>
    </w:p>
    <w:p>
      <w:pPr>
        <w:spacing w:after="0" w:line="18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In addition to attracting new users, we must also meaningfully engage existing users with content to minimize “churn” and maximize our advertising and subscription revenues. If consumers do not consider our streaming services to be of value compared to competing services, including because we fail to introduce compelling new content and features, do not maintain competitive pricing, terminate or modify promotional or trial period offerings, change the mix of content in a manner that is unfavorably received, or offer an inferior consumer viewing experience, we may not be able to attract, engage and retain users, and our business, financial condition or results of operations could be adversely affected. If subscribers who receive access to our streaming services through third-party bundles, including through MVPDs, cancel or discontinue their subscriptions, including as a result of selecting an alternative bundle that does not include our services or canceling or discontinuing such bundled service, our business may be adversely affected. The advertising revenues we generate from our advertising-supported streaming offerings may also be affected by fluctuations in user engagement. If we are unable to attract, engage and retain users and offset the losses of users who cancel or discontinue to engage with our streaming services, our business, financial condition or results of operations could be adversely affected.</w:t>
      </w:r>
    </w:p>
    <w:p>
      <w:pPr>
        <w:spacing w:after="0" w:line="398"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Our advertising revenues have been and may continue to be adversely impacted by several factors, including changes in consumer behavior and advertising market conditions.</w:t>
      </w:r>
    </w:p>
    <w:p>
      <w:pPr>
        <w:spacing w:after="0" w:line="126"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9"/>
          <w:szCs w:val="19"/>
          <w:color w:val="auto"/>
        </w:rPr>
        <w:t>We generate substantial revenues from the sale of advertising, and a decline in advertising revenues has had, and could continue to have, an adverse effect on our business, financial condition or results of operations.</w:t>
      </w:r>
    </w:p>
    <w:p>
      <w:pPr>
        <w:spacing w:after="0" w:line="13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 evolution of consumer preferences toward streaming and other digital services, and the increasing number of entertainment choices available to consumers, have intensified audience fragmentation and reduced viewership through traditional linear distribution models, which has caused and may continue to cause ratings and viewership declines for our television networks. This evolution has also given rise to new ways of purchasing advertising, as well as a general shift in total advertising expenditures toward streaming and digital, some of which may not be as beneficial to us as traditional advertising models. In addition, an increase in the number of advertising-supported streaming offerings has intensified, and may continue to intensify, competition for viewers and advertising. There can be no assurance we can successfully navigate the evolving streaming and digital advertising market or that the advertising revenues we generate in that market will replace the declines in advertising revenues generated from our traditional linear business.</w:t>
      </w:r>
    </w:p>
    <w:p>
      <w:pPr>
        <w:spacing w:after="0" w:line="1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Our advertising business is sensitive to general macroeconomic conditions as well as the economic prospects and spending priorities of specific advertisers or industries. Our ability to generate advertising revenue is also dependent on demand for our content, the viewers in our targeted demographics, advertising rates, targeting capabilities, results observed by advertisers, the perceived effectiveness of our advertising offerings and alternative advertising options. Natural and other disasters, pandemics, acts of terrorism, political uncertainty or hostilities could also lead to a reduction in domestic and international advertising expenditures as a result of disrupted programming and services and economic uncertainty.</w:t>
      </w:r>
    </w:p>
    <w:p>
      <w:pPr>
        <w:spacing w:after="0" w:line="16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Major sports events, such as the Super Bowl and the NCAA Division I Men’s Basketball Tournament, and state, congressional and presidential elections cycles, may cause our advertising revenues to vary substantially from year to year. Political advertising expenditures are impacted by the ability and willingness of candidates and political action campaigns to spend funds on advertising and the competitive nature of the elections affecting viewers in markets featuring our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8" w:name="page19"/>
    <w:bookmarkEnd w:id="18"/>
    <w:p>
      <w:pPr>
        <w:jc w:val="both"/>
        <w:spacing w:after="0" w:line="259" w:lineRule="auto"/>
        <w:rPr>
          <w:sz w:val="20"/>
          <w:szCs w:val="20"/>
          <w:color w:val="auto"/>
        </w:rPr>
      </w:pPr>
      <w:r>
        <w:rPr>
          <w:rFonts w:ascii="Times New Roman" w:cs="Times New Roman" w:eastAsia="Times New Roman" w:hAnsi="Times New Roman"/>
          <w:sz w:val="19"/>
          <w:szCs w:val="19"/>
          <w:color w:val="auto"/>
        </w:rPr>
        <w:t>Advertising sales are also largely dependent on audience measurement and could be negatively affected if measurement methodologies do not accurately reflect viewership levels. In addition, if advertising buyers require the use of specific television measurement solutions, our inability to reach or maintain agreements with the providers of such television measurement solutions may negatively impact our advertising revenues. The industry is currently transitioning to a multiplatform measurement environment in an effort to more completely measure viewership and advertising across linear, streaming and digital, but has not yet established a consistent methodology for such measurement. Currently, the primary measurement technique used in our television advertising sales does not fully measure viewership across streaming and digital platforms. We measure and monetize across our streaming services using census-based advertising-server data establishing the number of impressions served, combined with third-party data providing demographic composition estimates. Multiplatform campaign verification is still not measured by any one consistently applied method. While we expect innovation and standards around multiplatform measurement to benefit us as the advertising market continues to evolve, we are nevertheless partially dependent on third parties to deliver those solutions.</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 xml:space="preserve">Our ability to generate advertising revenues can also be impacted, and in certain circumstances has already been impacted, by an increasing number of global laws and regulations that limit our ability to deliver to, target or measure audiences. See “— Risks Relating to Legal and Regulatory Matters — </w:t>
      </w:r>
      <w:r>
        <w:rPr>
          <w:rFonts w:ascii="Times New Roman" w:cs="Times New Roman" w:eastAsia="Times New Roman" w:hAnsi="Times New Roman"/>
          <w:sz w:val="19"/>
          <w:szCs w:val="19"/>
          <w:i w:val="1"/>
          <w:iCs w:val="1"/>
          <w:color w:val="auto"/>
        </w:rPr>
        <w:t>We are subject to complex, often inconsistent and potentially costly laws, regulations, industry standards and contractual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obligations relating to privacy and data protection.</w:t>
      </w:r>
      <w:r>
        <w:rPr>
          <w:rFonts w:ascii="Times New Roman" w:cs="Times New Roman" w:eastAsia="Times New Roman" w:hAnsi="Times New Roman"/>
          <w:sz w:val="19"/>
          <w:szCs w:val="19"/>
          <w:color w:val="auto"/>
        </w:rPr>
        <w:t>”</w:t>
      </w:r>
    </w:p>
    <w:p>
      <w:pPr>
        <w:spacing w:after="0" w:line="156"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We operate in highly competitive and dynamic industries and our business, financial condition or results of operations could be adversely affected if we do not compete effectively.</w:t>
      </w:r>
    </w:p>
    <w:p>
      <w:pPr>
        <w:spacing w:after="0" w:line="14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We face substantial and increasing competition to attract creative talent, to produce and acquire the rights to high-quality content, to acquire, engage and retain audiences and users, and to distribute our content and services on a variety of third-party platforms. Competition for talent, content, audiences, subscribers, service providers, advertising, production infrastructure and distribution is intense and comes from other television networks and stations, streaming services (including those that provide pirated content), social media, content studios and independent content producers and distributors, consumer products companies and other entertainment outlets and platforms, as well as from “second screen” applications. We also compete with additional entrants into the market for the production of original content.</w:t>
      </w:r>
    </w:p>
    <w:p>
      <w:pPr>
        <w:spacing w:after="0" w:line="1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Our competitors include companies with interests in multiple media and entertainment businesses that are often vertically integrated, as well as companies in adjacent sectors with significant financial, marketing and other resources, greater efficiencies of scale, fewer regulatory burdens and more competitive pricing. Our competitors may also consolidate or enter into business combinations or alliances that strengthen their competitive position. We also rely on third-party platforms with which we compete to make our content available to our users, and if these third parties are unwilling to continue to distribute our content or distribute it on terms favorable to us, our business, financial condition or results of operations could be adversely affected.</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These increased competitive pressures have resulted in, and may continue to result in, increased costs, including with respect to talent and intellectual property rights. We invest significant resources to produce, market and distribute original content. We also acquire content and ancillary rights and pay related rights fees (including for sports and music rights), license fees, royalties and/or contingent compensation. If these competitive pressures continue to increase, we may not be able to produce or acquire content in a cost-effective manner. We may be outbid by our competitors for the rights to new, popular content or in connection with the renewals of popular rights we currently hold.</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This competition could result in a decrease in audiences and users, lower ratings and advertising revenues, lower affiliate and other revenues, and increased content costs and promotional and other expenses, which can negatively affect our ability to generate revenues and profitability. There can be no assurance we will be able to compete successfully in the future against existing or new competitors, or that competition in the marketplace will not have an adverse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9" w:name="page20"/>
    <w:bookmarkEnd w:id="19"/>
    <w:p>
      <w:pPr>
        <w:jc w:val="both"/>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The unpredictable and constantly shifting nature of consumer behavior, as well as evolving technologies and distribution models, have affected, and could continue to adversely affect, our business, financial condition or results of operations.</w:t>
      </w:r>
    </w:p>
    <w:p>
      <w:pPr>
        <w:spacing w:after="0" w:line="12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Our success depends on our ability to anticipate and adapt to shifting content consumption patterns, evolving technologies and distribution models.</w:t>
      </w:r>
    </w:p>
    <w:p>
      <w:pPr>
        <w:spacing w:after="0" w:line="200" w:lineRule="exact"/>
        <w:rPr>
          <w:sz w:val="20"/>
          <w:szCs w:val="20"/>
          <w:color w:val="auto"/>
        </w:rPr>
      </w:pPr>
    </w:p>
    <w:p>
      <w:pPr>
        <w:spacing w:after="0" w:line="23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Our ability to maintain attractive brands and to create, distribute and/or license popular content are key to our success and ability to generate revenues. The revenues we generate primarily depend on our ability to consistently anticipate and satisfy consumer tastes and expectations in the U.S. and internationally. Consumer tastes and behavior change frequently, and it is a challenge to anticipate what will be successful at any point in time. The popularity of our original content and the content we acquire from third parties is affected by our ability to target key audiences; the quality and attractiveness of competing content; and the availability and popularity of alternative forms of entertainment and leisure activities, general economic conditions and other tangible and intangible factors, all of which can be unpredictable. Declines in the popularity of the content we distribute, including sports for which we have acquired rights, could have an adverse effect on our business, financial condition or results of operations.</w:t>
      </w:r>
    </w:p>
    <w:p>
      <w:pPr>
        <w:spacing w:after="0" w:line="1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Evolving technologies, such as artificial intelligence, and distribution models and the size of the entertainment and content market affect the demand for our content, how our content is generated, distributed and consumed, the sources and nature of competing content offerings and the options available to advertisers for reaching target audiences, all of which can affect how we generate and maintain predictable revenues and profitability. These developments have impacted certain traditional distribution models, including ones we have historically relied upon, as demonstrated by industrywide declines in broadcast and cable ratings, declines in cable subscribers, the development of alternative distribution platforms for broadcast and cable content and reduced theatergoing. Declines in linear viewership are expected to continue and may accelerate, which could adversely affect our advertising and affiliate revenues.</w:t>
      </w:r>
    </w:p>
    <w:p>
      <w:pPr>
        <w:spacing w:after="0" w:line="16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These shifts in consumer behavior may also be exacerbated by disruptions to our operations caused by events outside of our control, including prolonged disruptions to our ability to create content caused by global events outside our control such as health outbreaks or pandemics similar to COVID-19 or industry-wide strikes similar to what we experienced in 2023 with the Writers Guild of America (“WGA”) and the Screen Actors Guild-American Federation of Television and Radio Artists (“SAG-AFTRA”) strikes.</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To respond to these developments, we regularly consider, and from time to time adopt or develop, new technologies and changes to our business models and strategies to remain competitive, such as our increased investment in streaming. There can be no assurance we will successfully anticipate or respond to these developments, that we will not experience disruption as we respond to such developments, or that the new technologies or business models we develop will be as successful or as profitable as historical or existing ones.</w:t>
      </w:r>
    </w:p>
    <w:p>
      <w:pPr>
        <w:spacing w:after="0" w:line="174"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Decisions to make investments in new businesses, products, services and technologies, and the evolution of our business strategy, could have an adverse effect on our business, financial condition or results of operations.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To effectively respond to market and consumer changes, we have made, and expect to continue to make, changes to our business strategy that are subject to execution risk, and there can be no assurance they will produce anticipated benefits. As part of the evolution of our business strategy, we have invested in or otherwise implemented, and expect to continue to invest in or implement, new businesses, products, services, technologies and other strategic initiatives, including through mergers such as the Transactions, acquisitions, strategic partnerships and investments, as well as through restructurings, cost savings and other transformation initiatives, including workforce reductions. For example, we have implemented, and are continuing to explore, certain updates to our international business strategy, including an increased focus on broad-based content, alternatives to how we deliver or package our streaming offerings and our approach to licensing. These changes may involve significant risks and uncertainties, including: difficulty integrating acquired businesses; failure to realize anticipated benefits; unanticipated expenses and liabilities; potential disruption to our business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bookmarkStart w:id="20" w:name="page21"/>
    <w:bookmarkEnd w:id="20"/>
    <w:p>
      <w:pPr>
        <w:jc w:val="both"/>
        <w:spacing w:after="0" w:line="263" w:lineRule="auto"/>
        <w:rPr>
          <w:sz w:val="20"/>
          <w:szCs w:val="20"/>
          <w:color w:val="auto"/>
        </w:rPr>
      </w:pPr>
      <w:r>
        <w:rPr>
          <w:rFonts w:ascii="Times New Roman" w:cs="Times New Roman" w:eastAsia="Times New Roman" w:hAnsi="Times New Roman"/>
          <w:sz w:val="19"/>
          <w:szCs w:val="19"/>
          <w:color w:val="auto"/>
        </w:rPr>
        <w:t>diversion of management’s attention; difficulty managing operations; the loss or inability to retain key employees and creative talent; unanticipated challenges to or loss of our relationship with new or existing users, audiences, advertisers, suppliers, distributors and licensors; legal and regulatory limitations; insufficient revenues from such investments to offset any new liabilities assumed and expenses associated with new investments; and failure to successfully develop an acquired business or technology. Many of these factors are outside of our control, and because new investments are inherently risky, and the anticipated benefits or value of these investments may not materialize, there can be no assurance such investments and other strategic initiatives will not adversely affect our business, financial condition or results of operations.</w:t>
      </w:r>
    </w:p>
    <w:p>
      <w:pPr>
        <w:spacing w:after="0" w:line="176"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The loss of affiliation and distribution agreements, renewal of these agreements on less favorable terms or adverse interpretations thereof could have an adverse effect on our business, financial condition or results of operations.</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A significant portion of our revenues are attributable to agreements with a limited number of distributors. There can be no assurance these agreements will be renewed in the future, or renewed on favorable terms, including terms related to pricing, programming tiers and the types of the rights we grant distributors. The loss of existing packaging, positioning, pricing or other opportunities and the loss of carriage or the failure to renew, or any delay in renewing, our agreements with any distributor, or renew them on favorable terms, could lead to service blackouts, reduce the distribution of our content, decreasing the potential audience for our content and negatively affecting our growth prospects, revenues from both affiliate fees and advertising and our reputation with viewers. The CBS Network provides affiliated television stations regularly scheduled programming in return for the insertion of network commercials during that programming and the payment of reverse compensation. The loss of such station affiliation agreements, which would reduce the reach of our programming and therefore our appeal to advertisers, as well as the renewal of these affiliation agreements on less favorable terms, could adversely affect our results of operations.</w:t>
      </w:r>
    </w:p>
    <w:p>
      <w:pPr>
        <w:spacing w:after="0" w:line="16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Consolidation among and vertical integration of distributors in the cable and broadcast network businesses has provided more leverage to these distributors and could adversely affect our ability to maintain or obtain distribution for our network programming or distribution and/or marketing of our subscription services on favorable or commercially reasonable terms, or at all. Also, consolidation among television station group owners could increase their negotiating leverage. Competitive pressures faced by MVPDs, particularly in light of evolving consumer consumption patterns and new distribution models, could adversely affect the terms of our renewals with MVPDs. In addition, MVPDs continue to develop alternative offerings, and to the extent these offerings do not include our content and become widely accepted in lieu of traditional offerings, we could experience a decline in affiliate revenues.</w:t>
      </w:r>
    </w:p>
    <w:p>
      <w:pPr>
        <w:spacing w:after="0" w:line="16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Our revenues are also dependent on the compliance of major distributors with the terms of our affiliation or distribution agreements. As these agreements have grown in complexity, the number of disputes regarding their interpretation and even their validity has grown, resulting in greater uncertainty and, from time to time, litigation with respect to our rights and obligations. Some of our distribution agreements contain “most favored nation” (“MFN”) clauses, which provide that if we enter into an agreement with a distributor and such agreement includes terms that are more favorable than those held by a distributor holding an MFN right, we must offer some of those terms to the distributor holding the MFN right. Disagreements with a distributor on the interpretation or validity of an agreement could adversely impact our affiliate and advertising revenues, as well as our relationship with that distributor.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Damage to our reputation or brands could adversely affect our business, financial condition or results of operations.</w:t>
      </w:r>
    </w:p>
    <w:p>
      <w:pPr>
        <w:spacing w:after="0" w:line="23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Our reputation and globally recognized brands are critical to our success. Our reputation depends on a number of factors, including the quality of our content, services and other offerings, the level of trust we maintain with our consumers and our ability to successfully innovate. Because our brands engage consumers across our businesses, damage to our reputation or brands in one business may have an impact on our others and, because some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1" w:name="page22"/>
    <w:bookmarkEnd w:id="21"/>
    <w:p>
      <w:pPr>
        <w:jc w:val="both"/>
        <w:spacing w:after="0" w:line="263" w:lineRule="auto"/>
        <w:rPr>
          <w:sz w:val="20"/>
          <w:szCs w:val="20"/>
          <w:color w:val="auto"/>
        </w:rPr>
      </w:pPr>
      <w:r>
        <w:rPr>
          <w:rFonts w:ascii="Times New Roman" w:cs="Times New Roman" w:eastAsia="Times New Roman" w:hAnsi="Times New Roman"/>
          <w:sz w:val="19"/>
          <w:szCs w:val="19"/>
          <w:color w:val="auto"/>
        </w:rPr>
        <w:t>brands are recognized around the world, brand damage may not be locally contained. Our reputation and brands may be damaged by significant negative claims or publicity regarding Paramount or its business decisions, operations, practices, content, products, social responsibility and culture, management, employees, business partners and individuals associated with the content we create and/or license, even if such claims are untrue, as well as by our inability to adequately prepare for or respond to such negative claims or publicity. Additionally, social media continues to impede our ability to meaningfully investigate, respond to and address negative publicity, including actual or perceived incidents, in light of the speed with which such publicity is disseminated. Damage to our reputation or brands could impact our sales, number of viewers, users and other customers, business opportunities, profitability, retention, recruiting and the trading prices of our Common Stock.</w:t>
      </w:r>
    </w:p>
    <w:p>
      <w:pPr>
        <w:spacing w:after="0" w:line="162"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Losses due to asset impairment charges for goodwill, intangible assets, FCC licenses and content could have an adverse effect on our business, financial condition or results of operations.</w:t>
      </w:r>
    </w:p>
    <w:p>
      <w:pPr>
        <w:spacing w:after="0" w:line="1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Certain events and circumstances can result in a decline in the values of our reporting units, intangible assets or content, which could result in additional noncash impairment charges. In the second quarter of 2024, we performed an interim goodwill impairment test for each of our reporting units, as a result of recent indicators in the linear affiliate marketplace and the estimated total company market value indicated by the Transactions and the NAI Transaction. These tests indicated that a goodwill impairment charge was required for our Cable Networks reporting unit, and that three of our other reporting units had fair values that exceeded their respective carrying values by less than 10%. Deterioration of market conditions, increases in interest rates and/or unfavorable impacts to the projections used in our impairment tests (including from further declines in the linear advertising and affiliate markets, an increased shift by advertisers to competing advertising platforms, changes in consumer behavior, a decrease in audience acceptance of our content and platforms, and delays or difficulties in achieving our profitability goals for our streaming services), could result in a further downward revision in the estimated fair value of our reporting units and/or intangible assets, including our FCC licenses, which could result in a noncash impairment charge. In addition, in 2024 and 2023 we recorded programming charges totaling $1.12 billion and $2.37 billion, respectively, as a result of major strategic changes in our content strategy that led to the removal of significant levels of content from our platforms, the abandonment of development projects and the termination of certain programming agreements. Future strategic changes could result in further programming charges. Any such impairment charge for goodwill, intangible assets and/or programming could have a material adverse effect on our reported net earnings.</w:t>
      </w:r>
    </w:p>
    <w:p>
      <w:pPr>
        <w:spacing w:after="0" w:line="18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Our liabilities related to discontinued operations and former businesses could adversely affect our business, financial condition or results of operations.</w:t>
      </w:r>
    </w:p>
    <w:p>
      <w:pPr>
        <w:spacing w:after="0" w:line="1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We have both recognized and potential liabilities and costs related to discontinued operations and former businesses, certain of which are unrelated to our existing business, including leases, guarantees, environmental liabilities, liabilities related to the pensions and medical expenses of retirees, asbestos liabilities, contractual disputes and other pending and threatened litigation. There can be no assurance our accruals for these matters are sufficient to cover these liabilities, individually or in the aggregate, if and/or when they become due. Therefore, there can be no assurance these liabilities will not have an adverse effect on our business, financial condition or results of operations.</w:t>
      </w:r>
    </w:p>
    <w:p>
      <w:pPr>
        <w:spacing w:after="0" w:line="17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Increasing scrutiny of, and evolving expectations for, sustainability initiatives could increase costs, harm our reputation or otherwise adversely impact our business, financial condition or results of operations.</w:t>
      </w:r>
    </w:p>
    <w:p>
      <w:pPr>
        <w:spacing w:after="0" w:line="15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A number of new domestic and international laws and regulations relating to sustainability matters, including human capital management and cybersecurity, have been adopted and many more are under consideration. In California, the Climate Corporate Data Accountability Act will require the disclosure of Scope 1, 2 and 3 greenhouse gas emissions, and the Climate-Related Financial Risk Act will require biennial climate risk management reports prepared in accordance with the recommendations of the Task Force on Climate-related Financial Disclosures. The E.U.’s Corporate Sustainability Reporting Directive (“CSRD”) as entered into force on January 5, 2023, mandates disclosure on a broad array of sustainability topics, including greenhouse gas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2" w:name="page23"/>
    <w:bookmarkEnd w:id="22"/>
    <w:p>
      <w:pPr>
        <w:jc w:val="both"/>
        <w:spacing w:after="0" w:line="259" w:lineRule="auto"/>
        <w:rPr>
          <w:sz w:val="20"/>
          <w:szCs w:val="20"/>
          <w:color w:val="auto"/>
        </w:rPr>
      </w:pPr>
      <w:r>
        <w:rPr>
          <w:rFonts w:ascii="Times New Roman" w:cs="Times New Roman" w:eastAsia="Times New Roman" w:hAnsi="Times New Roman"/>
          <w:sz w:val="19"/>
          <w:szCs w:val="19"/>
          <w:color w:val="auto"/>
        </w:rPr>
        <w:t>emissions and additional matters in our upstream and downstream operations, requiring reporting from a “double materiality” perspective, rather than under a traditional scope of financial materiality. These increased disclosure obligations have required, and may continue to require, us to implement new practices and reporting processes and have created, and may continue to create, additional compliance risk. They may also result in increased costs relating to tracking, reporting and compliance. Globally, regulators may also enact new and varied sustainability-related laws and regulations. Our failure to comply with any applicable laws or regulations could lead to penalties and adversely impact our reputation, consumer attraction and retention, access to capital and employee retention, which could have an adverse effect on our business, financial condition or results of operations. At the same time, there has been an increase in proposed or enacted “anti-ESG” or “anti-DEI” legislation, regulation, policies, enforcement priorities, directives, initiatives and legal opinions. Conflicting regulations and requirements, and a lack of harmonization of legal and regulatory environments across the jurisdictions in which we operate, may create enhanced compliance risks and costs.</w:t>
      </w:r>
    </w:p>
    <w:p>
      <w:pPr>
        <w:spacing w:after="0" w:line="200" w:lineRule="exact"/>
        <w:rPr>
          <w:sz w:val="20"/>
          <w:szCs w:val="20"/>
          <w:color w:val="auto"/>
        </w:rPr>
      </w:pP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We also have faced, and may continue to face, increasing scrutiny from our consumers, advertisers, distributors, suppliers, licensors, creative talent, employees and other stakeholders relating to the appropriate role of sustainability-related programs, practices, targets and disclosures. While we have engaged, and may continue to engage, in various voluntary sustainability-related initiatives, such initiatives may be costly and may not have the desired effect. We may determine that continued participation in such initiatives is not practicable or advisable. In addition, we may not ultimately be able to achieve the voluntary goals we set out, and/or we may determine that further pursuit of those goals in light of changing circumstances is impracticable or inadvisable. Our expectations and assumptions are necessarily uncertain and may be prone to error or subject to misinterpretation given the long timelines involved and the lack of an established, singular approach to identifying, measuring and reporting on many sustainability-related matters. The goals or initiatives we do undertake may not align with the expectations of our stakeholders, which often vary significantly, and may not align with future stakeholder expectations, reporting frameworks, regulatory requirements, or best practices. The actions we may take, or the statements we may make, based on expectations or assumptions we believe reasonable at the time, may subsequently be determined to be ineffectual or subject to misinterpretation. As a result, our business, brand or reputation may be negatively impacted and subject to additional investor or regulatory scrutiny. Furthermore, some market participants, including major institutional investors and providers of debt and equity financing, may also consider our performance in these areas and the ratings of third-party benchmarks or scores (which we have limited ability to influence) in their decisions involving our Company, which could impact our cost of capital and adversely affect our business, financial condition or results of operations. These opposing views may also be adopted by our investors.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Relating to Business Continuity, Cybersecurity and Privacy and Data Protection</w:t>
      </w:r>
    </w:p>
    <w:p>
      <w:pPr>
        <w:spacing w:after="0" w:line="23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Disruptions or failures of, or attacks on, our or our service providers’ networks, information systems and other technologies could result in the disclosure of business or personal information, disruption of our businesses, damage to our brands and reputation, and legal exposure and financial losses.</w:t>
      </w:r>
    </w:p>
    <w:p>
      <w:pPr>
        <w:spacing w:after="0" w:line="16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Cloud services, networks, software, information systems and other technologies we use or that are used by our third-party service providers and our product suppliers (“Providers”), including technology systems used by us and our Providers in connection with the production and distribution of our content and that otherwise perform important functions (“Systems”), are critical to our business activities. These Systems have experienced, and are expected to continue to experience, cybersecurity attacks intended to disrupt our services and operations, exfiltrate, corrupt or prevent our access and/or use of our data, proprietary information or intellectual property, or exfiltrate or corrupt the personal and other information of third parties, employees, contractors and customers.</w:t>
      </w:r>
    </w:p>
    <w:p>
      <w:pPr>
        <w:spacing w:after="0" w:line="16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Shutdowns, disruptions and attacks on our or our Providers’ Systems pose increasing risks to our business and may be caused by third-party hacking; dissemination of computer viruses, worms, malware, ransomware and other destructive or disruptive software; denial-of-service attacks and other bad acts; human error; and power outages, natural disasters, extreme weather, terrorist attacks or other similar events. Shutdowns, disruptions and attacks could have an adverse impact on us, our business partners, advertisers and other Providers,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3" w:name="page24"/>
    <w:bookmarkEnd w:id="23"/>
    <w:p>
      <w:pPr>
        <w:jc w:val="both"/>
        <w:spacing w:after="0" w:line="261" w:lineRule="auto"/>
        <w:rPr>
          <w:sz w:val="20"/>
          <w:szCs w:val="20"/>
          <w:color w:val="auto"/>
        </w:rPr>
      </w:pPr>
      <w:r>
        <w:rPr>
          <w:rFonts w:ascii="Times New Roman" w:cs="Times New Roman" w:eastAsia="Times New Roman" w:hAnsi="Times New Roman"/>
          <w:sz w:val="19"/>
          <w:szCs w:val="19"/>
          <w:color w:val="auto"/>
        </w:rPr>
        <w:t>consumers of our content, including degradation or disruption of service, loss of data or intellectual property, and damage to equipment and data. Steps we or our Providers take to enhance, improve or upgrade Systems may not be sufficient to avoid shutdowns, disruptions and attacks. In addition, the rapid global advancement of artificial intelligence and machine learning technologies (“AI Technologies”) may also heighten our risks by making cyberattacks more difficult to detect, contain, and mitigate. Significant events could result in a disruption of our operations and reduction of our revenues, the loss of or damage to intellectual property, the loss of or damage to the integrity of data used by management to make decisions and operate our businesses, viewer or advertiser dissatisfaction or a loss of viewers or advertisers, and damage to our reputation or brands. In addition, our recovery and business continuity plans may prove inadequate to address any such disruption, failure or cybersecurity attack.</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We are subject to risks caused by the misappropriation, misuse, falsification or intentional or accidental release or loss of business or personal data or content maintained in our or our Providers’ Systems, including proprietary and personal information of third parties, employees and users of our online, mobile and app offerings, business information, including intellectual property, or other confidential information. Outside parties may attempt to penetrate our or our Providers’ Systems, or fraudulently induce or impersonate employees, business partners or users of our online, mobile and app offerings to disclose sensitive or confidential information, to gain access to our proprietary data or the data of our users, employees or contractors, our content or other intellectual property. The number and sophistication of attempted and successful phishing, information security breaches or disruptive ransomware or denial-of-service attacks have increased significantly in recent years, and because of our prominence or the prominence of our content, we and/or our Providers may be a particularly attractive target for such attacks. Because the techniques used to obtain unauthorized access to, or disable, degrade or sabotage, networks and Systems change frequently, we or our Providers may be unable to anticipate these techniques, implement adequate security measures or remediate flaws or detect intrusion on a timely or effective basis. We also rely on proprietary and third-party technologies to optimize operations across certain areas of our business. The use of these technologies may lead to unintentional disclosure of sensitive, confidential, proprietary or personal information of ours and of our employees or customers. Such technologies may be subject to manipulation or prone to error from data or manipulation outside our direct control.</w:t>
      </w:r>
    </w:p>
    <w:p>
      <w:pPr>
        <w:spacing w:after="0" w:line="200" w:lineRule="exact"/>
        <w:rPr>
          <w:sz w:val="20"/>
          <w:szCs w:val="20"/>
          <w:color w:val="auto"/>
        </w:rPr>
      </w:pPr>
    </w:p>
    <w:p>
      <w:pPr>
        <w:spacing w:after="0" w:line="2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We operate an information security program to identify and mitigate cybersecurity risk. Despite our efforts, the risk of unauthorized access, modification, exfiltration, destruction or denial of access with respect to our data, the data of our customers and employees or our Systems and other cybersecurity attacks cannot be eliminated entirely, and the risks associated with a potential incident remain. If a breach or perceived breach of our Systems or those of our Providers occurs, the perception of the effectiveness of our security measures could be harmed, we could lose consumers, revenues, advertisers and other business partners, and users of our online, mobile and app offerings; our reputation, brands, credibility and the overall attractiveness of our offerings could be damaged; and we could be required to expend significant amounts of money and other resources to repair, replace or recover such Systems. We could also be subject to actions by regulatory authorities and claims asserted in private litigation. The costs relating to any data breach could be material, and we may not have adequate insurance coverage to compensate us for any losses associated with such events.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Relating to Intellectual Property</w:t>
      </w:r>
    </w:p>
    <w:p>
      <w:pPr>
        <w:spacing w:after="0" w:line="232"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Infringement of our content reduces revenue received from the distribution of our programming, films, interactive games and other entertainment content.</w:t>
      </w:r>
    </w:p>
    <w:p>
      <w:pPr>
        <w:spacing w:after="0" w:line="1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Our success depends in part on our ability to maintain and monetize our intellectual property rights. We are fundamentally a content company and infringement of our content adversely affects the value of our content. Copyright infringement is particularly prevalent in many parts of the world that lack effective laws and technical protection measures similar to those in the U.S. and Europe or lack effective enforcement of such measures, or both. Such foreign copyright infringement can also create a supply of pirated content for major markets. The interpretation of copyright, trademark and other intellectual property laws as applied to our content, and our infringement-detection and enforcement efforts, remain in flux, and some methods of enforcement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4" w:name="page25"/>
    <w:bookmarkEnd w:id="24"/>
    <w:p>
      <w:pPr>
        <w:jc w:val="both"/>
        <w:spacing w:after="0" w:line="300" w:lineRule="auto"/>
        <w:rPr>
          <w:sz w:val="20"/>
          <w:szCs w:val="20"/>
          <w:color w:val="auto"/>
        </w:rPr>
      </w:pPr>
      <w:r>
        <w:rPr>
          <w:rFonts w:ascii="Times New Roman" w:cs="Times New Roman" w:eastAsia="Times New Roman" w:hAnsi="Times New Roman"/>
          <w:sz w:val="19"/>
          <w:szCs w:val="19"/>
          <w:color w:val="auto"/>
        </w:rPr>
        <w:t>encountered political or commercial opposition. The failure to appropriately enforce and/or the weakening of existing intellectual property laws could make it more difficult for us to adequately protect and monetize our intellectual property and thus negatively affect its value.</w:t>
      </w:r>
    </w:p>
    <w:p>
      <w:pPr>
        <w:spacing w:after="0" w:line="13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Copyright infringement is made easier by the wide availability of higher bandwidth and reduced storage costs, as well as tools that undermine encryption and other security features and enable infringers to disguise their identities online. We and our production and distribution partners operate various technology systems in connection with the production and distribution of our programming and films, and intentional or unintentional acts could result in unauthorized access to our content. The continuing proliferation of digital formats and technologies heightens this risk. Internet-connected televisions, set-top boxes and mobile devices are ubiquitous, and many can support illegal retransmission platforms, illicit video-on-demand or streaming services and preloaded hardware, providing more accessible, versatile and legitimate-looking environments for consuming unlicensed film and television content. Unauthorized access to our content could result in the premature release of films, television programs or other content as well as a reduction in demand for authorized content, which would likely have adverse effects on the value of the affected content and our ability to monetize it. The legal landscape continues to evolve with respect to the development and increased prevalence of certain new technologies, including AI Technologies. As a consequence, we face uncertainty with respect to our ability to protect our intellectual property from unauthorized use, misappropriation, and infringement utilizing such technologies, and an increased risk of being subjected to claims brought by third-party rights owners with respect thereto.</w:t>
      </w:r>
    </w:p>
    <w:p>
      <w:pPr>
        <w:spacing w:after="0" w:line="16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Copyright infringement reduces the revenue we are able to generate from the legitimate sale and distribution of our content, undermines lawful distribution channels, reduces the public’s and some affiliate partners’ perceived value of our content and inhibits our ability to recoup or profit from the costs incurred to create such content. We are actively engaged in enforcement and other activities to protect our intellectual property, and it is likely we will continue to expend resources in connection with these initiatives. Efforts to prevent the unauthorized reproduction, distribution and exhibition of our content may affect our profitability and may not be successful in preventing harm to our business.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Relating to Macroeconomic and Political Conditions</w:t>
      </w:r>
    </w:p>
    <w:p>
      <w:pPr>
        <w:spacing w:after="0" w:line="23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Economic and political conditions in the U.S. and around the world could have an adverse effect on our business, financial condition or results of operations.</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Our businesses operate and have audiences, customers and partners worldwide. Accordingly, the economic conditions in the U.S. and around the world affect a number of aspects of our businesses. The global financial markets have experienced significant recent volatility, marked by declining economic growth, diminished liquidity and availability of credit, declines in consumer confidence, significant concerns about increasing and persistently high inflation and uncertainty about economic stability. The global financial markets have also been adversely affected by current geopolitical events. There can be no assurance further deterioration in credit and financial markets and confidence in economic conditions will not occur. Volatility and weakness in the capital markets, the tightening of credit markets or additional decreases in our debt ratings could adversely affect our ability to obtain cost-effective financing. Increasing inflation in the U.S. over the past several years has raised our costs for labor and services and other costs required to operate our businesses.</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Economic conditions in each market can also impact our audience’s discretionary spending and therefore their willingness to access our content, as well as the businesses of our partners who purchase advertising from us, causing them to reduce their spending. We may also be subject to longer payment cycles. In addition, foreign currency fluctuations have impacted, and may continue to impact, revenues and expenses of our international operations and expose us to foreign currency exchange rate risk.</w:t>
      </w:r>
    </w:p>
    <w:p>
      <w:pPr>
        <w:spacing w:after="0" w:line="1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Our business can also be impacted by political conditions in the U.S, including in connection with changes in government leadership and corresponding shifts in political policies and priorities at the federal, state and local level. We are also exposed to political risks inherent in conducting a global business such as retaliatory actions by governments reacting to changes in the U.S. and other countries, including in connection with trade negotiations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5" w:name="page26"/>
    <w:bookmarkEnd w:id="25"/>
    <w:p>
      <w:pPr>
        <w:jc w:val="both"/>
        <w:spacing w:after="0" w:line="273" w:lineRule="auto"/>
        <w:rPr>
          <w:sz w:val="20"/>
          <w:szCs w:val="20"/>
          <w:color w:val="auto"/>
        </w:rPr>
      </w:pPr>
      <w:r>
        <w:rPr>
          <w:rFonts w:ascii="Times New Roman" w:cs="Times New Roman" w:eastAsia="Times New Roman" w:hAnsi="Times New Roman"/>
          <w:sz w:val="19"/>
          <w:szCs w:val="19"/>
          <w:color w:val="auto"/>
        </w:rPr>
        <w:t>and the potential imposition of tariffs; issues related to the presence of corruption in certain markets and enforcement of anticorruption laws and regulations; increased risk of political instability in some markets as well as conflict and sanctions preventing us from accessing those markets; escalating trade, immigration and nuclear disputes; wars, acts of terrorism or other hostilities; and other political, economic or other uncertainties.</w:t>
      </w:r>
    </w:p>
    <w:p>
      <w:pPr>
        <w:spacing w:after="0" w:line="394"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These economic and political risks could create instability in any of the markets where our businesses generate revenues, which could result in a reduction of revenue or loss of investment that adversely affects our business, financial condition or 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Relating to Legal and Regulatory Matters</w:t>
      </w:r>
    </w:p>
    <w:p>
      <w:pPr>
        <w:spacing w:after="0" w:line="219" w:lineRule="exact"/>
        <w:rPr>
          <w:sz w:val="20"/>
          <w:szCs w:val="20"/>
          <w:color w:val="auto"/>
        </w:rPr>
      </w:pPr>
    </w:p>
    <w:p>
      <w:pPr>
        <w:jc w:val="both"/>
        <w:ind w:right="20"/>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Failures to comply with or changes in U</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 xml:space="preserve"> or foreign laws or regulations could have an adverse effect on our business, financial condition or results of operations.</w:t>
      </w:r>
    </w:p>
    <w:p>
      <w:pPr>
        <w:spacing w:after="0" w:line="12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We are subject to a variety of laws and regulations in the U.S. and in the foreign jurisdictions in which we or our partners operate, including laws and regulations relating to intellectual property, advertising and content regulation, consumer law, privacy, data protection, cybersecurity, anticorruption, repatriation of profits, tax regimes, quotas, tariffs or other trade barriers, currency exchange controls, operating license and permit requirements, restrictions on foreign ownership or investment, anticompetitive conduct, export and market access restrictions.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 broadcast and cable industries in the U.S. are highly regulated by U.S. federal laws and regulations issued and administered by various federal agencies. For example, we are required to obtain licenses from the FCC to operate our television stations and periodically renew them, and it cannot be assured that the FCC will approve our future renewal applications or that the renewals will be for full terms or will not include conditions or qualifications. The nonrenewal, or renewal with substantial conditions or modifications, of one or more of our licenses could have an adverse effect on our business, financial condition or results of operations. We must also comply with various FCC limits on the ownership of our television stations, which could restrict our ability to consummate future transactions and in certain circumstances could require us to divest some television stations, and on the operation of both our television stations and the CBS Network in the U.S. In addition, there has been consideration from time to time as to whether virtual MVPDs should be considered MVPDs as defined and regulated by the FCC.</w:t>
      </w:r>
    </w:p>
    <w:p>
      <w:pPr>
        <w:spacing w:after="0" w:line="1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Our businesses could be adversely affected by new laws and regulations, changes in existing laws, changes in the interpretation or enforcement of existing laws by courts and regulators and the threat that additional laws or regulations may be forthcoming, as well as our ability to enforce our legal rights. Laws and regulations governing new technologies, including AI Technologies, remain unsettled and are an area of increasing regulatory focus, and legal and regulatory developments in this area could also impact our business. For example, the E.U. has introduced a new regulation applicable to certain AI Technologies and the data used to train, test and deploy them (the “E.U. AI Act”). The E.U. AI Act entered into force in August 2024, and its requirements will become effective on a staggered basis, beginning February 2, 2025. The E.U. AI Act will impose material requirements on both the providers and deployers of AI Technologies, with infringement punishable by sanctions of up to 7% of annual worldwide turnover or €35 million (whichever is higher) for the most serious breaches. In parallel, the E.U. has proposed a new artificial intelligence liability directive that may facilitate certain claims for damages in respect of AI Technologies. Changes in the legal or regulatory landscape could require us to change or limit certain of our business practices, which could impact our ability to generate revenues. We could also incur substantial costs to comply with new and existing laws and regulations, or face substantial fines and penalties or other liabilities, or be subjected to increased scrutiny from regulators and stakeholders, if we fail to comply with such laws and regulations.</w:t>
      </w:r>
    </w:p>
    <w:p>
      <w:pPr>
        <w:spacing w:after="0" w:line="17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We are subject to complex, often inconsistent and potentially costly laws, regulations, industry standards and contractual obligations relating to privacy and data protection.</w:t>
      </w:r>
    </w:p>
    <w:p>
      <w:pPr>
        <w:spacing w:after="0" w:line="15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We are subject to laws, regulations, industry standards and contractual obligations in the U.S. and in other countries relating to privacy and the collection, use, process, transfer, storage and security of personal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6" w:name="page27"/>
    <w:bookmarkEnd w:id="26"/>
    <w:p>
      <w:pPr>
        <w:jc w:val="both"/>
        <w:spacing w:after="0" w:line="258" w:lineRule="auto"/>
        <w:rPr>
          <w:sz w:val="20"/>
          <w:szCs w:val="20"/>
          <w:color w:val="auto"/>
        </w:rPr>
      </w:pPr>
      <w:r>
        <w:rPr>
          <w:rFonts w:ascii="Times New Roman" w:cs="Times New Roman" w:eastAsia="Times New Roman" w:hAnsi="Times New Roman"/>
          <w:sz w:val="19"/>
          <w:szCs w:val="19"/>
          <w:color w:val="auto"/>
        </w:rPr>
        <w:t>In the E.U., for example, we are subject to the European Union General Data Protection Regulation (“E.U. GDPR”) and in the U.K., to the U.K. General Data Protection Regulation and Data Protection Act 2018 (“U.K. GDPR,” and together with E.U. GDPR, “GDPR”), which mandate data protection compliance obligations and authorizes significant fines for noncompliance, requiring extensive compliance resources and efforts on our part. Further, several other jurisdictions where we do business have enacted, amended or are considering new data protection regulations that may impact our business activities. In the U.S., numerous states have passed comprehensive data privacy laws. These laws mandate a host of obligations for businesses regarding how they handle personal information and provide new and expansive rights to the residents of these states. As an example, beginning in 2023, California began to offer privacy rights in the employment and business-to-business context similar to the requirements of the GDPR. In addition, these laws may be modified, or there may be changes in how these laws are interpreted, and new laws may be enacted in the future, which could increase our costs of regulatory compliance or require us to change our business practices. For example, on October 23, 2024, the U.K. government introduced the draft Data (Use and Access) Bill, which proposes various amendments to the current U.K. data protection regime, including to bring the maximum fine threshold for infringement of certain requirements relating to direct marketing and the use of cookies (currently £500,000) in line with the U.K. GDPR threshold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the higher of £17.5 million or 4% of annual global turnover), and the introduction of new data sharing frameworks. Other data privacy laws, such as health data privacy laws, may also have an impact on our business, especially with regard to some of our digital advertising offerings to advertisers in the health and wellness industries.</w:t>
      </w:r>
    </w:p>
    <w:p>
      <w:pPr>
        <w:spacing w:after="0" w:line="200" w:lineRule="exact"/>
        <w:rPr>
          <w:sz w:val="20"/>
          <w:szCs w:val="20"/>
          <w:color w:val="auto"/>
        </w:rPr>
      </w:pP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We are also subject to laws and regulations in the U.S. and in other jurisdictions around the world that are intended specifically to protect the interests of children and the online safety and privacy of minors, such as, in the U.S., the federal Children’s Online Privacy Protection Act and various evolving and newly enacted state laws, including comprehensive privacy laws and laws specifically directed to the protection of children online. Further, in the E.U. and the U.K., we are subject to the GDPR, as well as codes of conduct and rules relating to the design of digital products and services likely to be accessed by children, including the U.K.’s Age Appropriate Design Code and other guidance documents issued in France, Ireland, the Netherlands, Spain, Sweden and other jurisdictions. As a result, we have been required to limit some functionality on digital properties and may be limited relative to our abilities to leverage new media with respect to children’s programming or services. Such regulations also restrict the types of advertising we are able to sell on these digital properties and how we perform measurement for advertising purposes and impose strict liability on us for certain of our actions, as well as certain actions of our advertisers and other third parties, which could affect advertising demand and pricing.</w:t>
      </w:r>
    </w:p>
    <w:p>
      <w:pPr>
        <w:spacing w:after="0" w:line="18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Although we strive to comply with privacy and data protection laws, regulations, industry standards and contractual obligations, these requirements are continuously evolving and may be modified, interpreted, and applied in an inconsistent manner from one jurisdiction to another and may conflict with one another or other legal obligations with which we must comply, which raises both costs of compliance and likelihood that we will fail to satisfy all of our legal requirements. Any actual or perceived noncompliance could result in regulatory investigations and enforcement, investigation and remediation costs, significant monetary fines, breaches of contractual obligations, private litigation or harm to our reputation and market position.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Relating to Human Capital</w:t>
      </w:r>
    </w:p>
    <w:p>
      <w:pPr>
        <w:spacing w:after="0" w:line="232"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The inability to hire or retain key employees or secure creative talent could adversely affect our business, financial condition or results of operations.</w:t>
      </w:r>
    </w:p>
    <w:p>
      <w:pPr>
        <w:spacing w:after="0" w:line="1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Our business depends on the continued efforts, abilities and expertise of our executives and other employees and the creative talent with whom we work. We compete for executives in highly specialized and evolving industries and our ability to attract, retain and engage such individuals may be impacted by our reputation; workplace culture; restructurings, cost savings and other transformation initiatives, including workforce reductions; the training, development, compensation and benefits we provide; our commitment to effectively managing executive succession; and our efforts with respect to inclusion and sustainability matters. We also employ or contract with entertainment personalities with loyal audiences and produce films and other content with highly regarded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7" w:name="page28"/>
    <w:bookmarkEnd w:id="27"/>
    <w:p>
      <w:pPr>
        <w:jc w:val="both"/>
        <w:spacing w:after="0" w:line="264" w:lineRule="auto"/>
        <w:rPr>
          <w:sz w:val="20"/>
          <w:szCs w:val="20"/>
          <w:color w:val="auto"/>
        </w:rPr>
      </w:pPr>
      <w:r>
        <w:rPr>
          <w:rFonts w:ascii="Times New Roman" w:cs="Times New Roman" w:eastAsia="Times New Roman" w:hAnsi="Times New Roman"/>
          <w:sz w:val="19"/>
          <w:szCs w:val="19"/>
          <w:color w:val="auto"/>
        </w:rPr>
        <w:t>directors, producers, writers, actors and other creative talent in highly competitive markets. These individuals are important to attracting viewers and to the success of our content, and our ability to attract and retain them may also be impacted by our reputation, culture, inclusion and sustainability efforts. There can be no assurance these individuals will remain with us or will retain their current appeal, or that the costs associated with retaining them or new talent will be reasonable. If we fail to retain or attract new key employees or creative talent, our business, financial condition or results of operations could be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Labor disputes could disrupt our operations and adversely affect our business, financial condition or results of operations.</w:t>
      </w:r>
    </w:p>
    <w:p>
      <w:pPr>
        <w:spacing w:after="0" w:line="2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We and our business partners engage the services of writers, directors, actors, musicians and other creative talent, production crew members, trade employees, professional athletes and others who are subject to collective bargaining agreements. Any labor dispute may disrupt our operations and cause production delays, which could increase our costs and have an adverse effect on our businesses, financial condition or results of operations. In 2023, for example, the WGA and SAG-AFTRA commenced industry-wide strikes following the expiration of their collective bargaining agreements with the Alliance of Motion Picture and Television Producers, which negotiates with the guilds on behalf of certain content producers. These strikes resulted in months-long shutdowns in television and film production, and while new three-year agreements were ultimately reached with the WGA and SAG-AFTRA (expiring in May and June 2026, respectively), upcoming and ongoing negotiations with other unions could lead to further work stoppages. In addition, the U.S. has in recent years experienced a surge in labor activity, including unionization and strikes. There can be no assurance we will be able to renew our collective bargaining agreements on favorable terms as they expire or without work stoppages.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Relating to the Transactions</w:t>
      </w:r>
    </w:p>
    <w:p>
      <w:pPr>
        <w:spacing w:after="0" w:line="21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Combining the Company’s and Skydance’s businesses may be more difficult, time-consuming or costly than expected and the actual benefits of combining the Company’s and Skydance’s businesses may be less than expected, either or both of which may adversely affect New Paramount’s future results.</w:t>
      </w:r>
    </w:p>
    <w:p>
      <w:pPr>
        <w:spacing w:after="0" w:line="16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 success of the Transactions will depend, to a large extent, on New Paramount’s ability to integrate the Company’s and Skydance’s businesses in a manner that facilitates growth opportunities and achieves certain cost savings, operating synergies and revenue growth trends identified by each company without adversely affecting current revenues or investments in future growth. Such anticipated benefits may not be achieved if the Company’s and Skydance’s businesses are not successfully combined. Although the Company and Skydance expect that the Transactions will result in synergies and other benefits, even if New Paramount is able to integrate the two companies successfully, the anticipated benefits of the Transactions may not be realized fully or at all or may take longer to realize than expected.</w:t>
      </w:r>
    </w:p>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The combination of two independent businesses is complex, costly and time-consuming and may divert significant management attention and resources towards integration planning at the expense of the Company’s and Skydance’s ordinary course business practices and operations. This process also may disrupt the Company’s and Skydance’s businesses. Paramount and Skydance have operated as independent businesses and will continue to operate as such until the completion of the Transactions. Upon completion of the Transactions, the management of New Paramount may face significant challenges in integrating the technologies, organizations, systems, procedures, policies and operations, as well as addressing the different business cultures at the Company and Skydance, managing the increased scale and scope of the combined business, identifying and eliminating duplicative programs, and retaining key personnel. Failure to meet the challenges involved in combining the businesses and to realize the anticipated benefits of the Transactions could adversely affect the business, financial condition or results of operations of New Paramount. The combination of the Company’s and Skydance’s businesses may also result in material unanticipated problems, expenses, liabilities, competitive responses, and loss of customer and other business relationships or strategic partnerships. The difficulties of combining the operations of the Company and Skydance may include, among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8" w:name="page29"/>
    <w:bookmarkEnd w:id="28"/>
    <w:p>
      <w:pPr>
        <w:ind w:left="320" w:hanging="314"/>
        <w:spacing w:after="0"/>
        <w:tabs>
          <w:tab w:leader="none" w:pos="320" w:val="left"/>
        </w:tabs>
        <w:numPr>
          <w:ilvl w:val="0"/>
          <w:numId w:val="14"/>
        </w:numPr>
        <w:rPr>
          <w:rFonts w:ascii="Arial" w:cs="Arial" w:eastAsia="Arial" w:hAnsi="Arial"/>
          <w:sz w:val="19"/>
          <w:szCs w:val="19"/>
          <w:color w:val="auto"/>
        </w:rPr>
      </w:pPr>
      <w:r>
        <w:rPr>
          <w:rFonts w:ascii="Times New Roman" w:cs="Times New Roman" w:eastAsia="Times New Roman" w:hAnsi="Times New Roman"/>
          <w:sz w:val="19"/>
          <w:szCs w:val="19"/>
          <w:color w:val="auto"/>
        </w:rPr>
        <w:t>the diversion of management attention to integration matters and/or litigation matters brought against the companies;</w:t>
      </w:r>
    </w:p>
    <w:p>
      <w:pPr>
        <w:spacing w:after="0" w:line="231" w:lineRule="exact"/>
        <w:rPr>
          <w:rFonts w:ascii="Arial" w:cs="Arial" w:eastAsia="Arial" w:hAnsi="Arial"/>
          <w:sz w:val="19"/>
          <w:szCs w:val="19"/>
          <w:color w:val="auto"/>
        </w:rPr>
      </w:pPr>
    </w:p>
    <w:p>
      <w:pPr>
        <w:ind w:left="320" w:hanging="314"/>
        <w:spacing w:after="0" w:line="284" w:lineRule="auto"/>
        <w:tabs>
          <w:tab w:leader="none" w:pos="308" w:val="left"/>
        </w:tabs>
        <w:numPr>
          <w:ilvl w:val="0"/>
          <w:numId w:val="14"/>
        </w:numPr>
        <w:rPr>
          <w:rFonts w:ascii="Arial" w:cs="Arial" w:eastAsia="Arial" w:hAnsi="Arial"/>
          <w:sz w:val="19"/>
          <w:szCs w:val="19"/>
          <w:color w:val="auto"/>
        </w:rPr>
      </w:pPr>
      <w:r>
        <w:rPr>
          <w:rFonts w:ascii="Times New Roman" w:cs="Times New Roman" w:eastAsia="Times New Roman" w:hAnsi="Times New Roman"/>
          <w:sz w:val="19"/>
          <w:szCs w:val="19"/>
          <w:color w:val="auto"/>
        </w:rPr>
        <w:t>difficulties in integrating operations and systems, including intellectual property and communications systems, administrative and information technology infrastructure and financial reporting and internal control systems;</w:t>
      </w:r>
    </w:p>
    <w:p>
      <w:pPr>
        <w:spacing w:after="0" w:line="157" w:lineRule="exact"/>
        <w:rPr>
          <w:rFonts w:ascii="Arial" w:cs="Arial" w:eastAsia="Arial" w:hAnsi="Arial"/>
          <w:sz w:val="19"/>
          <w:szCs w:val="19"/>
          <w:color w:val="auto"/>
        </w:rPr>
      </w:pPr>
    </w:p>
    <w:p>
      <w:pPr>
        <w:ind w:left="320" w:hanging="314"/>
        <w:spacing w:after="0"/>
        <w:tabs>
          <w:tab w:leader="none" w:pos="320" w:val="left"/>
        </w:tabs>
        <w:numPr>
          <w:ilvl w:val="0"/>
          <w:numId w:val="14"/>
        </w:numPr>
        <w:rPr>
          <w:rFonts w:ascii="Arial" w:cs="Arial" w:eastAsia="Arial" w:hAnsi="Arial"/>
          <w:sz w:val="19"/>
          <w:szCs w:val="19"/>
          <w:color w:val="auto"/>
        </w:rPr>
      </w:pPr>
      <w:r>
        <w:rPr>
          <w:rFonts w:ascii="Times New Roman" w:cs="Times New Roman" w:eastAsia="Times New Roman" w:hAnsi="Times New Roman"/>
          <w:sz w:val="19"/>
          <w:szCs w:val="19"/>
          <w:color w:val="auto"/>
        </w:rPr>
        <w:t>challenges in conforming business cultures, standards, controls, procedures and accounting and other policies between the two companies;</w:t>
      </w:r>
    </w:p>
    <w:p>
      <w:pPr>
        <w:spacing w:after="0" w:line="217" w:lineRule="exact"/>
        <w:rPr>
          <w:rFonts w:ascii="Arial" w:cs="Arial" w:eastAsia="Arial" w:hAnsi="Arial"/>
          <w:sz w:val="19"/>
          <w:szCs w:val="19"/>
          <w:color w:val="auto"/>
        </w:rPr>
      </w:pPr>
    </w:p>
    <w:p>
      <w:pPr>
        <w:ind w:left="320" w:hanging="314"/>
        <w:spacing w:after="0"/>
        <w:tabs>
          <w:tab w:leader="none" w:pos="320" w:val="left"/>
        </w:tabs>
        <w:numPr>
          <w:ilvl w:val="0"/>
          <w:numId w:val="14"/>
        </w:numPr>
        <w:rPr>
          <w:rFonts w:ascii="Arial" w:cs="Arial" w:eastAsia="Arial" w:hAnsi="Arial"/>
          <w:sz w:val="19"/>
          <w:szCs w:val="19"/>
          <w:color w:val="auto"/>
        </w:rPr>
      </w:pPr>
      <w:r>
        <w:rPr>
          <w:rFonts w:ascii="Times New Roman" w:cs="Times New Roman" w:eastAsia="Times New Roman" w:hAnsi="Times New Roman"/>
          <w:sz w:val="19"/>
          <w:szCs w:val="19"/>
          <w:color w:val="auto"/>
        </w:rPr>
        <w:t>difficulties in integrating employees and compensation structures, and attracting and retaining key personnel, including talent;</w:t>
      </w:r>
    </w:p>
    <w:p>
      <w:pPr>
        <w:spacing w:after="0" w:line="231" w:lineRule="exact"/>
        <w:rPr>
          <w:rFonts w:ascii="Arial" w:cs="Arial" w:eastAsia="Arial" w:hAnsi="Arial"/>
          <w:sz w:val="19"/>
          <w:szCs w:val="19"/>
          <w:color w:val="auto"/>
        </w:rPr>
      </w:pPr>
    </w:p>
    <w:p>
      <w:pPr>
        <w:ind w:left="320" w:hanging="314"/>
        <w:spacing w:after="0" w:line="299" w:lineRule="auto"/>
        <w:tabs>
          <w:tab w:leader="none" w:pos="308" w:val="left"/>
        </w:tabs>
        <w:numPr>
          <w:ilvl w:val="0"/>
          <w:numId w:val="14"/>
        </w:numPr>
        <w:rPr>
          <w:rFonts w:ascii="Arial" w:cs="Arial" w:eastAsia="Arial" w:hAnsi="Arial"/>
          <w:sz w:val="19"/>
          <w:szCs w:val="19"/>
          <w:color w:val="auto"/>
        </w:rPr>
      </w:pPr>
      <w:r>
        <w:rPr>
          <w:rFonts w:ascii="Times New Roman" w:cs="Times New Roman" w:eastAsia="Times New Roman" w:hAnsi="Times New Roman"/>
          <w:sz w:val="19"/>
          <w:szCs w:val="19"/>
          <w:color w:val="auto"/>
        </w:rPr>
        <w:t>challenges in retaining existing, and obtaining new customers, viewers, suppliers, distributors, licensors, lessors, employees, business associates and others, including material content providers, writers, producers, directors, actors and other talent, and advertisers;</w:t>
      </w:r>
    </w:p>
    <w:p>
      <w:pPr>
        <w:spacing w:after="0" w:line="130" w:lineRule="exact"/>
        <w:rPr>
          <w:rFonts w:ascii="Arial" w:cs="Arial" w:eastAsia="Arial" w:hAnsi="Arial"/>
          <w:sz w:val="19"/>
          <w:szCs w:val="19"/>
          <w:color w:val="auto"/>
        </w:rPr>
      </w:pPr>
    </w:p>
    <w:p>
      <w:pPr>
        <w:ind w:left="320" w:hanging="314"/>
        <w:spacing w:after="0" w:line="299" w:lineRule="auto"/>
        <w:tabs>
          <w:tab w:leader="none" w:pos="308" w:val="left"/>
        </w:tabs>
        <w:numPr>
          <w:ilvl w:val="0"/>
          <w:numId w:val="14"/>
        </w:numPr>
        <w:rPr>
          <w:rFonts w:ascii="Arial" w:cs="Arial" w:eastAsia="Arial" w:hAnsi="Arial"/>
          <w:sz w:val="19"/>
          <w:szCs w:val="19"/>
          <w:color w:val="auto"/>
        </w:rPr>
      </w:pPr>
      <w:r>
        <w:rPr>
          <w:rFonts w:ascii="Times New Roman" w:cs="Times New Roman" w:eastAsia="Times New Roman" w:hAnsi="Times New Roman"/>
          <w:sz w:val="19"/>
          <w:szCs w:val="19"/>
          <w:color w:val="auto"/>
        </w:rPr>
        <w:t>difficulties in achieving anticipated cost savings, synergies, business opportunities, financing plans and growth prospects from the combination;</w:t>
      </w:r>
    </w:p>
    <w:p>
      <w:pPr>
        <w:spacing w:after="0" w:line="130" w:lineRule="exact"/>
        <w:rPr>
          <w:rFonts w:ascii="Arial" w:cs="Arial" w:eastAsia="Arial" w:hAnsi="Arial"/>
          <w:sz w:val="19"/>
          <w:szCs w:val="19"/>
          <w:color w:val="auto"/>
        </w:rPr>
      </w:pPr>
    </w:p>
    <w:p>
      <w:pPr>
        <w:ind w:left="320" w:hanging="314"/>
        <w:spacing w:after="0"/>
        <w:tabs>
          <w:tab w:leader="none" w:pos="320" w:val="left"/>
        </w:tabs>
        <w:numPr>
          <w:ilvl w:val="0"/>
          <w:numId w:val="14"/>
        </w:numPr>
        <w:rPr>
          <w:rFonts w:ascii="Arial" w:cs="Arial" w:eastAsia="Arial" w:hAnsi="Arial"/>
          <w:sz w:val="19"/>
          <w:szCs w:val="19"/>
          <w:color w:val="auto"/>
        </w:rPr>
      </w:pPr>
      <w:r>
        <w:rPr>
          <w:rFonts w:ascii="Times New Roman" w:cs="Times New Roman" w:eastAsia="Times New Roman" w:hAnsi="Times New Roman"/>
          <w:sz w:val="19"/>
          <w:szCs w:val="19"/>
          <w:color w:val="auto"/>
        </w:rPr>
        <w:t>difficulties in managing the expanded operations of a larger and more complex company;</w:t>
      </w:r>
    </w:p>
    <w:p>
      <w:pPr>
        <w:spacing w:after="0" w:line="231" w:lineRule="exact"/>
        <w:rPr>
          <w:rFonts w:ascii="Arial" w:cs="Arial" w:eastAsia="Arial" w:hAnsi="Arial"/>
          <w:sz w:val="19"/>
          <w:szCs w:val="19"/>
          <w:color w:val="auto"/>
        </w:rPr>
      </w:pPr>
    </w:p>
    <w:p>
      <w:pPr>
        <w:ind w:left="320" w:hanging="314"/>
        <w:spacing w:after="0"/>
        <w:tabs>
          <w:tab w:leader="none" w:pos="320" w:val="left"/>
        </w:tabs>
        <w:numPr>
          <w:ilvl w:val="0"/>
          <w:numId w:val="14"/>
        </w:numPr>
        <w:rPr>
          <w:rFonts w:ascii="Arial" w:cs="Arial" w:eastAsia="Arial" w:hAnsi="Arial"/>
          <w:sz w:val="19"/>
          <w:szCs w:val="19"/>
          <w:color w:val="auto"/>
        </w:rPr>
      </w:pPr>
      <w:r>
        <w:rPr>
          <w:rFonts w:ascii="Times New Roman" w:cs="Times New Roman" w:eastAsia="Times New Roman" w:hAnsi="Times New Roman"/>
          <w:sz w:val="19"/>
          <w:szCs w:val="19"/>
          <w:color w:val="auto"/>
        </w:rPr>
        <w:t>challenges in continuing to develop valuable and widely-accepted content and technologies;</w:t>
      </w:r>
    </w:p>
    <w:p>
      <w:pPr>
        <w:spacing w:after="0" w:line="231" w:lineRule="exact"/>
        <w:rPr>
          <w:rFonts w:ascii="Arial" w:cs="Arial" w:eastAsia="Arial" w:hAnsi="Arial"/>
          <w:sz w:val="19"/>
          <w:szCs w:val="19"/>
          <w:color w:val="auto"/>
        </w:rPr>
      </w:pPr>
    </w:p>
    <w:p>
      <w:pPr>
        <w:ind w:left="320" w:hanging="314"/>
        <w:spacing w:after="0"/>
        <w:tabs>
          <w:tab w:leader="none" w:pos="320" w:val="left"/>
        </w:tabs>
        <w:numPr>
          <w:ilvl w:val="0"/>
          <w:numId w:val="14"/>
        </w:numPr>
        <w:rPr>
          <w:rFonts w:ascii="Arial" w:cs="Arial" w:eastAsia="Arial" w:hAnsi="Arial"/>
          <w:sz w:val="19"/>
          <w:szCs w:val="19"/>
          <w:color w:val="auto"/>
        </w:rPr>
      </w:pPr>
      <w:r>
        <w:rPr>
          <w:rFonts w:ascii="Times New Roman" w:cs="Times New Roman" w:eastAsia="Times New Roman" w:hAnsi="Times New Roman"/>
          <w:sz w:val="19"/>
          <w:szCs w:val="19"/>
          <w:color w:val="auto"/>
        </w:rPr>
        <w:t>contingent liabilities that are larger than expected; and</w:t>
      </w:r>
    </w:p>
    <w:p>
      <w:pPr>
        <w:spacing w:after="0" w:line="217" w:lineRule="exact"/>
        <w:rPr>
          <w:rFonts w:ascii="Arial" w:cs="Arial" w:eastAsia="Arial" w:hAnsi="Arial"/>
          <w:sz w:val="19"/>
          <w:szCs w:val="19"/>
          <w:color w:val="auto"/>
        </w:rPr>
      </w:pPr>
    </w:p>
    <w:p>
      <w:pPr>
        <w:ind w:left="320" w:hanging="314"/>
        <w:spacing w:after="0"/>
        <w:tabs>
          <w:tab w:leader="none" w:pos="320" w:val="left"/>
        </w:tabs>
        <w:numPr>
          <w:ilvl w:val="0"/>
          <w:numId w:val="14"/>
        </w:numPr>
        <w:rPr>
          <w:rFonts w:ascii="Arial" w:cs="Arial" w:eastAsia="Arial" w:hAnsi="Arial"/>
          <w:sz w:val="19"/>
          <w:szCs w:val="19"/>
          <w:color w:val="auto"/>
        </w:rPr>
      </w:pPr>
      <w:r>
        <w:rPr>
          <w:rFonts w:ascii="Times New Roman" w:cs="Times New Roman" w:eastAsia="Times New Roman" w:hAnsi="Times New Roman"/>
          <w:sz w:val="19"/>
          <w:szCs w:val="19"/>
          <w:color w:val="auto"/>
        </w:rPr>
        <w:t>potential unknown liabilities, adverse consequences and unforeseen increased expenses associated with the Transactions.</w:t>
      </w:r>
    </w:p>
    <w:p>
      <w:pPr>
        <w:spacing w:after="0" w:line="2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Many of these factors are outside of the control of the Company and Skydance and/or will be outside the control of New Paramount, and any one of them could result in lower revenues, higher costs and diversion of management time and energy, which could materially and adversely impact the business, financial condition or results of operations of New Paramount. In addition, even if the operations of the businesses of the Company and Skydance are integrated successfully, the full benefits of the Transactions may not be realized, including, among others, the anticipated synergies, cost savings or growth opportunities. These benefits may not be achieved within the anticipated time frame or at all. Further, additional unanticipated costs may be incurred in the integration of the businesses of the Company and Skydance. All of these factors could cause dilution to the earnings per share of New Paramount, decrease or delay the projected benefits of the Transactions, and negatively impact the price of the New Paramount Class B Common Stock following the Transactions. As a result, no assurances can be provided that the combination of the Company and Skydance will result in the realization of the full benefits expected from the Transactions within the anticipated time frames or at all.</w:t>
      </w:r>
    </w:p>
    <w:p>
      <w:pPr>
        <w:spacing w:after="0" w:line="200" w:lineRule="exact"/>
        <w:rPr>
          <w:sz w:val="20"/>
          <w:szCs w:val="20"/>
          <w:color w:val="auto"/>
        </w:rPr>
      </w:pPr>
    </w:p>
    <w:p>
      <w:pPr>
        <w:spacing w:after="0" w:line="21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The Transactions may not be accretive and may cause dilution to the earnings per share of New Paramount, which may negatively affect the market price of the New Paramount Class B Common Stock.</w:t>
      </w:r>
    </w:p>
    <w:p>
      <w:pPr>
        <w:spacing w:after="0" w:line="15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The issuance of shares of New Paramount Class B Common Stock as part of the Transactions could have the effect of depressing the market price of the New Paramount Class B Common Stock. In addition, we (or New Paramount after the Transactions) could encounter other transaction-related costs or effects, such as the failure to realize all of the benefits anticipated in the Transactions which could cause dilution to New Paramount’s earnings per share or decrease or delay the expected accretive effect of the Transactions and cause a decrease in the market price of the New Paramount Class B Common Stock. However, factors decreasing the market price of our Class A Common Stock and our</w:t>
      </w:r>
    </w:p>
    <w:p>
      <w:pPr>
        <w:spacing w:after="0" w:line="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 xml:space="preserve">Class B Common Stock may not cause the same or similar decreases in the market price of New Paramount Class B Common Stock. See “— </w:t>
      </w:r>
      <w:r>
        <w:rPr>
          <w:rFonts w:ascii="Times New Roman" w:cs="Times New Roman" w:eastAsia="Times New Roman" w:hAnsi="Times New Roman"/>
          <w:sz w:val="19"/>
          <w:szCs w:val="19"/>
          <w:i w:val="1"/>
          <w:iCs w:val="1"/>
          <w:color w:val="auto"/>
        </w:rPr>
        <w:t>The market price for shares of New Paramount Class B Common Stock following the completion of the Transactions may be affected by factors different from,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9" w:name="page30"/>
    <w:bookmarkEnd w:id="29"/>
    <w:p>
      <w:pPr>
        <w:jc w:val="both"/>
        <w:spacing w:after="0" w:line="302" w:lineRule="auto"/>
        <w:rPr>
          <w:sz w:val="20"/>
          <w:szCs w:val="20"/>
          <w:color w:val="auto"/>
        </w:rPr>
      </w:pPr>
      <w:r>
        <w:rPr>
          <w:rFonts w:ascii="Times New Roman" w:cs="Times New Roman" w:eastAsia="Times New Roman" w:hAnsi="Times New Roman"/>
          <w:sz w:val="19"/>
          <w:szCs w:val="19"/>
          <w:i w:val="1"/>
          <w:iCs w:val="1"/>
          <w:color w:val="auto"/>
        </w:rPr>
        <w:t>addition to, those that have historically affected or currently affect the market price for shares of our Class A Common Stock and our Class B Common Stock</w:t>
      </w:r>
      <w:r>
        <w:rPr>
          <w:rFonts w:ascii="Times New Roman" w:cs="Times New Roman" w:eastAsia="Times New Roman" w:hAnsi="Times New Roman"/>
          <w:sz w:val="19"/>
          <w:szCs w:val="19"/>
          <w:color w:val="auto"/>
        </w:rPr>
        <w:t>.”</w:t>
      </w:r>
    </w:p>
    <w:p>
      <w:pPr>
        <w:spacing w:after="0" w:line="12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The market price for shares of New Paramount Class B Common Stock following the completion of the Transactions may be affected by factors different from, or in addition to, those that have historically affected or currently affect the market price for shares of our Class A Common Stock and our Class B Common Stock.</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Upon completion of the Transactions, certain holders of our Class A Common Stock and holders of our Class B Common Stock will become holders of New Paramount Class B Common Stock. As a result of the Transactions, the business, financial condition and results of operations of New Paramount will be affected by factors that are different from those currently affecting our business, financial condition or results of operations. Accordingly, the market price and performance of New Paramount Class B Common Stock is likely to be different from the market price and performance of our Class A Common Stock and our Class B Common Stock in the absence of the Transactions. Factors that caused a fluctuation in the market price of our Class B Common Stock may not cause the same or similar fluctuations in the market price for shares of New Paramount Class B Common Stock following completion of the Transactions. In addition, general fluctuations in stock markets could have a material adverse effect on the market for, or liquidity of, New Paramount Class B Common Stock, regardless of New Paramount’s actual operating performance.</w:t>
      </w:r>
    </w:p>
    <w:p>
      <w:pPr>
        <w:spacing w:after="0" w:line="16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b w:val="1"/>
          <w:bCs w:val="1"/>
          <w:i w:val="1"/>
          <w:iCs w:val="1"/>
          <w:color w:val="auto"/>
        </w:rPr>
        <w:t>The stock consideration exchange ratios are fixed and will not be adjusted for stock price changes. Because the market prices of our Class A Common Stock and Class B Common Stock have fluctuated and will continue to fluctuate, our stockholders cannot be sure of the value of the stock consideration they will receive, and such value may be lower than the value of our Common Stock on an earlier date.</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Upon completion of the merger of Pluto Merger Sub II, Inc., a Delaware corporation and a wholly-owned, direct subsidiary of New Paramount (“Paramount Merger Sub II”), with and into New Paramount, with New Paramount surviving the merger, subject to the terms and conditions of the Transaction Agreement (the “New Paramount Merger”), (a) each issued and outstanding share of New Paramount Class A Common Stock (other than (i) any New Paramount Class A Common Stock or New Paramount Class B Common Stock (collectively, the “New Paramount Shares”) that is held directly or indirectly by Skydance or any wholly-owned subsidiary of Skydance (collectively, the “New Paramount Merger Cancelled Shares”) and (ii) shares of New Paramount Class A Common Stock held by NAI, its wholly-owned subsidiaries and any permitted subsidiary transferee thereof (collectively, the “Specified NAI Stockholders”)) will be converted automatically into the right to receive, at the election of the holder of such share, the Class A Cash Consideration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an amount of cash, without interest, equal to $23.00) or the Class A Stock Consideration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1.5333 shares of New Paramount Class B Common Stock), and (b) each issued and outstanding share of New Paramount Class B Common Stock (other than (i) any New Paramount Merger Cancelled Shares and (ii) shares of New Paramount Class B Common Stock held by a Specified Stockholder (as defined in the Transaction Agreement) or a PIPE Equity Investor) will be converted automatically into the right to receive, at the election of the holder of such share and subject to the proration mechanism described herein, the Class B Cash Consideration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an amount of cash, without interest, equal to $15.00) or the Class B Stock Consideration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one share of New Paramount Class B Common Stock).</w:t>
      </w:r>
    </w:p>
    <w:p>
      <w:pPr>
        <w:spacing w:after="0" w:line="200" w:lineRule="exact"/>
        <w:rPr>
          <w:sz w:val="20"/>
          <w:szCs w:val="20"/>
          <w:color w:val="auto"/>
        </w:rPr>
      </w:pP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 exchange ratios set forth above were negotiated based on prices prevailing at the time of entering into the Transaction Agreement; however, the market price of our Class A Common Stock and Class B Common Stock at the time of completion of the Transactions may vary significantly from the market price of our Class A Common Stock and Class B Common Stock on the date the Transaction Agreement was executed, the date of this Annual Report on Form 10-K and the date on which our stockholders make their election. Because the Class A Stock Consideration and the Class B Stock Consideration are payable in a fixed number of shares of New Paramount Class B Common Stock, the value of the Class A Stock Consideration and Class B Stock Consideration that our stockholders will receive upon completion of the Transactions may be higher or lower than the value of our Class A Common Stock and Class B Common Stock, respectively, on such earlier dates and the value of any such stock consideration received may be lower than the corresponding cash election amount. In addition, as discussed below, the cash consideration received by holders of our Class B Common Stock will be subject to proration.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30" w:name="page31"/>
    <w:bookmarkEnd w:id="30"/>
    <w:p>
      <w:pPr>
        <w:jc w:val="both"/>
        <w:spacing w:after="0" w:line="300" w:lineRule="auto"/>
        <w:rPr>
          <w:sz w:val="20"/>
          <w:szCs w:val="20"/>
          <w:color w:val="auto"/>
        </w:rPr>
      </w:pPr>
      <w:r>
        <w:rPr>
          <w:rFonts w:ascii="Times New Roman" w:cs="Times New Roman" w:eastAsia="Times New Roman" w:hAnsi="Times New Roman"/>
          <w:sz w:val="19"/>
          <w:szCs w:val="19"/>
          <w:color w:val="auto"/>
        </w:rPr>
        <w:t>Accordingly, our stockholders will not know or be able to calculate at the time they make their elections the market value of the Class A Stock Consideration or the Class B Stock Consideration they will receive upon completion of the Transactions.</w:t>
      </w:r>
    </w:p>
    <w:p>
      <w:pPr>
        <w:spacing w:after="0" w:line="1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In addition, because no trading market currently exists for the shares of New Paramount Class B Common Stock to be issued in connection with the Transactions, the market value of New Paramount Class B Common Stock is unknown. The market value of the New Paramount Class B Common Stock will in part depend on the market value of our Class B Common Stock immediately before the completion of the Transactions. While there is a trading market for our Common Stock, the market price of our Common Stock has fluctuated since the date of the announcement of the Transaction Agreement and will continue to fluctuate from the date of this Annual Report on Form 10-K until the date that the Transactions are completed, which could occur a considerable amount of time after the date of this Annual Report on Form 10-K and the date on which our stockholders make their election. The market value of our Class B Common Stock at the time of the consummation of the Transactions may vary significantly from its price on the date of the Transaction Agreement or the date of this Annual Report on Form 10-K and the date on which our stockholders make their election and may not be reflective of the market value of the New Paramount Class B Common Stock. Because the consideration described herein will not be adjusted to reflect any changes in the values of our Common Stock, the value of the merger consideration may be higher or lower than the value of our Common Stock on earlier dates. Therefore, until the consummation of the Transactions, the holders of our Common Stock will not know or be able to determine the value, on a fully diluted basis, of the New Paramount Class B Common Stock that they will receive pursuant to the Transaction Agreement. Our stockholders are urged to obtain then-current market quotations for our Common Stock when they make their elections.</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Stock price changes may result from a variety of factors, including general business, market, industry and economic conditions, changes in our and Skydance’s respective businesses, results of operations and prospects, market assessments of the likelihood that the Transactions will be completed, the timing of the Transactions, regulatory considerations and other risk factors set forth or incorporated by reference in this Annual Report on Form 10-K. Many of these factors are beyond our and Skydance’s control.</w:t>
      </w:r>
    </w:p>
    <w:p>
      <w:pPr>
        <w:spacing w:after="0" w:line="1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9"/>
          <w:szCs w:val="19"/>
          <w:b w:val="1"/>
          <w:bCs w:val="1"/>
          <w:i w:val="1"/>
          <w:iCs w:val="1"/>
          <w:color w:val="auto"/>
        </w:rPr>
        <w:t>Holders of our Class B Common Stock may not receive all merger consideration in the form they elect, and the form of merger consideration that they receive may have a lower value or different tax consequences than the form of merger consideration that they elect to receive.</w:t>
      </w:r>
    </w:p>
    <w:p>
      <w:pPr>
        <w:spacing w:after="0" w:line="3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Under the Transaction Agreement, the maximum amount of cash consideration that holders of our Class B Common Stock will be entitled to receive pursuant to the New Paramount Merger, is approximately $4.3 billion in the aggregate, and a maximum number of shares of our Class B Common Stock equal to 285,889,212 shares of New Paramount Class B Common Stock (the “Maximum Class B Cash Share Number”) will be entitled to receive the Class B Cash Consideration. The cash consideration payable to holders of our Class B Common Stock in the New Paramount Merger will be subject to proration in the event that the number of cash elections made by such stockholders in the aggregate exceeds this limit. Accordingly, some of the merger consideration a holder of our Class B Common Stock receives may differ from the type of merger consideration selected by such holder and such difference may be significant. This may result in, among other things, tax consequences that differ from those that would have resulted if such holder of our Class B Common Stock had received solely the form of merger consideration elected.</w:t>
      </w:r>
    </w:p>
    <w:p>
      <w:pPr>
        <w:spacing w:after="0" w:line="200" w:lineRule="exact"/>
        <w:rPr>
          <w:sz w:val="20"/>
          <w:szCs w:val="20"/>
          <w:color w:val="auto"/>
        </w:rPr>
      </w:pPr>
    </w:p>
    <w:p>
      <w:pPr>
        <w:spacing w:after="0" w:line="2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If one of our stockholders makes a stock election in respect of their Class A Common Stock or Class B Common Stock and the market value of our Class B Common Stock falls between the time of the election and the time the merger consideration is actually received, the value of such stock consideration received may be less than the value of the cash consideration that such stockholder would have received under a cash election. Conversely, if one of our stockholders makes a cash election and the market value of our Class B Common Stock rises between the time of the election and the time the cash consideration is actually received, the value of such cash consideration received may be less than the value of the stock consideration that such stockholder would have received under a stock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9"/>
          <w:szCs w:val="19"/>
          <w:b w:val="1"/>
          <w:bCs w:val="1"/>
          <w:i w:val="1"/>
          <w:iCs w:val="1"/>
          <w:color w:val="auto"/>
        </w:rPr>
        <w:t>Our existing stockholders will have a reduced ownership and economic interest in New Paramount after the Transactions.</w:t>
      </w:r>
    </w:p>
    <w:p>
      <w:pPr>
        <w:spacing w:after="0" w:line="2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After the completion of the Transactions, our stockholders will own a smaller percentage of New Paramount than they currently own of Paramount. Following closing of the New Paramount Merger, the transfer of all of the issued and outstanding equity interests in certain blocker entities held by such blocker entities to New Paramount in exchange for an allocation of 316,666,667 shares of New Paramount Class B Common Stock and the Skydance Merger (as defined below) (the “Closing”), it is anticipated that the PIPE Equity Investors will receive approximately 17% to 38% of the outstanding shares of New Paramount Class B Common Stock as a result of the PIPE Transaction, the Specified NAI Stockholders will hold 100% of the outstanding shares of New Paramount Class A Common Stock and approximately 3% of the outstanding shares of New Paramount Class B Common Stock, the members of Skydance will receive approximately 27% to 30% of the outstanding shares of New Paramount Class B Common Stock as a result of the Merger of Sparrow Merger Sub, LLC, a California limited liability company and wholly-owned, direct subsidiary of New Paramount (the “Skydance Merger”), with and into Skydance, with Skydance surviving the merger and becoming a wholly-owned subsidiary of New Paramount, and other stockholders will hold approximately 29% to 53% of the outstanding shares of New Paramount Class B Common Stock, in each case, depending on the cash and stock elections described elsewhere herein. Consequently, our stockholders will have a reduced ownership and economic interest in New Paramount as a combined company compared to their ownership of Paramount prior to the combination. Similarly, a change in the concentration of the ownership of New Paramount Class B Common Stock as a result of the Transactions could result in a reduction to the public float and trading volume in the New Paramount Class B Common Stock, which could adversely affect the trading price of shares of New Paramount Class B Common Stock.</w:t>
      </w:r>
    </w:p>
    <w:p>
      <w:pPr>
        <w:spacing w:after="0" w:line="1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In addition, following the Closing, the amended and restated certificate of incorporation of New Paramount will provide holders of shares of New Paramount Class A Common Stock with the option to convert each such share into 1.5 shares of New Paramount Class B Common Stock. Any exercise of this conversion right following the Closing will result in further dilution to the holders of New Paramount Class B Common Stock at the time of conversion.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The PIPE Transaction is subject to certain cutbacks in the event that stock elections exceed specified thresholds.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Following the consummation of the Transactions, a minimum of $1.5 billion of cash proceeds from the PIPE Transaction (prior to giving effect to the subscription discount) will remain at New Paramount after the payment of cash consideration to holders of our Common Stock that make cash elections (the “primary gross proceeds”) as described herein; however, the primary gross proceeds may be greater than $1.5 billion to the extent holders of our Class A Common Stock elect stock consideration or holders of our Class B Common Stock make cash elections that do not, in the aggregate, exceed the Maximum Class B Cash Share Number. The Subscription Agreements (as defined in the Transaction Agreement) provide that the maximum additional primary gross proceeds in such situation will not be greater than $1.5 billion (or $3.0 billion in the aggregate), in each case prior to giving effect to the subscription discount, and thereafter the obligations of the subscribers to subscribe for New Paramount Class B Common Stock in the PIPE Transaction will be reduced on a pro rata basis. As a result, the aggregate amount of gross proceeds from the PIPE Transaction may decrease as a result of such cutback mechanisms.</w:t>
      </w:r>
    </w:p>
    <w:p>
      <w:pPr>
        <w:spacing w:after="0" w:line="17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We and Skydance must obtain certain regulatory approvals in order to complete the Transactions; if such approvals are not obtained or are obtained with conditions, the Transactions may be prevented or delayed or the anticipated benefits of the Transactions could be reduced.</w:t>
      </w:r>
    </w:p>
    <w:p>
      <w:pPr>
        <w:spacing w:after="0" w:line="15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The Closing is conditioned upon, among other things, the expiration or termination of the waiting period (and any extensions thereof) applicable to the Transactions under the Hart-Scott-Rodino Antitrust Improvements Act of 1976, as amended (the “HSR Act”). Lawrence Ellison, the Sumner M. Redstone National Amusements Part B General Trust (also known as NA Part B General Trust) (the “General Trust”), and Skydance filed HSR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bookmarkStart w:id="32" w:name="page33"/>
    <w:bookmarkEnd w:id="32"/>
    <w:p>
      <w:pPr>
        <w:spacing w:after="0" w:line="300" w:lineRule="auto"/>
        <w:rPr>
          <w:sz w:val="20"/>
          <w:szCs w:val="20"/>
          <w:color w:val="auto"/>
        </w:rPr>
      </w:pPr>
      <w:r>
        <w:rPr>
          <w:rFonts w:ascii="Times New Roman" w:cs="Times New Roman" w:eastAsia="Times New Roman" w:hAnsi="Times New Roman"/>
          <w:sz w:val="19"/>
          <w:szCs w:val="19"/>
          <w:color w:val="auto"/>
        </w:rPr>
        <w:t>Notification and Report Forms on July 19, 2024 with respect to the Transactions that will bring entities controlled by the Ellison family into collective control of NAI and us while merging Skydance into us. The waiting period under the HSR Act expired on August 19, 2024.</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Completion of the Transactions and of the NAI Transaction is also conditioned upon:</w:t>
      </w:r>
    </w:p>
    <w:p>
      <w:pPr>
        <w:spacing w:after="0" w:line="232" w:lineRule="exact"/>
        <w:rPr>
          <w:sz w:val="20"/>
          <w:szCs w:val="20"/>
          <w:color w:val="auto"/>
        </w:rPr>
      </w:pPr>
    </w:p>
    <w:p>
      <w:pPr>
        <w:jc w:val="both"/>
        <w:ind w:left="320" w:hanging="314"/>
        <w:spacing w:after="0" w:line="273" w:lineRule="auto"/>
        <w:tabs>
          <w:tab w:leader="none" w:pos="32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Clearance or approval by antitrust authorities in Australia, Austria, Brazil, Canada, the E.U., Germany, Saudi Arabia, South Africa, South Korea and Turkey. As of the date of this Annual Report on Form 10-K, all such clearances, approvals and/or expiration of applicable waiting periods by antitrust authorities have been received;</w:t>
      </w:r>
    </w:p>
    <w:p>
      <w:pPr>
        <w:spacing w:after="0" w:line="168" w:lineRule="exact"/>
        <w:rPr>
          <w:rFonts w:ascii="Times New Roman" w:cs="Times New Roman" w:eastAsia="Times New Roman" w:hAnsi="Times New Roman"/>
          <w:sz w:val="19"/>
          <w:szCs w:val="19"/>
          <w:color w:val="auto"/>
        </w:rPr>
      </w:pPr>
    </w:p>
    <w:p>
      <w:pPr>
        <w:jc w:val="both"/>
        <w:ind w:left="320" w:hanging="314"/>
        <w:spacing w:after="0" w:line="273" w:lineRule="auto"/>
        <w:tabs>
          <w:tab w:leader="none" w:pos="32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Clearance or approval by foreign investment authorities in Australia, Canada, Czech Republic, Germany, Italy, Romania, Spain and the U.K. As of the date of this Annual Report on Form 10-K, clearances by foreign investment authorities in Australia, Canada, Czech Republic, Germany, Italy, Romania and the U.K. have been received;</w:t>
      </w:r>
    </w:p>
    <w:p>
      <w:pPr>
        <w:spacing w:after="0" w:line="155" w:lineRule="exact"/>
        <w:rPr>
          <w:rFonts w:ascii="Times New Roman" w:cs="Times New Roman" w:eastAsia="Times New Roman" w:hAnsi="Times New Roman"/>
          <w:sz w:val="19"/>
          <w:szCs w:val="19"/>
          <w:color w:val="auto"/>
        </w:rPr>
      </w:pPr>
    </w:p>
    <w:p>
      <w:pPr>
        <w:jc w:val="both"/>
        <w:ind w:left="320" w:hanging="314"/>
        <w:spacing w:after="0" w:line="280" w:lineRule="auto"/>
        <w:tabs>
          <w:tab w:leader="none" w:pos="32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closure of a preliminary review or adoption of a no objection decision by the European Commission under the Foreign Subsidies Regulation (Regulation EU 2022/2560). As of the date of this Annual Report on Form 10-K, confirmation of the closure of such preliminary review has been received; and</w:t>
      </w:r>
    </w:p>
    <w:p>
      <w:pPr>
        <w:spacing w:after="0" w:line="149" w:lineRule="exact"/>
        <w:rPr>
          <w:rFonts w:ascii="Times New Roman" w:cs="Times New Roman" w:eastAsia="Times New Roman" w:hAnsi="Times New Roman"/>
          <w:sz w:val="19"/>
          <w:szCs w:val="19"/>
          <w:color w:val="auto"/>
        </w:rPr>
      </w:pPr>
    </w:p>
    <w:p>
      <w:pPr>
        <w:jc w:val="both"/>
        <w:ind w:left="320" w:hanging="314"/>
        <w:spacing w:after="0" w:line="258" w:lineRule="auto"/>
        <w:tabs>
          <w:tab w:leader="none" w:pos="32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Clearance or approval by the FCC and regulatory authorities with jurisdiction over media and communications operations in Chile, and required filings with regulatory and governmental authorities with jurisdiction over media and communications operations in the U.K. Applications seeking approval by the FCC under the Communications Act for the transfer of control of Paramount’s television broadcast licenses that will occur as a result of the Transactions and the NAI Transaction have been submitted and are pending before the agency. Applications seeking approval under the Communications Act for transfer of control of the other FCC licenses and authorizations that will occur as a result of the Transactions and the NAI Transaction were submitted to the FCC shortly thereafter. In accordance with the FCC’s rules, such applications require disclosure of any individual entity that will hold a direct or indirect voting interest in New Paramount of 5% or greater following the Closing. Additionally, the Communications Act generally restricts foreign individuals or entities from collectively owning more than 25% of Paramount’s voting power or equity without approval from the FCC. As of the date of this Annual Report on Form 10-K, and as assessed consistent with methodologies prescribed in FCC rules, no foreign individual or entity holds a direct or indirect voting interest in Paramount of 5% or greater or is expected to hold a direct or indirect voting interest in New Paramount of 5% or greater upon the Closing. In addition, foreign ownership in New Paramount is expected to remain below 25% in the aggregate upon the Closing. Accordingly, the applications submitted to the FCC do not seek, and were not required to seek, approval from the FCC with respect to foreign ownership. The FCC’s review of the Transactions could impact the Closing of the Transactions, as further described in the immediately following paragraph. As of the date of this Annual Report on Form 10-K, clearance by regulatory authorities with jurisdiction over media and communications operations in Chile have been received, and the information required to be filed with the relevant U.K. authorities as of such date has been submitted.</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At any time before or after the Transactions are completed, any of the United States Department of Justice, the Federal Trade Commission, U.S. state attorneys general, the FCC, the other regulatory authorities noted above or private parties could take action under applicable antitrust laws, foreign investment laws or media and communications laws in opposition to the Transactions by, among other things, (i) seeking to enjoin completion of the Transactions; (ii) seeking to condition completion of the Transactions upon the divestiture of assets of Paramount, Skydance or their respective subsidiaries; or (iii) seeking to impose restrictions on New Paramount’s post-transaction operations.</w:t>
      </w:r>
    </w:p>
    <w:p>
      <w:pPr>
        <w:spacing w:after="0" w:line="16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Any such requirements or restrictions sought by regulatory authorities could prevent or delay completion of the Transactions or negatively affect the results of operations and financial condition of New Paramount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3" w:name="page34"/>
    <w:bookmarkEnd w:id="33"/>
    <w:p>
      <w:pPr>
        <w:jc w:val="both"/>
        <w:spacing w:after="0" w:line="300" w:lineRule="auto"/>
        <w:rPr>
          <w:sz w:val="20"/>
          <w:szCs w:val="20"/>
          <w:color w:val="auto"/>
        </w:rPr>
      </w:pPr>
      <w:r>
        <w:rPr>
          <w:rFonts w:ascii="Times New Roman" w:cs="Times New Roman" w:eastAsia="Times New Roman" w:hAnsi="Times New Roman"/>
          <w:sz w:val="19"/>
          <w:szCs w:val="19"/>
          <w:color w:val="auto"/>
        </w:rPr>
        <w:t>completion of the Transactions or reduce the anticipated benefits of the Transactions, any of which could have an adverse effect on New Paramount’s business and cash flows, financial condition and results of operations.</w:t>
      </w:r>
    </w:p>
    <w:p>
      <w:pPr>
        <w:spacing w:after="0" w:line="13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 xml:space="preserve">No assurance can be given that the required regulatory approvals will be obtained or that the required conditions to the Closing will be satisfied or waived, and, even if all such approvals are obtained and all such conditions are satisfied or waived, no assurance can be given as to the terms, conditions and timing of such approvals. See “— Risks Relating to the Transactions — </w:t>
      </w:r>
      <w:r>
        <w:rPr>
          <w:rFonts w:ascii="Times New Roman" w:cs="Times New Roman" w:eastAsia="Times New Roman" w:hAnsi="Times New Roman"/>
          <w:sz w:val="19"/>
          <w:szCs w:val="19"/>
          <w:i w:val="1"/>
          <w:iCs w:val="1"/>
          <w:color w:val="auto"/>
        </w:rPr>
        <w:t>Failure to complete the Transactions could negatively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impact our businesses or financial results and the stock price of our Common Stock.</w:t>
      </w:r>
      <w:r>
        <w:rPr>
          <w:rFonts w:ascii="Times New Roman" w:cs="Times New Roman" w:eastAsia="Times New Roman" w:hAnsi="Times New Roman"/>
          <w:sz w:val="19"/>
          <w:szCs w:val="19"/>
          <w:color w:val="auto"/>
        </w:rPr>
        <w:t>”</w:t>
      </w:r>
    </w:p>
    <w:p>
      <w:pPr>
        <w:spacing w:after="0" w:line="16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The Transactions are subject to a number of conditions to the Closing and, if these conditions are not satisfied, the Transaction Agreement may be terminated in accordance with its terms and the Transactions may not be completed. In addition, the parties have the right to terminate the Transaction Agreement under certain circumstances, in which case the Transactions would not be completed.</w:t>
      </w:r>
    </w:p>
    <w:p>
      <w:pPr>
        <w:spacing w:after="0" w:line="1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The Transactions are subject to a number of conditions and, if such conditions are not satisfied or waived (to the extent permitted by law), the Transactions will not be completed. These conditions include, among others: (i) the effectiveness of New Paramount’s registration statement on Form S-4 (which was declared effective by the SEC on February 13, 2025) and the absence of any stop order or other proceeding that suspends or otherwise threatens such effectiveness; (ii) the expiration of the waiting period under the HSR Act (which condition was satisfied on August 19, 2024); (iii) the clearance and obtainment of approvals under certain specified antitrust laws, foreign direct investment laws and communications laws (which are still in the process of being obtained as of the date of this Annual Report on Form 10-K); (iv) the absence of any order or legal requirement that enjoins, restrains or otherwise prohibits the consummation of the Transactions or that would impose a material adverse effect on New Paramount and its subsidiaries, taken as a whole after giving effect to the mergers pursuant to the Transaction Agreement (the “Mergers”); (v) the authorization for listing on Nasdaq of New Paramount Class B Common Stock; (vi) the lapse of at least 20 calendar days from the date of completion of the mailing of New Paramount’s information statement/prospectus to our stockholders; (vii) the consummation of each of the NAI Transaction and the PIPE Transaction immediately prior to or substantially concurrent with the Closing; (viii) the delivery by each of Skydance and Paramount to the other party of duly executed counterparts to each of the ancillary agreements required to be delivered at the Closing to which it is a party; (ix) customary conditions regarding the accuracy of the parties’ representations and warranties and material compliance by the parties with their respective obligations under the Transaction Agreement and (x) the receipt by Paramount of an opinion from its tax counsel that the Transactions, taken together, should qualify as an exchange described in Section 351 of the Internal Revenue Code of 1986 (the “Code”). The consummation of the Transactions is not subject to a financing condition.</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These conditions to the Closing may not be fulfilled and, accordingly, the Transactions may not be completed on a timely basis, or at all. Additionally, the regulatory approvals may be significantly delayed by military conflict, including conflicts in Eastern Europe and the Middle East, such as Russia’s invasion of Ukraine, terrorism or other geopolitical events. In addition, if the Transactions are not completed by April 7, 2025 (subject to two automatic extensions of 90 days each in certain circumstances), we or Skydance may elect to terminate the Transaction Agreement. Moreover, we and Skydance can mutually decide to terminate the Transaction Agreement at any time prior to the Closing. In addition, each of us and Skydance may elect to terminate the Transaction Agreement in certain other circumstances. If the Transaction Agreement is terminated in certain circumstances, we would be required to pay Skydance the Termination Fee and may incur substantial additional fees, and we would not realize the anticipated benefits of the Transactions. There is no requirement for Skydance to pay us a break-up fee under any circumstance.</w:t>
      </w:r>
    </w:p>
    <w:p>
      <w:pPr>
        <w:spacing w:after="0" w:line="200" w:lineRule="exact"/>
        <w:rPr>
          <w:sz w:val="20"/>
          <w:szCs w:val="20"/>
          <w:color w:val="auto"/>
        </w:rPr>
      </w:pPr>
    </w:p>
    <w:p>
      <w:pPr>
        <w:spacing w:after="0" w:line="201"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We have incurred, and along with New Paramount will incur, significant transaction and merger-related transition costs in connection with the Transactions.</w:t>
      </w:r>
    </w:p>
    <w:p>
      <w:pPr>
        <w:spacing w:after="0" w:line="12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We have incurred, and expect that we, along with New Paramount, will incur, significant costs in connection with the completion of the Transactions and the integration of the operations of Paramount and Skydance. We and/or New Paramount may incur additional costs to maintain employee morale and to retain key employees. We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4" w:name="page35"/>
    <w:bookmarkEnd w:id="34"/>
    <w:p>
      <w:pPr>
        <w:jc w:val="both"/>
        <w:spacing w:after="0" w:line="264" w:lineRule="auto"/>
        <w:rPr>
          <w:sz w:val="20"/>
          <w:szCs w:val="20"/>
          <w:color w:val="auto"/>
        </w:rPr>
      </w:pPr>
      <w:r>
        <w:rPr>
          <w:rFonts w:ascii="Times New Roman" w:cs="Times New Roman" w:eastAsia="Times New Roman" w:hAnsi="Times New Roman"/>
          <w:sz w:val="19"/>
          <w:szCs w:val="19"/>
          <w:color w:val="auto"/>
        </w:rPr>
        <w:t>also incur significant fees and expenses relating to regulatory filings, legal, accounting, financial advisory and consulting fees and other costs associated with the Transactions. Some of these costs are payable regardless of whether the Transactions are completed. In addition, we may be required to pay to Skydance the Termination Fee in the event of a termination of the Transaction Agreement for certain specified reasons. Additionally, such costs could adversely affect our business, financial condition or results of operations prior to the completion of the Transactions and limit or eliminate New Paramount’s ability to make any post-closing cash dividend.</w:t>
      </w:r>
    </w:p>
    <w:p>
      <w:pPr>
        <w:spacing w:after="0" w:line="17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9"/>
          <w:szCs w:val="19"/>
          <w:b w:val="1"/>
          <w:bCs w:val="1"/>
          <w:i w:val="1"/>
          <w:iCs w:val="1"/>
          <w:color w:val="auto"/>
        </w:rPr>
        <w:t>We will be subject to business uncertainties and contractual restrictions under the Transaction Agreement while the Transactions are pending.</w:t>
      </w:r>
    </w:p>
    <w:p>
      <w:pPr>
        <w:spacing w:after="0" w:line="200" w:lineRule="exact"/>
        <w:rPr>
          <w:sz w:val="20"/>
          <w:szCs w:val="20"/>
          <w:color w:val="auto"/>
        </w:rPr>
      </w:pPr>
    </w:p>
    <w:p>
      <w:pPr>
        <w:spacing w:after="0" w:line="2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Uncertainty about the effect of the Transactions on employees, commercial partners, clients, customers, suppliers and vendors may have an adverse effect on our ongoing business operations and, consequently, have an adverse impact on the business operations of New Paramount. Parties with whom we have business relationships, including distributors, advertisers, talent and content providers, may be uncertain as to the future of such relationships with third parties or seek to alter their present business relationships with us. Parties with whom we otherwise may have sought to establish business relationships may seek alternative relationships with third parties. These uncertainties may impair our ability to retain and motivate key personnel and could cause customers and others that deal with us to defer or decline entering into contracts with us or make other decisions concerning us. Certain of our media rights contracts, vendor or supplier contracts, leases and financing-related agreements contain change in control restrictions that may give rise to a right of termination or cancellation in connection with the Transactions. See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Risks Relating to the Transactions — </w:t>
      </w:r>
      <w:r>
        <w:rPr>
          <w:rFonts w:ascii="Times New Roman" w:cs="Times New Roman" w:eastAsia="Times New Roman" w:hAnsi="Times New Roman"/>
          <w:sz w:val="19"/>
          <w:szCs w:val="19"/>
          <w:i w:val="1"/>
          <w:iCs w:val="1"/>
          <w:color w:val="auto"/>
        </w:rPr>
        <w:t>The Transactions may trigger change in control or other provisions in certain agreements, which may</w:t>
      </w:r>
    </w:p>
    <w:p>
      <w:pPr>
        <w:spacing w:after="0" w:line="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i w:val="1"/>
          <w:iCs w:val="1"/>
          <w:color w:val="auto"/>
        </w:rPr>
        <w:t>allow third parties to terminate or alter existing contracts or relationships with us.</w:t>
      </w:r>
      <w:r>
        <w:rPr>
          <w:rFonts w:ascii="Times New Roman" w:cs="Times New Roman" w:eastAsia="Times New Roman" w:hAnsi="Times New Roman"/>
          <w:sz w:val="19"/>
          <w:szCs w:val="19"/>
          <w:color w:val="auto"/>
        </w:rPr>
        <w:t>” In addition, if our key employees depart because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uncertainty about their future roles and the potential complexities of the Transactions, our business could be adversely affected. Furthermore, the Transaction Agreement contains restrictions on our ability to undertake certain actions or business opportunities outside the ordinary course of business prior to the completion of the Transactions without the consent of the other party, which may adversely affect each company’s ability to execute certain of its business strategies. As a result, we may be unable, during the pendency of the Transactions, without the consent of the other, to make certain acquisitions, capital expenditures and sales or divestitures of assets, to borrow money, to enter into certain new business arrangements or opportunities and to otherwise pursue these or other actions specified in the Transaction Agreement, even if such actions would prove beneficial to us on a standalone basis, or to New Paramount.</w:t>
      </w:r>
    </w:p>
    <w:p>
      <w:pPr>
        <w:spacing w:after="0" w:line="170"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Under the terms of the Transaction Agreement, the go-shop period has expired and we are no longer permitted to pursue alternatives to the Transactions.</w:t>
      </w:r>
    </w:p>
    <w:p>
      <w:pPr>
        <w:spacing w:after="0" w:line="1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Transaction Agreement contains provisions that restrict our ability to enter into alternative transactions. Under the Transaction Agreement, starting on the no-shop period start date, we became subject to “no-shop” provisions that prohibit us from, among other things, soliciting, initiating or knowingly facilitating or knowingly encouraging any proposal or offer that constitutes, or could reasonably be expected to constitute or lead to, any acquisition proposal from a third party. If such a proposal were made, we would not be able to engage in or participate in any discussions or negotiations with the party making the proposal and would have no ability to terminate the Transaction Agreement in favor of the proposal.</w:t>
      </w:r>
    </w:p>
    <w:p>
      <w:pPr>
        <w:spacing w:after="0" w:line="200" w:lineRule="exact"/>
        <w:rPr>
          <w:sz w:val="20"/>
          <w:szCs w:val="20"/>
          <w:color w:val="auto"/>
        </w:rPr>
      </w:pPr>
    </w:p>
    <w:p>
      <w:pPr>
        <w:spacing w:after="0" w:line="21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The restrictions imposed on us under the “no-shop” provisions in the Transaction Agreement may discourage a potential acquiror that might have had an interest in acquiring all or a significant part of Paramount from considering or proposing that acquisition, even if it were prepared to pay consideration with a higher per share value than the currently proposed merger consideration.</w:t>
      </w:r>
    </w:p>
    <w:p>
      <w:pPr>
        <w:spacing w:after="0" w:line="16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If the Transaction Agreement is terminated and we decide to seek another business combination, we may not be able to negotiate or consummate transactions with another party on terms comparable to, or better than, the terms of the Transaction Agreement. In addition, we may be required to pay to Skydance the Termination Fee if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5" w:name="page36"/>
    <w:bookmarkEnd w:id="35"/>
    <w:p>
      <w:pPr>
        <w:jc w:val="both"/>
        <w:spacing w:after="0" w:line="300" w:lineRule="auto"/>
        <w:rPr>
          <w:sz w:val="20"/>
          <w:szCs w:val="20"/>
          <w:color w:val="auto"/>
        </w:rPr>
      </w:pPr>
      <w:r>
        <w:rPr>
          <w:rFonts w:ascii="Times New Roman" w:cs="Times New Roman" w:eastAsia="Times New Roman" w:hAnsi="Times New Roman"/>
          <w:sz w:val="19"/>
          <w:szCs w:val="19"/>
          <w:color w:val="auto"/>
        </w:rPr>
        <w:t>business combination is agreed to or consummated within 12 months after such termination of the Transaction Agreement, subject to certain conditions.</w:t>
      </w:r>
    </w:p>
    <w:p>
      <w:pPr>
        <w:spacing w:after="0" w:line="126"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There may be tax consequences of the Transactions that may adversely affect holders of our Common Stock if the Transactions fail to qualify as a tax-deferred exchange pursuant to Section 351 of the Code for U.S. federal income tax purposes.</w:t>
      </w:r>
    </w:p>
    <w:p>
      <w:pPr>
        <w:spacing w:after="0" w:line="1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 exchange of our Common Stock for New Paramount Common Stock pursuant to the Transactions generally is expected to qualify as a tax-deferred exchange pursuant to Section 351 of the Code for U.S. federal income tax purposes. If such an exchange fails to qualify as a transaction described in Section 351 of the Code, then a U.S. Holder (as that term is defined in the section entitled “Material United States Federal Income Tax Consequences” in New Paramount’s registration statement on Form S-4) would recognize gain in an amount equal to the excess (if any) of (i) the fair market value of the New Paramount Common Stock received over (ii) such U.S. Holder’s adjusted tax basis in its Common Stock. Any such gain would be capital gain and generally would be long-term capital gain if the U.S. Holder’s holding period for the Common Stock exceeded one year at the time of the Transactions.</w:t>
      </w:r>
    </w:p>
    <w:p>
      <w:pPr>
        <w:spacing w:after="0" w:line="17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A new 1% U.S. federal excise tax could be imposed on us or New Paramount in connection with redemptions by us or New Paramount of our respective shares.</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 Inflation Reduction Act of 2022 imposes a 1% excise tax on the fair market value of stock repurchased by “covered corporations” beginning in 2023 (the “Excise Tax”). The Excise Tax is imposed on the repurchasing corporation itself, not its stockholders from which the stock is repurchased. In general, publicly traded domestic corporations are “covered corporations.” Because each of us and New Paramount is a Delaware corporation and its securities are or will be traded on Nasdaq, we believe that we are, and New Paramount will be, a “covered corporation” for this purpose.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w:t>
      </w:r>
    </w:p>
    <w:p>
      <w:pPr>
        <w:spacing w:after="0" w:line="200" w:lineRule="exact"/>
        <w:rPr>
          <w:sz w:val="20"/>
          <w:szCs w:val="20"/>
          <w:color w:val="auto"/>
        </w:rPr>
      </w:pPr>
    </w:p>
    <w:p>
      <w:pPr>
        <w:spacing w:after="0" w:line="20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Any redemption or other repurchase that we or New Paramount make of our respective shares may be subject to the Excise Tax. Whether and to what extent we or New Paramount would be subject to the Excise Tax with respect to any such redemption or other repurchase would depend on a number of factors, including the nature and amount of any “PIPE” or other equity issuances within the same taxable year of the redemption or repurchase.</w:t>
      </w:r>
    </w:p>
    <w:p>
      <w:pPr>
        <w:spacing w:after="0" w:line="16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Executive officers, directors and affiliates of Paramount may have interests in the Transactions that are different from, or in addition to, the rights of our stockholders.</w:t>
      </w:r>
    </w:p>
    <w:p>
      <w:pPr>
        <w:spacing w:after="0" w:line="15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Certain of our and Skydance’s executive officers, directors and affiliates may have interests in the Transactions that are different from, or in addition to, those of our stockholders. These interests include the potential continued employment of certain of our and Skydance’s executive officers by New Paramount, the potential payment of transaction awards in connection with the Closing and enhanced change in control severance benefits on certain qualifying terminations following the Closing, the potential appointment of certain of our and Skydance’s directors as directors of New Paramount and the rights of our and Skydance’s executive officers and directors to indemnification by New Paramount and the other surviving entities in the Mergers. These interests may also include the conversion of our outstanding equity awards into equity awards of New Paramount in the New Paramount Merger, following the Closing. In addition, the interests of our executive officers, directors and affiliates may not be the same as the interests of our other stockholders. For instance, the potential payment of transaction awards in connection with the Closing and enhanced change in control severance benefits on certain qualified terminations following the Closing may create incentives for our officers that are different from those of our other stockholders. Furthermore, the board of directors of New Paramount will consist of up to 13 members designated by Skydance prior to the Closing, including David Ellison.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6" w:name="page37"/>
    <w:bookmarkEnd w:id="36"/>
    <w:p>
      <w:pPr>
        <w:jc w:val="both"/>
        <w:spacing w:after="0" w:line="257" w:lineRule="auto"/>
        <w:rPr>
          <w:sz w:val="20"/>
          <w:szCs w:val="20"/>
          <w:color w:val="auto"/>
        </w:rPr>
      </w:pPr>
      <w:r>
        <w:rPr>
          <w:rFonts w:ascii="Times New Roman" w:cs="Times New Roman" w:eastAsia="Times New Roman" w:hAnsi="Times New Roman"/>
          <w:sz w:val="19"/>
          <w:szCs w:val="19"/>
          <w:color w:val="auto"/>
        </w:rPr>
        <w:t>Additionally, pursuant to the NAI Transaction, the NAI Equity Investors agreed to purchase, upon the terms and subject to the conditions set forth in the NAI Stock Purchase Agreement (as defined in the Transaction Agreement), all of the outstanding equity interests of NAI from the NAI Shareholders (as defined in the Transaction Agreement). As a beneficiary of the NAI Shareholders, Shari E. Redstone (“Ms. Redstone”) will receive a portion of the proceeds from the NAI Transaction. Ms. Redstone is the non-executive Chair of our Board of Directors. As of December 31, 2024, Ms. Redstone was the beneficial owner of 52,226 cash-settled Class A Common Stock phantom units, 61,920 cash-settled Class B Common Stock phantom units, and 617,409 shares of Class B Common Stock, which includes 177,326 vested, deferred Paramount RSU Awards. Ms. Redstone is a beneficiary of the NAI Shareholders, and, as of December 31, 2024, NAI beneficially owned, directly and through two wholly-owned subsidiaries, approximately 77.4% of our Class A Common Stock outstanding and approximately 9.5% of our Class A Common Stock and Class B Common Stock outstanding on a combined basis. NAI is controlled by the General Trust, which owns 80% of the voting interest of NAI. NA Administration, LLC is the corporate trustee of the General Trust, and is governed by a seven-member board of directors, which acts by majority vote (subject to certain exceptions), including with respect to the NAI shares held by the General Trust. Ms. Redstone is the Chairperson, CEO and President of NAI, is one of the seven directors of NA Administration, LLC and one of two directors who are beneficiaries of the General Trust. Ms. Redstone also has a minority indirect beneficial interest in the Class A Common Stock and the Class B Common Stock owned by NAI (and its wholly-owned subsidiaries). Further, in connection with the NAI Transaction, (i) the NAI Shareholders, (ii) certain directors and officers of NAI, including Ms. Redstone in her capacity as Chairperson, CEO and President of NAI (such individuals, the “NAI D&amp;O Indemnitees”) and (iii) NAI and NAI Entertainment Holdings LLC (“NAIEH”) entered into an indemnification and contribution agreement, which terminated and superseded certain existing indemnification arrangements among the parties thereto and provided the NAI Shareholders and the NAI D&amp;O Indemnitees with certain indemnification rights relating to the Transactions and the NAI Transaction from NAI and NAIEH capped at a maximum of $200 million. Affiliates of the NAI Equity Investors have guaranteed the payment and performance of the foregoing indemnification obligations of NAI and NAIEH, subject to the limitations set forth in the indemnification and contribution agreement. The foregoing indemnification obligations of NAI and NAIEH continue for ten years following the date of execution of the indemnification and contribution agreement, subject to extension for active claims thereunder and automatic termination upon the occurrence of certain triggering events set forth in the indemnification and contribution agreement, including the termination of the NAI Stock Purchase Agreement. The indemnification arrangements that were in place prior to the signing of the NAI Stock Purchase Agreement and that were terminated and superseded by the indemnification and contribution agreement provided, among other things, for uncapped indemnification of the NAI D&amp;O Indemnitees and the NAI Shareholders by NAI and NAIEH for losses incurred in connection with their status as the controller of NAI and, in the case of Ms. Redstone, Paramount, in any litigation relating to the Transactions or the NAI Transaction. Additionally, Ms. Redstone, the current non-executive Chair of our Board of Directors, is a beneficiary of the NAI Shareholders. As a beneficiary of the NAI Shareholders and an employee of NAI, Ms. Redstone has interests in the NAI Transaction, including the right to receive a portion of the proceeds from the NAI Transaction, and therefore Ms. Redstone’s interests in the NAI Transaction may not be the same as the interests of our other stockholders. The members of the special committee of our Board of Directors (the “Special Committee”) and our Board of Directors who recommended that Paramount stockholders entitled to vote adopt the Transaction Agreement and approve the Transactions were aware of and considered these interests to the extent such interests existed at the time, among other matters, during their respective deliberations on the merits of the Transactions, in negotiating, evaluating and approving the Transaction Agreement and the Transactions, and in making our Board of Director’s recommendation that the Paramount stockholders entitled to vote adopt the Transaction Agreement and approve the Transactions.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Failure to complete the Transactions could negatively impact our businesses or financial results and the stock price of our Common Stock.</w:t>
      </w:r>
    </w:p>
    <w:p>
      <w:pPr>
        <w:spacing w:after="0" w:line="22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If the Transactions are not completed, the ongoing business of Paramount may be adversely affected, and we will be subject to several risks or consequences, including, but not limited to,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7" w:name="page38"/>
    <w:bookmarkEnd w:id="37"/>
    <w:p>
      <w:pPr>
        <w:jc w:val="both"/>
        <w:ind w:left="320" w:hanging="314"/>
        <w:spacing w:after="0" w:line="273" w:lineRule="auto"/>
        <w:tabs>
          <w:tab w:leader="none" w:pos="308" w:val="left"/>
        </w:tabs>
        <w:numPr>
          <w:ilvl w:val="0"/>
          <w:numId w:val="16"/>
        </w:numPr>
        <w:rPr>
          <w:rFonts w:ascii="Arial" w:cs="Arial" w:eastAsia="Arial" w:hAnsi="Arial"/>
          <w:sz w:val="19"/>
          <w:szCs w:val="19"/>
          <w:color w:val="auto"/>
        </w:rPr>
      </w:pPr>
      <w:r>
        <w:rPr>
          <w:rFonts w:ascii="Times New Roman" w:cs="Times New Roman" w:eastAsia="Times New Roman" w:hAnsi="Times New Roman"/>
          <w:sz w:val="19"/>
          <w:szCs w:val="19"/>
          <w:color w:val="auto"/>
        </w:rPr>
        <w:t>we will be required to pay certain costs relating to the Transactions whether or not the Transactions are completed, such as significant fees and expenses relating to regulatory filings, legal, accounting, financial advisory, consulting or other advisory fees and expenses, employee-benefit related expenses and/or filing and printing fees;</w:t>
      </w:r>
    </w:p>
    <w:p>
      <w:pPr>
        <w:spacing w:after="0" w:line="167" w:lineRule="exact"/>
        <w:rPr>
          <w:rFonts w:ascii="Arial" w:cs="Arial" w:eastAsia="Arial" w:hAnsi="Arial"/>
          <w:sz w:val="19"/>
          <w:szCs w:val="19"/>
          <w:color w:val="auto"/>
        </w:rPr>
      </w:pPr>
    </w:p>
    <w:p>
      <w:pPr>
        <w:ind w:left="320" w:hanging="314"/>
        <w:spacing w:after="0" w:line="284" w:lineRule="auto"/>
        <w:tabs>
          <w:tab w:leader="none" w:pos="308" w:val="left"/>
        </w:tabs>
        <w:numPr>
          <w:ilvl w:val="0"/>
          <w:numId w:val="16"/>
        </w:numPr>
        <w:rPr>
          <w:rFonts w:ascii="Arial" w:cs="Arial" w:eastAsia="Arial" w:hAnsi="Arial"/>
          <w:sz w:val="19"/>
          <w:szCs w:val="19"/>
          <w:color w:val="auto"/>
        </w:rPr>
      </w:pPr>
      <w:r>
        <w:rPr>
          <w:rFonts w:ascii="Times New Roman" w:cs="Times New Roman" w:eastAsia="Times New Roman" w:hAnsi="Times New Roman"/>
          <w:sz w:val="19"/>
          <w:szCs w:val="19"/>
          <w:color w:val="auto"/>
        </w:rPr>
        <w:t>under the Transaction Agreement, we are subject to certain restrictions on the conduct of our business prior to completing the Transactions, which may adversely affect our ability to execute certain of our business strategies;</w:t>
      </w:r>
    </w:p>
    <w:p>
      <w:pPr>
        <w:spacing w:after="0" w:line="157" w:lineRule="exact"/>
        <w:rPr>
          <w:rFonts w:ascii="Arial" w:cs="Arial" w:eastAsia="Arial" w:hAnsi="Arial"/>
          <w:sz w:val="19"/>
          <w:szCs w:val="19"/>
          <w:color w:val="auto"/>
        </w:rPr>
      </w:pPr>
    </w:p>
    <w:p>
      <w:pPr>
        <w:ind w:left="320" w:hanging="314"/>
        <w:spacing w:after="0" w:line="299" w:lineRule="auto"/>
        <w:tabs>
          <w:tab w:leader="none" w:pos="308" w:val="left"/>
        </w:tabs>
        <w:numPr>
          <w:ilvl w:val="0"/>
          <w:numId w:val="16"/>
        </w:numPr>
        <w:rPr>
          <w:rFonts w:ascii="Arial" w:cs="Arial" w:eastAsia="Arial" w:hAnsi="Arial"/>
          <w:sz w:val="19"/>
          <w:szCs w:val="19"/>
          <w:color w:val="auto"/>
        </w:rPr>
      </w:pPr>
      <w:r>
        <w:rPr>
          <w:rFonts w:ascii="Times New Roman" w:cs="Times New Roman" w:eastAsia="Times New Roman" w:hAnsi="Times New Roman"/>
          <w:sz w:val="19"/>
          <w:szCs w:val="19"/>
          <w:color w:val="auto"/>
        </w:rPr>
        <w:t>litigation related to the failure to complete the Transactions or related to any enforcement proceeding that may be commenced against us to perform our obligations pursuant to the Transaction Agreement;</w:t>
      </w:r>
    </w:p>
    <w:p>
      <w:pPr>
        <w:spacing w:after="0" w:line="130" w:lineRule="exact"/>
        <w:rPr>
          <w:rFonts w:ascii="Arial" w:cs="Arial" w:eastAsia="Arial" w:hAnsi="Arial"/>
          <w:sz w:val="19"/>
          <w:szCs w:val="19"/>
          <w:color w:val="auto"/>
        </w:rPr>
      </w:pPr>
    </w:p>
    <w:p>
      <w:pPr>
        <w:jc w:val="both"/>
        <w:ind w:left="320" w:hanging="314"/>
        <w:spacing w:after="0" w:line="273" w:lineRule="auto"/>
        <w:tabs>
          <w:tab w:leader="none" w:pos="308" w:val="left"/>
        </w:tabs>
        <w:numPr>
          <w:ilvl w:val="0"/>
          <w:numId w:val="16"/>
        </w:numPr>
        <w:rPr>
          <w:rFonts w:ascii="Arial" w:cs="Arial" w:eastAsia="Arial" w:hAnsi="Arial"/>
          <w:sz w:val="19"/>
          <w:szCs w:val="19"/>
          <w:color w:val="auto"/>
        </w:rPr>
      </w:pPr>
      <w:r>
        <w:rPr>
          <w:rFonts w:ascii="Times New Roman" w:cs="Times New Roman" w:eastAsia="Times New Roman" w:hAnsi="Times New Roman"/>
          <w:sz w:val="19"/>
          <w:szCs w:val="19"/>
          <w:color w:val="auto"/>
        </w:rPr>
        <w:t>matters relating to the Transactions may require substantial commitments of time and resources by our management or the expenditure of significant funds in the form of fees and expenses, which could otherwise have been devoted to day-to-day operations or other opportunities that may have been beneficial to us; and</w:t>
      </w:r>
    </w:p>
    <w:p>
      <w:pPr>
        <w:spacing w:after="0" w:line="167" w:lineRule="exact"/>
        <w:rPr>
          <w:rFonts w:ascii="Arial" w:cs="Arial" w:eastAsia="Arial" w:hAnsi="Arial"/>
          <w:sz w:val="19"/>
          <w:szCs w:val="19"/>
          <w:color w:val="auto"/>
        </w:rPr>
      </w:pPr>
    </w:p>
    <w:p>
      <w:pPr>
        <w:ind w:left="320" w:hanging="314"/>
        <w:spacing w:after="0"/>
        <w:tabs>
          <w:tab w:leader="none" w:pos="320" w:val="left"/>
        </w:tabs>
        <w:numPr>
          <w:ilvl w:val="0"/>
          <w:numId w:val="16"/>
        </w:numPr>
        <w:rPr>
          <w:rFonts w:ascii="Arial" w:cs="Arial" w:eastAsia="Arial" w:hAnsi="Arial"/>
          <w:sz w:val="19"/>
          <w:szCs w:val="19"/>
          <w:color w:val="auto"/>
        </w:rPr>
      </w:pPr>
      <w:r>
        <w:rPr>
          <w:rFonts w:ascii="Times New Roman" w:cs="Times New Roman" w:eastAsia="Times New Roman" w:hAnsi="Times New Roman"/>
          <w:sz w:val="19"/>
          <w:szCs w:val="19"/>
          <w:color w:val="auto"/>
        </w:rPr>
        <w:t>we may be required, under certain circumstances, to pay Skydance the Termination Fee.</w:t>
      </w:r>
    </w:p>
    <w:p>
      <w:pPr>
        <w:spacing w:after="0" w:line="23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We may experience negative reactions from the financial markets and from our customers, commercial partners or employees in respect of the Transactions, including if the Transactions are not completed. We could also be subject to litigation related to a failure to complete the Transactions or to enforce our obligations under the Transaction Agreement. If the Transactions are not completed, we cannot assure our stockholders that the risks described above will not materialize and such risks may materially affect the business, financial results or prices of our Class A Common Stock and Class B Common Stock.</w:t>
      </w:r>
    </w:p>
    <w:p>
      <w:pPr>
        <w:spacing w:after="0" w:line="1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As of the date of this Annual Report on From 10-K, several lawsuits have been filed in connection with the Transactions and additional lawsuits may be filed in the future against us, Skydance, NAI, our and their respective affiliates and/or boards of directors and management and the Special Committee, challenging the Transactions. An adverse ruling in any such lawsuit could result in substantial costs and/or delay or prevent the completion of the Transactions.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In connection with the Transactions, on July 24, 2024, Scott Baker, a purported holder of Class B Common Stock, filed a putative class action lawsuit in the Court of Chancery of the State of Delaware (the “Court”) against NAI, Shari E. Redstone, Barbara M. Byrne, Linda M. Griego, Judith A. McHale, Charles E. Phillips, Jr., Susan Schuman, Skydance and David Ellison (the “Baker Action”). The complaint alleges breaches of fiduciary duties to Class B stockholders in connection with the negotiation and approval of the Transaction Agreement, among other claims, and seeks unspecified damages, costs and expenses, as well as other relief. On November 4, 2024, the Court granted the parties’ stipulation in the Baker Action agreeing to (i) postpone briefing on motions to dismiss until the filing or designation of an operative complaint following the resolution of the plaintiff’s motion to appoint him and the Baerlocher Family Trust, a purported holder of Class B Common Stock, as co-lead plaintiffs and Berger Montague PC as interim class counsel (the “Baker Leadership Motion”), and (ii) stay discovery until the resolution of any motions to dismiss any operative complaint following resolution of the Baker Leadership Motion. Throughout October 2024, various purported stockholders filed motions for intervention to oppose the Baker Leadership Motion. On December 31, 2024, the plaintiff, along with Mark Baerlocher, as trustee for the Baerlocher Family Trust, filed an amended complaint alleging the same breaches of fiduciary duties against the same defendants as in the original complaint.</w:t>
      </w:r>
    </w:p>
    <w:p>
      <w:pPr>
        <w:spacing w:after="0" w:line="1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Further, on April 30, 2024, a purported holder of Class B Common Stock filed a verified complaint for the inspection of books and records under Section 220 of the General Corporation Law of the State of Delaware (the “DGCL”) in the Court against us, seeking the inspection of our books and records in order to investigate whether our Board of Directors, NAI, Shari E. Redstone and/or our executive officers may have breached their fiduciary duties to our stockholders for alleged diversion of corporate opportunities (the “220 Action”). The magistrate judge held a trial on July 24, 2024 relating to the 220 Action and denied the request for the inspection of books and records. The plaintiff in the 220 Action noticed an exception to the Court, and on January 29, 2025, the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8" w:name="page39"/>
    <w:bookmarkEnd w:id="38"/>
    <w:p>
      <w:pPr>
        <w:jc w:val="both"/>
        <w:spacing w:after="0" w:line="263" w:lineRule="auto"/>
        <w:rPr>
          <w:sz w:val="20"/>
          <w:szCs w:val="20"/>
          <w:color w:val="auto"/>
        </w:rPr>
      </w:pPr>
      <w:r>
        <w:rPr>
          <w:rFonts w:ascii="Times New Roman" w:cs="Times New Roman" w:eastAsia="Times New Roman" w:hAnsi="Times New Roman"/>
          <w:sz w:val="19"/>
          <w:szCs w:val="19"/>
          <w:color w:val="auto"/>
        </w:rPr>
        <w:t>ruled that the plaintiff is entitled to obtain books and records that are both necessary and sufficient to fulfill the purpose of its request. On February 25, 2025, the Court granted an implementing order that returned the 220 Action to the magistrate judge for further proceedings on the scope of production. Certain other purported holders of Class B Common Stock and Class A Common Stock have delivered demand letters to investigate similar alleged breaches of fiduciary duties in connection with the Transactions and are requesting the inspection of books and records. We have also received demand letters from purported holders of Class B Common Stock related to alleged omissions in New Paramount’s registration statement on Form S-4.</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Additionally, on August 20, 2024, LiveVideo.AI Corp. filed a lawsuit in the Southern District of New York against Shari E. Redstone, NAI, Christine Varney and Monica Seligman, alleging that defendants did not fairly consider its offer to purchase Paramount. The complaint asserts claims for unfair competition, tortious interference, unjust enrichment and aiding and abetting breach of fiduciary duty, among others, and seeks unspecified monetary damages, costs and other relief. As of the date of this Annual Report on Form 10-K, the defendants have not been served.</w:t>
      </w:r>
    </w:p>
    <w:p>
      <w:pPr>
        <w:spacing w:after="0" w:line="1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On December 30, 2024, a purported holder of Class B Common Stock and Class A Common Stock filed a complaint for the inspection of books and records under Section 220 of the DGCL (the “Section 220 Demand”) in the Court against us to investigate possible breaches of fiduciary duties in connection with the Transactions. The complaint alleges that the documents produced to such purported stockholder thus far pursuant to the Section 220 Demand are insufficient to determine whether our officers, Board of Directors, Special Committee, NAI or Skydance breached their fiduciary duties (or aided and abetted such breaches). The complaint seeks an order requiring us to produce the documents identified in the Section 220 Demand, among other relief. Trial is scheduled for April 2025.</w:t>
      </w:r>
    </w:p>
    <w:p>
      <w:pPr>
        <w:spacing w:after="0" w:line="18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On February 4, 2025, New York City Employees’ Retirement System, the New York City Fire Department Pension Fund, the New York City Police Pension Fund, the New York City Board Of Education Retirement System, and the Teachers’ Retirement System of the City of New York, purported holders of Class B Common Stock and Class A Common Stock, filed a putative class action lawsuit in the Court against Barbara M. Byrne, Linda M. Griego, Judith A. McHale and Susan Schuman, which alleges breaches of fiduciary duties for their alleged failure to sufficiently consider an alternate offer that the plaintiffs claim is superior to the Transactions (the “NYCERS Action”). The plaintiffs argue that the no-shop provision in the Transaction Agreement should be declared invalid and unenforceable because it prevents the parties from engaging in further deal discussions and negotiations with companies other than Skydance, including, specifically, Project Rise Partners, after the no-shop period begins. The plaintiffs further assert that the Court has the power to invalidate this provision because Skydance allegedly aided and abetted NAI’s and Shari E. Redstone’s breach of fiduciary duties, including by agreeing to indemnify Shari E. Redstone (through Skydance’s separate agreement with NAI) for any breach of fiduciary duty claims arising out of the Transactions up to a certain amount. Skydance, NAI, Shari E. Redstone and Paramount are not parties to the action. The NYCERS Action seeks, among other forms of relief, an order from the Court enjoining the closing of the Transactions until the Court has reached a final resolution on the plaintiffs’ claims and an order compelling the Special Committee to evaluate Project Rise Partners’ alternative offer to, among other things, acquire Class A Common Stock for $23.00 per share and Class B Common Stock for $19.00 per share. The Project Rise Partners offer was made after the go-shop period in the Transaction Agreement had ended. The complaint does not seek compensatory damages at this time. The plaintiffs filed a motion for expedited proceedings along with their complaint. On February 18, 2025, the plaintiffs moved to join Paramount and Skydance (and various other entities named in the Transaction Agreement) as necessary parties to the litigation and moved for a temporary restraining order preventing the closing of the Transactions until the Court considers the plaintiffs’ anticipated motion for injunctive relief following expedited discovery. The same day, Project Rise Partners moved the Court to grant it leave to file an affidavit under seal. Oral argument on the plaintiffs’ motion to expedite, motion for a temporary restraining order and motion for joinder, as well as Project Rise Partners’ motion for leave to file an affidavit, is scheduled for March 3, 2025.</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may waive one or more of the conditions to the Closing without re-obtaining stockholder approval.</w:t>
      </w:r>
    </w:p>
    <w:p>
      <w:pPr>
        <w:spacing w:after="0" w:line="23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We (upon the recommendation of the Special Committee) have the right to waive, in whole or in part, certain of the conditions to the Closing, to the extent permitted by applicable law. Any such waiver may not require 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9" w:name="page40"/>
    <w:bookmarkEnd w:id="39"/>
    <w:p>
      <w:pPr>
        <w:jc w:val="both"/>
        <w:spacing w:after="0" w:line="263" w:lineRule="auto"/>
        <w:rPr>
          <w:sz w:val="20"/>
          <w:szCs w:val="20"/>
          <w:color w:val="auto"/>
        </w:rPr>
      </w:pPr>
      <w:r>
        <w:rPr>
          <w:rFonts w:ascii="Times New Roman" w:cs="Times New Roman" w:eastAsia="Times New Roman" w:hAnsi="Times New Roman"/>
          <w:sz w:val="19"/>
          <w:szCs w:val="19"/>
          <w:color w:val="auto"/>
        </w:rPr>
        <w:t>obtaining the approval of our stockholders (which has already been obtained via the written consent adopting and approving the Transaction Agreement), in which case we will have the ability to complete the Transactions without seeking additional stockholder approval. Additionally, if a new stockholder approval were to be required for any such waiver, the approval of NAI and its wholly-owned subsidiaries, NAI Entertainment Holdings LLC and SPV-NAIEH LLC (the “NAI Company Stockholders”) would be sufficient. Any determination as to whether to waive any condition to the Closing, whether stockholder approval would be re-obtained as a result of any such waiver will be made by us (upon the recommendation of the Special Committee) at the time of such waiver based on the facts and circumstances as they exist at that time, and any such waiver could have an adverse effect on New Paramount and our current stockholders.</w:t>
      </w:r>
    </w:p>
    <w:p>
      <w:pPr>
        <w:spacing w:after="0" w:line="16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We and, following completion of the Transactions, New Paramount must continue to retain, motivate and recruit executives and other key employees, which may be difficult in light of uncertainty regarding the Transactions and failure to do so could negatively affect us and New Paramount.</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We must continue to retain, motivate and recruit executives and other key employees during the period prior to completion of the Transactions. Moreover, New Paramount must be successful at retaining and motivating key employees and service providers, including entertainers, performers and production talent, following the completion of the Transactions. New Paramount’s performance will be substantially dependent on the performance of members of its executive management, other key employees, and service providers, including entertainers, performers and production talent.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Experienced employees and talent in the industries in which we operate are in high demand, and competition for such employees and talent can be intense. Our employees may experience uncertainty about their future role with New Paramount until, or even after, strategies with regard to New Paramount as a combined company are announced or executed. The potential distractions of the Transactions may adversely affect the ability of us or, following completion of the Transactions, New Paramount to retain, motivate and recruit executives and other key employees and service providers, including entertainers, performers and production talent, and keep them focused on applicable strategies and goals. A failure by us or, following the completion of the Transactions, New Paramount to attract, retain and motivate executives, other key employees and service providers, including entertainers, performers and production talent, during the period prior to or after the completion of the Transactions, as applicable, could have a negative impact on the businesses of us and New Paramount.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Furthermore, if key employees or talent depart or are at risk of departing due to issues including the uncertainty and difficulty of integration, financial security or a desire not to become employees or talent of New Paramount, we and/or New Paramount may incur significant costs to retain such individuals or to identify, hire and retain replacements for departing employees and talent and may lose significant expertise and talent relating to the business of us and/or New Paramount, and New Paramount’s ability to realize the anticipated benefits of the Transactions may be adversely affected. The loss of any member of New Paramount’s senior management team could impair its ability to execute its business plan and growth strategy, have a negative impact on its revenues and the effective working relationships that its executive management have developed and cause employee morale problems and the loss of additional key employees, agents, managers and clients.</w:t>
      </w:r>
    </w:p>
    <w:p>
      <w:pPr>
        <w:spacing w:after="0" w:line="17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The Transactions may trigger change in control or other provisions in certain agreements, which may allow third parties to terminate or alter existing contracts or relationships with us.</w:t>
      </w:r>
    </w:p>
    <w:p>
      <w:pPr>
        <w:spacing w:after="0" w:line="15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We have contracts with customers, licensees, vendors, landlords, lenders, business partners and other third parties, which may require us to obtain consents from these other parties in connection with the Transactions. If these consents cannot be obtained, the counterparties to these contracts and other third parties with which we currently have relationships may have the ability to terminate, reduce the scope of or otherwise materially adversely alter their relationships with us in anticipation of the Transactions or with New Paramount following the Transactions. The pursuit of such rights may result in us or New Paramount suffering a loss of potential future revenue or incurring liabilities in connection with a breach of such agreements or losing rights that are material to their respective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40" w:name="page41"/>
    <w:bookmarkEnd w:id="40"/>
    <w:p>
      <w:pPr>
        <w:jc w:val="both"/>
        <w:spacing w:after="0" w:line="300" w:lineRule="auto"/>
        <w:rPr>
          <w:sz w:val="20"/>
          <w:szCs w:val="20"/>
          <w:color w:val="auto"/>
        </w:rPr>
      </w:pPr>
      <w:r>
        <w:rPr>
          <w:rFonts w:ascii="Times New Roman" w:cs="Times New Roman" w:eastAsia="Times New Roman" w:hAnsi="Times New Roman"/>
          <w:sz w:val="19"/>
          <w:szCs w:val="19"/>
          <w:color w:val="auto"/>
        </w:rPr>
        <w:t>Any such disruptions could adversely impact New Paramount’s ability to achieve the anticipated benefits of the Transactions. The adverse effect of such disruptions could also be exacerbated by a delay in the completion of the Transactions or the termination of the Transaction Agreement.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Our stockholders will not be entitled to appraisal rights in connection with the Transactions.</w:t>
      </w:r>
    </w:p>
    <w:p>
      <w:pPr>
        <w:spacing w:after="0" w:line="2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Section 262 of the DGCL provides that stockholders have the right, in some circumstances, to dissent from certain corporate actions and to instead demand payment of the fair value of their shares. Stockholders do not have appraisal rights with respect to shares of any class or series of stock if such shares of stock, or depositary receipts in respect thereof, are either (a) listed on a national securities exchange or (b) held of record by more than 2,000 holders, unless the stockholders receive in exchange for their shares anything other than shares of stock of the surviving or resulting corporation (or depositary receipts in respect thereof), or of any other corporation that is publicly listed or held by more than 2,000 holders of record, cash in lieu of fractional shares or fractional depositary receipts described above or any combination of the foregoing.</w:t>
      </w:r>
    </w:p>
    <w:p>
      <w:pPr>
        <w:spacing w:after="0" w:line="200" w:lineRule="exact"/>
        <w:rPr>
          <w:sz w:val="20"/>
          <w:szCs w:val="20"/>
          <w:color w:val="auto"/>
        </w:rPr>
      </w:pP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Therefore, because the shares of our Common Stock are currently listed on Nasdaq, a national securities exchange, and the holders of our Common Stock (other than the Specified Stockholders (as defined in the Transaction Agreement), with respect to shares of Class B Common Stock, and the Specified NAI Stockholders, with respect to shares of Class A Common Stock) will be entitled to elect to receive, in connection with the Transactions, the entirety of their merger consideration in the form of shares of New Paramount Class B Common Stock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shares of which will also be listed on Nasdaq), holders of our Common Stock (other than the Specified Stockholders, with respect to shares of Class B Common Stock, and the Specified NAI Stockholders, with respect to shares of Class A Common Stock) will not have rights under the DGCL to dissent from, or demand payment for, their shares in connection with the Transactions. NAI, NAIEH and SPV-NAIEH LLC irrevocably waived all dissent rights under the DGCL pursuant to a voting agreement with the Company and Skydance (the “Voting Agreement”).</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Changes and uncertainties with respect to taxes in the jurisdictions in which New Paramount will operate may have an adverse effect on New Paramount’s business, financial condition or results of operations.</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New Paramount and its subsidiaries will conduct business globally and be subject to tax in multiple U.S. federal, state and local and non-U.S. jurisdictions. New Paramount’s tax position could be materially adversely affected by several factors, including: new or changing tax laws both domestically and internationally, including regulations and treaties, or the interpretation thereof, tax policy initiatives and reforms under consideration by the international community (such as those related to the Organization for Economic Co-operation and Development’s Base Erosion and Profit Shifting Project, the European Commission’s state aid investigations and other initiatives), the practices of tax authorities in jurisdictions in which New Paramount operates, and the resolution of issues arising from tax audits, examinations or assessments and any related interest or penalties. New Paramount is currently unable to predict whether such changes or events will occur and, if so, the ultimate impact on New Paramount’s business. To the extent that any such changes or events have a negative impact on New Paramount, including as a result of related uncertainty, New Paramount’s business, financial condition and results of operations may be adversely impacted.</w:t>
      </w:r>
    </w:p>
    <w:p>
      <w:pPr>
        <w:spacing w:after="0" w:line="18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 xml:space="preserve">Certain jurisdictions in which Paramount or its subsidiaries own real property may impose transfer taxes and/or reassess property values for property tax purposes upon certain transfers or deemed transfers of real property interests. The Transactions and/or the NAI Transaction, or other transactions undertaken by our direct or indirect equityholders in connection with or following such transactions, could be deemed to result in a transfer of real property directly or indirectly owned by Paramount for purposes of such rules. If any transfer taxes or increased annual property taxes were assessed on properties of Paramount or New Paramount or any of their respective subsidiaries, the amount of </w:t>
      </w:r>
      <w:r>
        <w:rPr>
          <w:rFonts w:ascii="Times New Roman" w:cs="Times New Roman" w:eastAsia="Times New Roman" w:hAnsi="Times New Roman"/>
          <w:sz w:val="19"/>
          <w:szCs w:val="19"/>
          <w:color w:val="231F20"/>
        </w:rPr>
        <w:t>such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231F20"/>
        </w:rPr>
        <w:t>taxes may be material and could adversely affect the business, financial condition and results of operations of New Paramount.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9"/>
          <w:szCs w:val="19"/>
          <w:b w:val="1"/>
          <w:bCs w:val="1"/>
          <w:color w:val="auto"/>
        </w:rPr>
        <w:t>Risks Relating to Ownership of our Common Stock</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have experienced, and may continue to experience, volatility in the prices of our Common Stock.</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We have experienced, and may continue to experience, volatility in the prices of our Common Stock. Various factors have impacted, and may continue to impact, the prices of our Common Stock, including variations in our operating results; changes in our estimates, guidance or business plans; variations between our actual results and expectations of securities analysts, and changes in recommendations by securities analysts; changes by any ratings agency to our outlook or credit ratings; market sentiment about our business, including the viability of our streaming business and views related to its profitability; the activities, operating results or stock price of our competitors or other industry participants in the industries in which we operate; changes in management; the announcement or completion of significant transactions by us or a competitor such as the Transactions; events affecting the stock market generally; and the broader macroeconomic and political environment in the U.S. and internationally, as well as other factors and risks described in this section. Some of these factors may adversely affect the prices of our Common Stock, regardless of our operating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NAI, through its voting control of the Company, is in a position to control actions that require stockholder approval.</w:t>
      </w:r>
    </w:p>
    <w:p>
      <w:pPr>
        <w:spacing w:after="0" w:line="22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For so long as we have a controlling stockholder, our other stockholders, who may have different interests than our controlling stockholder, are unable to affect the outcome of corporate actions requiring stockholder approval.</w:t>
      </w:r>
    </w:p>
    <w:p>
      <w:pPr>
        <w:spacing w:after="0" w:line="13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NAI, through its direct and indirect ownership of our Class A Common Stock, has voting control of the Company. As of December 31, 2024, NAI directly or indirectly owned approximately 77.4% of our voting Class A Common Stock, and approximately 9.5% of our Common Stock. NAI is controlled by the General Trust, which owns 80% of the voting interest of NAI. NA Administration, LLC is the corporate trustee of the General Trust and is governed by a seven-member board of directors, which acts by majority vote (subject to certain exceptions), including with respect to the NAI shares held by the General Trust. Shari E. Redstone, Chairperson, CEO and President of NAI and non-executive Chair of our Board of Directors, is one of the seven directors of NA Administration, LLC and one of two directors who are beneficiaries of the General Trust. No member of our management or other member of our Board of Directors is a director of NA Administration, LLC.</w:t>
      </w:r>
    </w:p>
    <w:p>
      <w:pPr>
        <w:spacing w:after="0" w:line="16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Accordingly, NAI is currently in a position to control the outcome of corporate actions that require, or may be accomplished by, stockholder approval, including amending our bylaws, the election or removal of directors and transactions involving a change in control. For example, our bylaws provide that:</w:t>
      </w:r>
    </w:p>
    <w:p>
      <w:pPr>
        <w:spacing w:after="0" w:line="150" w:lineRule="exact"/>
        <w:rPr>
          <w:sz w:val="20"/>
          <w:szCs w:val="20"/>
          <w:color w:val="auto"/>
        </w:rPr>
      </w:pPr>
    </w:p>
    <w:p>
      <w:pPr>
        <w:jc w:val="both"/>
        <w:ind w:left="320" w:hanging="314"/>
        <w:spacing w:after="0" w:line="273" w:lineRule="auto"/>
        <w:tabs>
          <w:tab w:leader="none" w:pos="308" w:val="left"/>
        </w:tabs>
        <w:numPr>
          <w:ilvl w:val="0"/>
          <w:numId w:val="17"/>
        </w:numPr>
        <w:rPr>
          <w:rFonts w:ascii="Arial" w:cs="Arial" w:eastAsia="Arial" w:hAnsi="Arial"/>
          <w:sz w:val="19"/>
          <w:szCs w:val="19"/>
          <w:color w:val="auto"/>
        </w:rPr>
      </w:pPr>
      <w:r>
        <w:rPr>
          <w:rFonts w:ascii="Times New Roman" w:cs="Times New Roman" w:eastAsia="Times New Roman" w:hAnsi="Times New Roman"/>
          <w:sz w:val="19"/>
          <w:szCs w:val="19"/>
          <w:color w:val="auto"/>
        </w:rPr>
        <w:t>the affirmative vote of not less than a majority of the aggregate voting power of all outstanding shares of our capital stock then entitled to vote generally in an election of directors, voting together as a single class, is required for our stockholders to amend, alter, change, repeal or adopt any of our bylaws;</w:t>
      </w:r>
    </w:p>
    <w:p>
      <w:pPr>
        <w:spacing w:after="0" w:line="167" w:lineRule="exact"/>
        <w:rPr>
          <w:rFonts w:ascii="Arial" w:cs="Arial" w:eastAsia="Arial" w:hAnsi="Arial"/>
          <w:sz w:val="19"/>
          <w:szCs w:val="19"/>
          <w:color w:val="auto"/>
        </w:rPr>
      </w:pPr>
    </w:p>
    <w:p>
      <w:pPr>
        <w:jc w:val="both"/>
        <w:ind w:left="320" w:hanging="314"/>
        <w:spacing w:after="0" w:line="269" w:lineRule="auto"/>
        <w:tabs>
          <w:tab w:leader="none" w:pos="308" w:val="left"/>
        </w:tabs>
        <w:numPr>
          <w:ilvl w:val="0"/>
          <w:numId w:val="17"/>
        </w:numPr>
        <w:rPr>
          <w:rFonts w:ascii="Arial" w:cs="Arial" w:eastAsia="Arial" w:hAnsi="Arial"/>
          <w:sz w:val="19"/>
          <w:szCs w:val="19"/>
          <w:color w:val="auto"/>
        </w:rPr>
      </w:pPr>
      <w:r>
        <w:rPr>
          <w:rFonts w:ascii="Times New Roman" w:cs="Times New Roman" w:eastAsia="Times New Roman" w:hAnsi="Times New Roman"/>
          <w:sz w:val="19"/>
          <w:szCs w:val="19"/>
          <w:color w:val="auto"/>
        </w:rPr>
        <w:t>any or all of our directors may be removed from office at any time prior to the expiration of his or her term of office, with or without cause, only by the affirmative vote of the holders of record of outstanding shares representing at least a majority of all the aggregate voting power of outstanding shares of our Common Stock then entitled to vote generally in the election of directors, voting together as a single class at a special meeting of our stockholders called expressly for that purpose; and</w:t>
      </w:r>
    </w:p>
    <w:p>
      <w:pPr>
        <w:spacing w:after="0" w:line="159" w:lineRule="exact"/>
        <w:rPr>
          <w:rFonts w:ascii="Arial" w:cs="Arial" w:eastAsia="Arial" w:hAnsi="Arial"/>
          <w:sz w:val="19"/>
          <w:szCs w:val="19"/>
          <w:color w:val="auto"/>
        </w:rPr>
      </w:pPr>
    </w:p>
    <w:p>
      <w:pPr>
        <w:jc w:val="both"/>
        <w:ind w:left="320" w:hanging="314"/>
        <w:spacing w:after="0" w:line="280" w:lineRule="auto"/>
        <w:tabs>
          <w:tab w:leader="none" w:pos="308" w:val="left"/>
        </w:tabs>
        <w:numPr>
          <w:ilvl w:val="0"/>
          <w:numId w:val="17"/>
        </w:numPr>
        <w:rPr>
          <w:rFonts w:ascii="Arial" w:cs="Arial" w:eastAsia="Arial" w:hAnsi="Arial"/>
          <w:sz w:val="19"/>
          <w:szCs w:val="19"/>
          <w:color w:val="auto"/>
        </w:rPr>
      </w:pPr>
      <w:r>
        <w:rPr>
          <w:rFonts w:ascii="Times New Roman" w:cs="Times New Roman" w:eastAsia="Times New Roman" w:hAnsi="Times New Roman"/>
          <w:sz w:val="19"/>
          <w:szCs w:val="19"/>
          <w:color w:val="auto"/>
        </w:rPr>
        <w:t>in accordance with the DGCL, our stockholders may act by written consent without a meeting if such stockholders hold the number of shares representing not less than the minimum number of votes that would be necessary to authorize or take such actions at a meeting at which all shares entitled to vote thereon were present and voted.</w:t>
      </w:r>
    </w:p>
    <w:p>
      <w:pPr>
        <w:spacing w:after="0" w:line="14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In connection with the Transactions, the NAI Company Stockholders, which hold shares of our Class A Common Stock, executed and delivered to the Company a written consent approving and adopting the Transaction Agreement and, to the extent the consent of the Company’s stockholders is required therefor,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bookmarkStart w:id="42" w:name="page43"/>
    <w:bookmarkEnd w:id="42"/>
    <w:p>
      <w:pPr>
        <w:jc w:val="both"/>
        <w:spacing w:after="0" w:line="269" w:lineRule="auto"/>
        <w:rPr>
          <w:sz w:val="20"/>
          <w:szCs w:val="20"/>
          <w:color w:val="auto"/>
        </w:rPr>
      </w:pPr>
      <w:r>
        <w:rPr>
          <w:rFonts w:ascii="Times New Roman" w:cs="Times New Roman" w:eastAsia="Times New Roman" w:hAnsi="Times New Roman"/>
          <w:sz w:val="19"/>
          <w:szCs w:val="19"/>
          <w:color w:val="auto"/>
        </w:rPr>
        <w:t>and the delivery of the written consent constituted the necessary approval of the Company’s stockholders for the Transactions. The NAI Company Stockholders also are party to the Voting Agreement pursuant to which the NAI Company Stockholders have generally agreed to vote (or cause to be voted) all of the shares of our Class A Common Stock held by the NAI Company Stockholders in favor of certain matters set forth in the Voting Agreement relating to the Transactions.</w:t>
      </w:r>
    </w:p>
    <w:p>
      <w:pPr>
        <w:spacing w:after="0" w:line="16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If the pending acquisition of 100% of the equity interests of NAI by certain affiliates of existing investors of Skydance (the “Skydance Investor Group”) is consummated, such acquiring entities will collectively own and control 100% of NAI.</w:t>
      </w:r>
    </w:p>
    <w:p>
      <w:pPr>
        <w:spacing w:after="0" w:line="13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Sales of NAI’s shares of our Common Stock, some of which are pledged to lenders or otherwise encumbered, could adversely affect the stock prices.</w:t>
      </w:r>
    </w:p>
    <w:p>
      <w:pPr>
        <w:spacing w:after="0" w:line="15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According to information received from NAI, NAI has pledged to its lenders a portion of shares of our Class A Common Stock and our Class B Common Stock owned directly or indirectly by NAI. As of December 31, 2024, the aggregate number of shares pledged by NAI to its lenders or otherwise encumbered represented approximately 3.5% of the total outstanding shares of our Common Stock. Although the lenders (i) may not effect a transfer, sale or disposition of any such shares of our Class A Common Stock unless NAI and its affiliates beneficially own 50% or less of our Class A Common Stock then outstanding or such shares have first been converted into our Class B Common Stock and (ii) have agreed to forbear from foreclosing on the encumbered shares until the earlier of (A) the maturity date of the debt obligations and (B) the date on which the definitive transaction agreement with respect to the NAI Transaction is terminated in accordance with its terms, the lenders otherwise have the right to foreclose on the encumbered shares in the event of a default on NAI Entertainment Holdings LLC’s (a direct subsidiary of NAI) debt obligations. A sale of the pledged Common Stock could adversely affect the stock prices. In addition, a change in ownership of NAI, such as the pending acquisition of 100% of the equity interests of NAI by the Skydance Investor Group, or additional sales or pledges of shares of our Common Stock by NAI, could adversely affect the stock prices.</w:t>
      </w:r>
    </w:p>
    <w:p>
      <w:pPr>
        <w:spacing w:after="0" w:line="212"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1B.</w:t>
      </w:r>
      <w:r>
        <w:rPr>
          <w:sz w:val="20"/>
          <w:szCs w:val="20"/>
          <w:color w:val="auto"/>
        </w:rPr>
        <w:tab/>
      </w:r>
      <w:r>
        <w:rPr>
          <w:rFonts w:ascii="Times New Roman" w:cs="Times New Roman" w:eastAsia="Times New Roman" w:hAnsi="Times New Roman"/>
          <w:sz w:val="19"/>
          <w:szCs w:val="19"/>
          <w:b w:val="1"/>
          <w:bCs w:val="1"/>
          <w:i w:val="1"/>
          <w:iCs w:val="1"/>
          <w:color w:val="auto"/>
        </w:rPr>
        <w:t>Unresolved Staff Comments.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268"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1C.</w:t>
      </w:r>
      <w:r>
        <w:rPr>
          <w:sz w:val="20"/>
          <w:szCs w:val="20"/>
          <w:color w:val="auto"/>
        </w:rPr>
        <w:tab/>
      </w:r>
      <w:r>
        <w:rPr>
          <w:rFonts w:ascii="Times New Roman" w:cs="Times New Roman" w:eastAsia="Times New Roman" w:hAnsi="Times New Roman"/>
          <w:sz w:val="19"/>
          <w:szCs w:val="19"/>
          <w:b w:val="1"/>
          <w:bCs w:val="1"/>
          <w:i w:val="1"/>
          <w:iCs w:val="1"/>
          <w:color w:val="auto"/>
        </w:rPr>
        <w:t>Cybersecurity.</w:t>
      </w:r>
    </w:p>
    <w:p>
      <w:pPr>
        <w:spacing w:after="0" w:line="200" w:lineRule="exact"/>
        <w:rPr>
          <w:sz w:val="20"/>
          <w:szCs w:val="20"/>
          <w:color w:val="auto"/>
        </w:rPr>
      </w:pPr>
    </w:p>
    <w:p>
      <w:pPr>
        <w:spacing w:after="0" w:line="32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Our information security program, the framework for how we assess, identify and manage risks from information security and cybersecurity threats, is designed in alignment with the National Institute of Standards and Technology (NIST) Cybersecurity Framework and leverages the International Organization for Standardization 27001 framework. Cybersecurity risk is integrated into our overall strategic risk management (“SRM”) program, which evaluates key risk areas across Paramount by a cross-functional group of risk owners, in close coordination with members of senior management.</w:t>
      </w:r>
    </w:p>
    <w:p>
      <w:pPr>
        <w:spacing w:after="0" w:line="1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Our information security program is overseen by our Chief Technology Officer (“CTO”), in consultation with our Chief Privacy Officer as needed. We employ a layered defense-in-depth system, which includes the use of continually evolving technologies to assess and protect the security of our enterprise-wide applications and Systems, our intellectual property and proprietary and other information and the data and personal information of our customers, partners and employees; monitoring of our technology environment; performing regular security audits and vulnerability assessments; and regular cybersecurity and privacy training for our employees. We engage consultants and other third parties to conduct independent security assessments of our information security program and to provide us with information on new and developing threats and tactics. We have established processes to oversee and identify risks and cybersecurity threats associated with our third-party service providers.</w:t>
      </w:r>
    </w:p>
    <w:p>
      <w:pPr>
        <w:spacing w:after="0" w:line="200" w:lineRule="exact"/>
        <w:rPr>
          <w:sz w:val="20"/>
          <w:szCs w:val="20"/>
          <w:color w:val="auto"/>
        </w:rPr>
      </w:pPr>
    </w:p>
    <w:p>
      <w:pPr>
        <w:spacing w:after="0" w:line="21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Pursuant to our information security and privacy policies and corresponding training, our employees and third-party vendors are instructed to notify our information security team as soon as they become aware of a suspected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43" w:name="page44"/>
    <w:bookmarkEnd w:id="43"/>
    <w:p>
      <w:pPr>
        <w:jc w:val="both"/>
        <w:spacing w:after="0" w:line="269" w:lineRule="auto"/>
        <w:rPr>
          <w:sz w:val="20"/>
          <w:szCs w:val="20"/>
          <w:color w:val="auto"/>
        </w:rPr>
      </w:pPr>
      <w:r>
        <w:rPr>
          <w:rFonts w:ascii="Times New Roman" w:cs="Times New Roman" w:eastAsia="Times New Roman" w:hAnsi="Times New Roman"/>
          <w:sz w:val="19"/>
          <w:szCs w:val="19"/>
          <w:color w:val="auto"/>
        </w:rPr>
        <w:t>cybersecurity incident. We have a cybersecurity incident response plan to manage our response to potential and actual cybersecurity incidents. The plan includes procedures to assess the potential impact of an incident on the Company. When an incident meets certain criteria, members of the information security team notify members of senior management as soon as reasonably practicable, including our CTO, Acting General Counsel and, under certain circumstances, the Audit Committee. All incidents are reviewed periodically with senior management.</w:t>
      </w:r>
    </w:p>
    <w:p>
      <w:pPr>
        <w:spacing w:after="0" w:line="16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Our Board of Directors has delegated to the Audit Committee the responsibility for reviewing our processes and policies with respect to risk assessment, risk management and risk acceptance, including our processes and policies with respect to information security and cybersecurity. The Audit Committee receives quarterly reports from the CTO and senior members of the information security team, which include information on cybersecurity incidents and related remediation efforts, the broader information security and cybersecurity threat landscape, the information security program’s strategic priorities and progress made in respect of those priorities. Our Chief Audit Executive reports to the Audit Committee with respect to our key risks, including information security and cybersecurity risks, which are monitored pursuant to our SRM program.</w:t>
      </w:r>
    </w:p>
    <w:p>
      <w:pPr>
        <w:spacing w:after="0" w:line="200" w:lineRule="exact"/>
        <w:rPr>
          <w:sz w:val="20"/>
          <w:szCs w:val="20"/>
          <w:color w:val="auto"/>
        </w:rPr>
      </w:pPr>
    </w:p>
    <w:p>
      <w:pPr>
        <w:spacing w:after="0" w:line="21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9"/>
          <w:szCs w:val="19"/>
          <w:color w:val="auto"/>
        </w:rPr>
        <w:t>Our CTO leads our global technology strategy and multiplatform operations and has over 15 years of experience working in technology positions at large media companies. The senior members of our information security team have extensive experience in technology and information security.</w:t>
      </w:r>
    </w:p>
    <w:p>
      <w:pPr>
        <w:spacing w:after="0" w:line="38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We have experienced cybersecurity attacks in the past and may experience attacks in the future, potentially with more frequency or sophistication. Although past attacks have not materially impacted our strategy, financial condition or results of operations, the scope and impact of any future incident cannot be predicted. See “Item 1A. Risk Factors — Risks Relating to Business Continuity, Cybersecurity and Privacy and Data Protection.”</w:t>
      </w:r>
    </w:p>
    <w:p>
      <w:pPr>
        <w:spacing w:after="0" w:line="209"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2.</w:t>
      </w:r>
      <w:r>
        <w:rPr>
          <w:sz w:val="20"/>
          <w:szCs w:val="20"/>
          <w:color w:val="auto"/>
        </w:rPr>
        <w:tab/>
      </w:r>
      <w:r>
        <w:rPr>
          <w:rFonts w:ascii="Times New Roman" w:cs="Times New Roman" w:eastAsia="Times New Roman" w:hAnsi="Times New Roman"/>
          <w:sz w:val="19"/>
          <w:szCs w:val="19"/>
          <w:b w:val="1"/>
          <w:bCs w:val="1"/>
          <w:i w:val="1"/>
          <w:iCs w:val="1"/>
          <w:color w:val="auto"/>
        </w:rPr>
        <w:t>Properties.</w:t>
      </w:r>
    </w:p>
    <w:p>
      <w:pPr>
        <w:spacing w:after="0" w:line="200" w:lineRule="exact"/>
        <w:rPr>
          <w:sz w:val="20"/>
          <w:szCs w:val="20"/>
          <w:color w:val="auto"/>
        </w:rPr>
      </w:pPr>
    </w:p>
    <w:p>
      <w:pPr>
        <w:spacing w:after="0" w:line="32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Our significant physical properties are described below. In addition, we own and lease office, studio, production and warehouse space and broadcast, antenna and satellite transmission facilities throughout the U.S. and around the world. We consider our properties adequate for our present needs.</w:t>
      </w:r>
    </w:p>
    <w:p>
      <w:pPr>
        <w:spacing w:after="0" w:line="150" w:lineRule="exact"/>
        <w:rPr>
          <w:sz w:val="20"/>
          <w:szCs w:val="20"/>
          <w:color w:val="auto"/>
        </w:rPr>
      </w:pPr>
    </w:p>
    <w:p>
      <w:pPr>
        <w:jc w:val="both"/>
        <w:ind w:left="320" w:hanging="314"/>
        <w:spacing w:after="0" w:line="273" w:lineRule="auto"/>
        <w:tabs>
          <w:tab w:leader="none" w:pos="308" w:val="left"/>
        </w:tabs>
        <w:numPr>
          <w:ilvl w:val="0"/>
          <w:numId w:val="18"/>
        </w:numPr>
        <w:rPr>
          <w:rFonts w:ascii="Arial" w:cs="Arial" w:eastAsia="Arial" w:hAnsi="Arial"/>
          <w:sz w:val="19"/>
          <w:szCs w:val="19"/>
          <w:color w:val="auto"/>
        </w:rPr>
      </w:pPr>
      <w:r>
        <w:rPr>
          <w:rFonts w:ascii="Times New Roman" w:cs="Times New Roman" w:eastAsia="Times New Roman" w:hAnsi="Times New Roman"/>
          <w:sz w:val="19"/>
          <w:szCs w:val="19"/>
          <w:color w:val="auto"/>
        </w:rPr>
        <w:t>Our global headquarters is located at 1515 Broadway, New York, New York, where we lease approximately 1.6 million square feet for executive, administrative and business offices, and studio and production space for the Company and certain of our operating divisions. The lease runs through 2031, with two renewal options for 10 years each based on market rates at the time of renewal.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TV Media</w:t>
      </w:r>
    </w:p>
    <w:p>
      <w:pPr>
        <w:spacing w:after="0" w:line="236" w:lineRule="exact"/>
        <w:rPr>
          <w:sz w:val="20"/>
          <w:szCs w:val="20"/>
          <w:color w:val="auto"/>
        </w:rPr>
      </w:pPr>
    </w:p>
    <w:p>
      <w:pPr>
        <w:ind w:left="320" w:hanging="314"/>
        <w:spacing w:after="0" w:line="284" w:lineRule="auto"/>
        <w:tabs>
          <w:tab w:leader="none" w:pos="308"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9"/>
          <w:szCs w:val="19"/>
          <w:color w:val="auto"/>
        </w:rPr>
        <w:t>We own the CBS Broadcast Center complex located on approximately 3.7 acres at 524 West 57th Street, New York, New York, which consists of approximately 860,000 square feet of office, studio and production space.</w:t>
      </w:r>
    </w:p>
    <w:p>
      <w:pPr>
        <w:spacing w:after="0" w:line="157" w:lineRule="exact"/>
        <w:rPr>
          <w:rFonts w:ascii="Arial" w:cs="Arial" w:eastAsia="Arial" w:hAnsi="Arial"/>
          <w:sz w:val="19"/>
          <w:szCs w:val="19"/>
          <w:color w:val="auto"/>
        </w:rPr>
      </w:pPr>
    </w:p>
    <w:p>
      <w:pPr>
        <w:jc w:val="both"/>
        <w:ind w:left="320" w:hanging="314"/>
        <w:spacing w:after="0" w:line="284" w:lineRule="auto"/>
        <w:tabs>
          <w:tab w:leader="none" w:pos="308"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9"/>
          <w:szCs w:val="19"/>
          <w:color w:val="auto"/>
        </w:rPr>
        <w:t>We lease approximately 150,000 square feet of office, studio and production space for the operations of KCAL-TV, KCBS-TV and the CBS News Bureau at the Radford Studio Lot in Studio City, California (formerly known as the CBS Studio Center), under a lease expiring in 2031.</w:t>
      </w:r>
    </w:p>
    <w:p>
      <w:pPr>
        <w:spacing w:after="0" w:line="382" w:lineRule="exact"/>
        <w:rPr>
          <w:rFonts w:ascii="Arial" w:cs="Arial" w:eastAsia="Arial" w:hAnsi="Arial"/>
          <w:sz w:val="19"/>
          <w:szCs w:val="19"/>
          <w:color w:val="auto"/>
        </w:rPr>
      </w:pPr>
    </w:p>
    <w:p>
      <w:pPr>
        <w:ind w:left="320" w:hanging="314"/>
        <w:spacing w:after="0" w:line="299" w:lineRule="auto"/>
        <w:tabs>
          <w:tab w:leader="none" w:pos="308"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9"/>
          <w:szCs w:val="19"/>
          <w:color w:val="auto"/>
        </w:rPr>
        <w:t>We lease approximately 184,000 square feet of office and production space at 555 West 57th Street, New York, New York, under a lease expiring in 2029.</w:t>
      </w:r>
    </w:p>
    <w:p>
      <w:pPr>
        <w:spacing w:after="0" w:line="143" w:lineRule="exact"/>
        <w:rPr>
          <w:rFonts w:ascii="Arial" w:cs="Arial" w:eastAsia="Arial" w:hAnsi="Arial"/>
          <w:sz w:val="19"/>
          <w:szCs w:val="19"/>
          <w:color w:val="auto"/>
        </w:rPr>
      </w:pPr>
    </w:p>
    <w:p>
      <w:pPr>
        <w:ind w:left="320" w:hanging="314"/>
        <w:spacing w:after="0" w:line="284" w:lineRule="auto"/>
        <w:tabs>
          <w:tab w:leader="none" w:pos="308"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9"/>
          <w:szCs w:val="19"/>
          <w:color w:val="auto"/>
        </w:rPr>
        <w:t>We lease approximately 210,000 square feet of office and production space at 1575 North Gower Street, Los Angeles, California, under a lease expiring in 2028.</w:t>
      </w:r>
    </w:p>
    <w:p>
      <w:pPr>
        <w:spacing w:after="0" w:line="157" w:lineRule="exact"/>
        <w:rPr>
          <w:rFonts w:ascii="Arial" w:cs="Arial" w:eastAsia="Arial" w:hAnsi="Arial"/>
          <w:sz w:val="19"/>
          <w:szCs w:val="19"/>
          <w:color w:val="auto"/>
        </w:rPr>
      </w:pPr>
    </w:p>
    <w:p>
      <w:pPr>
        <w:ind w:left="320" w:hanging="314"/>
        <w:spacing w:after="0" w:line="284" w:lineRule="auto"/>
        <w:tabs>
          <w:tab w:leader="none" w:pos="308"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9"/>
          <w:szCs w:val="19"/>
          <w:color w:val="auto"/>
        </w:rPr>
        <w:t>We own our Cloud Control Center and Network Operations Center in Hauppauge, New York, containing approximately 170,000 square feet of floor space on approximately 22 acres of 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44" w:name="page45"/>
    <w:bookmarkEnd w:id="44"/>
    <w:p>
      <w:pPr>
        <w:ind w:left="320" w:hanging="314"/>
        <w:spacing w:after="0" w:line="299" w:lineRule="auto"/>
        <w:tabs>
          <w:tab w:leader="none" w:pos="308" w:val="left"/>
        </w:tabs>
        <w:numPr>
          <w:ilvl w:val="0"/>
          <w:numId w:val="20"/>
        </w:numPr>
        <w:rPr>
          <w:rFonts w:ascii="Arial" w:cs="Arial" w:eastAsia="Arial" w:hAnsi="Arial"/>
          <w:sz w:val="19"/>
          <w:szCs w:val="19"/>
          <w:color w:val="auto"/>
        </w:rPr>
      </w:pPr>
      <w:r>
        <w:rPr>
          <w:rFonts w:ascii="Times New Roman" w:cs="Times New Roman" w:eastAsia="Times New Roman" w:hAnsi="Times New Roman"/>
          <w:sz w:val="19"/>
          <w:szCs w:val="19"/>
          <w:color w:val="auto"/>
        </w:rPr>
        <w:t>We own and lease approximately 373,000 square feet of office, studio, production and other ancillary space, as well as transmission facilities, in Buenos Aires, Argentina, under a lease expiring in 2028.</w:t>
      </w:r>
    </w:p>
    <w:p>
      <w:pPr>
        <w:spacing w:after="0" w:line="130" w:lineRule="exact"/>
        <w:rPr>
          <w:rFonts w:ascii="Arial" w:cs="Arial" w:eastAsia="Arial" w:hAnsi="Arial"/>
          <w:sz w:val="19"/>
          <w:szCs w:val="19"/>
          <w:color w:val="auto"/>
        </w:rPr>
      </w:pPr>
    </w:p>
    <w:p>
      <w:pPr>
        <w:ind w:left="320" w:hanging="314"/>
        <w:spacing w:after="0" w:line="299" w:lineRule="auto"/>
        <w:tabs>
          <w:tab w:leader="none" w:pos="308" w:val="left"/>
        </w:tabs>
        <w:numPr>
          <w:ilvl w:val="0"/>
          <w:numId w:val="20"/>
        </w:numPr>
        <w:rPr>
          <w:rFonts w:ascii="Arial" w:cs="Arial" w:eastAsia="Arial" w:hAnsi="Arial"/>
          <w:sz w:val="19"/>
          <w:szCs w:val="19"/>
          <w:color w:val="auto"/>
        </w:rPr>
      </w:pPr>
      <w:r>
        <w:rPr>
          <w:rFonts w:ascii="Times New Roman" w:cs="Times New Roman" w:eastAsia="Times New Roman" w:hAnsi="Times New Roman"/>
          <w:sz w:val="19"/>
          <w:szCs w:val="19"/>
          <w:color w:val="auto"/>
        </w:rPr>
        <w:t>We lease approximately 187,098 square feet of office, technical, warehouse and other ancillary space at Avenida Pedro Montt 2354, Santiago, Chile, under a lease expiring in 2025 with two renewal options of one year each.</w:t>
      </w:r>
    </w:p>
    <w:p>
      <w:pPr>
        <w:spacing w:after="0" w:line="130" w:lineRule="exact"/>
        <w:rPr>
          <w:rFonts w:ascii="Arial" w:cs="Arial" w:eastAsia="Arial" w:hAnsi="Arial"/>
          <w:sz w:val="19"/>
          <w:szCs w:val="19"/>
          <w:color w:val="auto"/>
        </w:rPr>
      </w:pPr>
    </w:p>
    <w:p>
      <w:pPr>
        <w:ind w:left="320" w:hanging="314"/>
        <w:spacing w:after="0" w:line="299" w:lineRule="auto"/>
        <w:tabs>
          <w:tab w:leader="none" w:pos="308" w:val="left"/>
        </w:tabs>
        <w:numPr>
          <w:ilvl w:val="0"/>
          <w:numId w:val="20"/>
        </w:numPr>
        <w:rPr>
          <w:rFonts w:ascii="Arial" w:cs="Arial" w:eastAsia="Arial" w:hAnsi="Arial"/>
          <w:sz w:val="19"/>
          <w:szCs w:val="19"/>
          <w:color w:val="auto"/>
        </w:rPr>
      </w:pPr>
      <w:r>
        <w:rPr>
          <w:rFonts w:ascii="Times New Roman" w:cs="Times New Roman" w:eastAsia="Times New Roman" w:hAnsi="Times New Roman"/>
          <w:sz w:val="19"/>
          <w:szCs w:val="19"/>
          <w:color w:val="auto"/>
        </w:rPr>
        <w:t>We own and lease approximately 140,000 square feet of office, studio and production space in London, England, under leases expiring in 2028.</w:t>
      </w:r>
    </w:p>
    <w:p>
      <w:pPr>
        <w:spacing w:after="0" w:line="143" w:lineRule="exact"/>
        <w:rPr>
          <w:rFonts w:ascii="Arial" w:cs="Arial" w:eastAsia="Arial" w:hAnsi="Arial"/>
          <w:sz w:val="19"/>
          <w:szCs w:val="19"/>
          <w:color w:val="auto"/>
        </w:rPr>
      </w:pPr>
    </w:p>
    <w:p>
      <w:pPr>
        <w:ind w:left="320" w:hanging="314"/>
        <w:spacing w:after="0" w:line="284" w:lineRule="auto"/>
        <w:tabs>
          <w:tab w:leader="none" w:pos="308" w:val="left"/>
        </w:tabs>
        <w:numPr>
          <w:ilvl w:val="0"/>
          <w:numId w:val="20"/>
        </w:numPr>
        <w:rPr>
          <w:rFonts w:ascii="Arial" w:cs="Arial" w:eastAsia="Arial" w:hAnsi="Arial"/>
          <w:sz w:val="19"/>
          <w:szCs w:val="19"/>
          <w:color w:val="auto"/>
        </w:rPr>
      </w:pPr>
      <w:r>
        <w:rPr>
          <w:rFonts w:ascii="Times New Roman" w:cs="Times New Roman" w:eastAsia="Times New Roman" w:hAnsi="Times New Roman"/>
          <w:sz w:val="19"/>
          <w:szCs w:val="19"/>
          <w:color w:val="auto"/>
        </w:rPr>
        <w:t>We lease approximately 118,000 square feet of office, studio, production and storage space at 1 Saunders Street, Pyrmont, New South Wales, Australia, under a lease expiring in 2033.</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Filmed Entertainment</w:t>
      </w:r>
    </w:p>
    <w:p>
      <w:pPr>
        <w:spacing w:after="0" w:line="223" w:lineRule="exact"/>
        <w:rPr>
          <w:sz w:val="20"/>
          <w:szCs w:val="20"/>
          <w:color w:val="auto"/>
        </w:rPr>
      </w:pPr>
    </w:p>
    <w:p>
      <w:pPr>
        <w:jc w:val="both"/>
        <w:ind w:left="320" w:hanging="314"/>
        <w:spacing w:after="0" w:line="280" w:lineRule="auto"/>
        <w:tabs>
          <w:tab w:leader="none" w:pos="308" w:val="left"/>
        </w:tabs>
        <w:numPr>
          <w:ilvl w:val="0"/>
          <w:numId w:val="21"/>
        </w:numPr>
        <w:rPr>
          <w:rFonts w:ascii="Arial" w:cs="Arial" w:eastAsia="Arial" w:hAnsi="Arial"/>
          <w:sz w:val="19"/>
          <w:szCs w:val="19"/>
          <w:color w:val="auto"/>
        </w:rPr>
      </w:pPr>
      <w:r>
        <w:rPr>
          <w:rFonts w:ascii="Times New Roman" w:cs="Times New Roman" w:eastAsia="Times New Roman" w:hAnsi="Times New Roman"/>
          <w:sz w:val="19"/>
          <w:szCs w:val="19"/>
          <w:color w:val="auto"/>
        </w:rPr>
        <w:t>We own the Paramount Pictures Studio lot at 5555 Melrose Avenue, Los Angeles, California, located on approximately 62 acres of land, and containing approximately 1.85 million square feet of floor space used for executive, administrative and business offices, sound stages, production facilities, theatres, equipment facilities and other ancillary uses.</w:t>
      </w:r>
    </w:p>
    <w:p>
      <w:pPr>
        <w:spacing w:after="0" w:line="148" w:lineRule="exact"/>
        <w:rPr>
          <w:rFonts w:ascii="Arial" w:cs="Arial" w:eastAsia="Arial" w:hAnsi="Arial"/>
          <w:sz w:val="19"/>
          <w:szCs w:val="19"/>
          <w:color w:val="auto"/>
        </w:rPr>
      </w:pPr>
    </w:p>
    <w:p>
      <w:pPr>
        <w:ind w:left="320" w:hanging="314"/>
        <w:spacing w:after="0" w:line="299" w:lineRule="auto"/>
        <w:tabs>
          <w:tab w:leader="none" w:pos="308" w:val="left"/>
        </w:tabs>
        <w:numPr>
          <w:ilvl w:val="0"/>
          <w:numId w:val="21"/>
        </w:numPr>
        <w:rPr>
          <w:rFonts w:ascii="Arial" w:cs="Arial" w:eastAsia="Arial" w:hAnsi="Arial"/>
          <w:sz w:val="19"/>
          <w:szCs w:val="19"/>
          <w:color w:val="auto"/>
        </w:rPr>
      </w:pPr>
      <w:r>
        <w:rPr>
          <w:rFonts w:ascii="Times New Roman" w:cs="Times New Roman" w:eastAsia="Times New Roman" w:hAnsi="Times New Roman"/>
          <w:sz w:val="19"/>
          <w:szCs w:val="19"/>
          <w:color w:val="auto"/>
        </w:rPr>
        <w:t>We lease in connection with our Nickelodeon animation studio approximately 180,000 square feet of studio and office space at 203-231 West Olive Avenue, Burbank, California, under two leases expiring in 2036.</w:t>
      </w:r>
    </w:p>
    <w:p>
      <w:pPr>
        <w:spacing w:after="0" w:line="166"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3.</w:t>
      </w:r>
      <w:r>
        <w:rPr>
          <w:sz w:val="20"/>
          <w:szCs w:val="20"/>
          <w:color w:val="auto"/>
        </w:rPr>
        <w:tab/>
      </w:r>
      <w:r>
        <w:rPr>
          <w:rFonts w:ascii="Times New Roman" w:cs="Times New Roman" w:eastAsia="Times New Roman" w:hAnsi="Times New Roman"/>
          <w:sz w:val="19"/>
          <w:szCs w:val="19"/>
          <w:b w:val="1"/>
          <w:bCs w:val="1"/>
          <w:i w:val="1"/>
          <w:iCs w:val="1"/>
          <w:color w:val="auto"/>
        </w:rPr>
        <w:t>Legal Proceedings.</w:t>
      </w:r>
    </w:p>
    <w:p>
      <w:pPr>
        <w:spacing w:after="0" w:line="200" w:lineRule="exact"/>
        <w:rPr>
          <w:sz w:val="20"/>
          <w:szCs w:val="20"/>
          <w:color w:val="auto"/>
        </w:rPr>
      </w:pPr>
    </w:p>
    <w:p>
      <w:pPr>
        <w:spacing w:after="0" w:line="341"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9"/>
          <w:szCs w:val="19"/>
          <w:color w:val="auto"/>
        </w:rPr>
        <w:t>The information set forth under the caption “Legal Matters” in Note 19 to the consolidated financial statements in “Item 8. Financial Statements and Supplementary Data — Notes to Consolidated Financial Statements” is incorporated herein by reference.</w:t>
      </w:r>
    </w:p>
    <w:p>
      <w:pPr>
        <w:spacing w:after="0" w:line="165"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4.</w:t>
      </w:r>
      <w:r>
        <w:rPr>
          <w:sz w:val="20"/>
          <w:szCs w:val="20"/>
          <w:color w:val="auto"/>
        </w:rPr>
        <w:tab/>
      </w:r>
      <w:r>
        <w:rPr>
          <w:rFonts w:ascii="Times New Roman" w:cs="Times New Roman" w:eastAsia="Times New Roman" w:hAnsi="Times New Roman"/>
          <w:sz w:val="19"/>
          <w:szCs w:val="19"/>
          <w:b w:val="1"/>
          <w:bCs w:val="1"/>
          <w:i w:val="1"/>
          <w:iCs w:val="1"/>
          <w:color w:val="auto"/>
        </w:rPr>
        <w:t>Mine Safety Disclosures.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9"/>
          <w:szCs w:val="19"/>
          <w:b w:val="1"/>
          <w:bCs w:val="1"/>
          <w:color w:val="auto"/>
        </w:rPr>
        <w:t>Part II</w:t>
      </w:r>
    </w:p>
    <w:p>
      <w:pPr>
        <w:spacing w:after="0" w:line="200" w:lineRule="exact"/>
        <w:rPr>
          <w:sz w:val="20"/>
          <w:szCs w:val="20"/>
          <w:color w:val="auto"/>
        </w:rPr>
      </w:pPr>
    </w:p>
    <w:p>
      <w:pPr>
        <w:spacing w:after="0" w:line="218" w:lineRule="exact"/>
        <w:rPr>
          <w:sz w:val="20"/>
          <w:szCs w:val="20"/>
          <w:color w:val="auto"/>
        </w:rPr>
      </w:pPr>
    </w:p>
    <w:p>
      <w:pPr>
        <w:ind w:left="180"/>
        <w:spacing w:after="0"/>
        <w:tabs>
          <w:tab w:leader="none" w:pos="1380" w:val="left"/>
        </w:tabs>
        <w:rPr>
          <w:sz w:val="20"/>
          <w:szCs w:val="20"/>
          <w:color w:val="auto"/>
        </w:rPr>
      </w:pPr>
      <w:r>
        <w:rPr>
          <w:rFonts w:ascii="Times New Roman" w:cs="Times New Roman" w:eastAsia="Times New Roman" w:hAnsi="Times New Roman"/>
          <w:sz w:val="19"/>
          <w:szCs w:val="19"/>
          <w:b w:val="1"/>
          <w:bCs w:val="1"/>
          <w:color w:val="auto"/>
        </w:rPr>
        <w:t>Item 5.</w:t>
      </w:r>
      <w:r>
        <w:rPr>
          <w:sz w:val="20"/>
          <w:szCs w:val="20"/>
          <w:color w:val="auto"/>
        </w:rPr>
        <w:tab/>
      </w:r>
      <w:r>
        <w:rPr>
          <w:rFonts w:ascii="Times New Roman" w:cs="Times New Roman" w:eastAsia="Times New Roman" w:hAnsi="Times New Roman"/>
          <w:sz w:val="19"/>
          <w:szCs w:val="19"/>
          <w:b w:val="1"/>
          <w:bCs w:val="1"/>
          <w:i w:val="1"/>
          <w:iCs w:val="1"/>
          <w:color w:val="auto"/>
        </w:rPr>
        <w:t>Market for Paramount Global’s Common Equity, Related Stockholder Matters and Purchases of Equity Securities.</w:t>
      </w:r>
    </w:p>
    <w:p>
      <w:pPr>
        <w:spacing w:after="0" w:line="39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Our voting Class A Common Stock and non-voting Class B Common Stock are listed and traded on The Nasdaq Stock Market LLC under the symbols “PARAA” and “PARA,” respectively.</w:t>
      </w:r>
    </w:p>
    <w:p>
      <w:pPr>
        <w:spacing w:after="0" w:line="18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Since the second quarter of 2023, we have declared a quarterly cash dividend of $.05 per share on our Class A and Class B Common Stock. We currently expect to continue to pay regular cash dividends to our common stockholders.</w:t>
      </w:r>
    </w:p>
    <w:p>
      <w:pPr>
        <w:spacing w:after="0" w:line="15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On April 1, 2024, each outstanding share of our 5.75% Series A Mandatory Convertible Preferred Stock (“Mandatory Convertible Preferred Stock”) automatically and mandatorily converted into 1.1765 shares of our Class B Common Stock. The final dividend on the Mandatory Convertible Preferred Stock was declared during the first quarter of 2024 and paid on April 1, 2024.</w:t>
      </w:r>
    </w:p>
    <w:p>
      <w:pPr>
        <w:spacing w:after="0" w:line="1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At December 31, 2024, the remaining authorization on our share repurchase program was $2.36 billion. Since the program was announced in November 2010, our Board of Directors has authorized, and we have announced a total of $17.9 billion for the repurchase of our common stock in open market purchases or other types of transactions (including accelerated stock repurchases or privately negotiated transactions). During the fourth quarter of 2024, we did not purchase any shares of our common stock.</w:t>
      </w:r>
    </w:p>
    <w:p>
      <w:pPr>
        <w:spacing w:after="0" w:line="187"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9"/>
          <w:szCs w:val="19"/>
          <w:color w:val="auto"/>
        </w:rPr>
        <w:t>As of February 21, 2025, there were 1,709 record holders of our Class A Common Stock and 23,466 record holders of our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9"/>
          <w:szCs w:val="19"/>
          <w:b w:val="1"/>
          <w:bCs w:val="1"/>
          <w:color w:val="auto"/>
        </w:rPr>
        <w:t>Performance Graph</w:t>
      </w:r>
    </w:p>
    <w:p>
      <w:pPr>
        <w:spacing w:after="0" w:line="15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The following graph compares the cumulative total stockholder return of our Class A and Class B Common Stock with the cumulative total return on the companies listed in the Standard &amp; Poor’s 500 Stock Index (“S&amp;P 500”) and the Standard &amp; Poor’s 500 Media and Entertainment Industry Group Index (“S&amp;P 500 Media and Entertainment Index”).</w:t>
      </w:r>
    </w:p>
    <w:p>
      <w:pPr>
        <w:spacing w:after="0" w:line="19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The performance graph assumes $100 invested on December 31, 2019 in each of our Class A and Class B Common Stock, the S&amp;P 500, and the S&amp;P 500 Media and Entertainment Index, including reinvestment of dividends, through the calendar year ended December 31, 2024.</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Total Cumulative Stockholder Return</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 Five-Year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102235</wp:posOffset>
            </wp:positionV>
            <wp:extent cx="5603240" cy="33655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03240" cy="3365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280" w:type="dxa"/>
        <w:tblCellMar>
          <w:top w:w="0" w:type="dxa"/>
          <w:left w:w="0" w:type="dxa"/>
          <w:bottom w:w="0" w:type="dxa"/>
          <w:right w:w="0" w:type="dxa"/>
        </w:tblCellMar>
      </w:tblPr>
      <w:tr>
        <w:trPr>
          <w:trHeight w:val="252"/>
        </w:trPr>
        <w:tc>
          <w:tcPr>
            <w:tcW w:w="38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70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13"/>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17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$87</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$79</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$48</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$49</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w:t>
            </w:r>
          </w:p>
        </w:tc>
      </w:tr>
      <w:tr>
        <w:trPr>
          <w:trHeight w:val="225"/>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17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$92</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$77</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$45</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w:t>
            </w:r>
          </w:p>
        </w:tc>
      </w:tr>
      <w:tr>
        <w:trPr>
          <w:trHeight w:val="225"/>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S&amp;P 500</w:t>
            </w:r>
          </w:p>
        </w:tc>
        <w:tc>
          <w:tcPr>
            <w:tcW w:w="17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$118</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$152</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$125</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$158</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$197</w:t>
            </w:r>
          </w:p>
        </w:tc>
      </w:tr>
      <w:tr>
        <w:trPr>
          <w:trHeight w:val="237"/>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S&amp;P 500 Media &amp; Entertainment Index</w:t>
            </w:r>
          </w:p>
        </w:tc>
        <w:tc>
          <w:tcPr>
            <w:tcW w:w="17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$131</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$166</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$93</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$154</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47" w:name="page48"/>
    <w:bookmarkEnd w:id="47"/>
    <w:p>
      <w:pPr>
        <w:ind w:left="20"/>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7.</w:t>
      </w:r>
      <w:r>
        <w:rPr>
          <w:sz w:val="20"/>
          <w:szCs w:val="20"/>
          <w:color w:val="auto"/>
        </w:rPr>
        <w:tab/>
      </w:r>
      <w:r>
        <w:rPr>
          <w:rFonts w:ascii="Times New Roman" w:cs="Times New Roman" w:eastAsia="Times New Roman" w:hAnsi="Times New Roman"/>
          <w:sz w:val="19"/>
          <w:szCs w:val="19"/>
          <w:b w:val="1"/>
          <w:bCs w:val="1"/>
          <w:i w:val="1"/>
          <w:iCs w:val="1"/>
          <w:color w:val="auto"/>
        </w:rPr>
        <w:t>Management’s Discussion and Analysis of Results of Operations and Financial Condition.</w:t>
      </w:r>
    </w:p>
    <w:p>
      <w:pPr>
        <w:spacing w:after="0" w:line="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b w:val="1"/>
          <w:bCs w:val="1"/>
          <w:i w:val="1"/>
          <w:iCs w:val="1"/>
          <w:color w:val="auto"/>
        </w:rPr>
        <w:t>(Tabular dollars in millions, except per share amounts)</w:t>
      </w:r>
    </w:p>
    <w:p>
      <w:pPr>
        <w:spacing w:after="0" w:line="21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Management’s discussion and analysis of the results of operations and financial condition of Paramount Global should be read in conjunction with our consolidated financial statements and related notes. References in this document to “Paramount,” the “Company,” “we,” “us” and “our” refer to Paramount Global and its consolidated subsidiaries, unless the context otherwise requires.</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i w:val="1"/>
          <w:iCs w:val="1"/>
          <w:color w:val="auto"/>
        </w:rPr>
        <w:t>Skydance Transactions</w:t>
      </w:r>
      <w:r>
        <w:rPr>
          <w:rFonts w:ascii="Times New Roman" w:cs="Times New Roman" w:eastAsia="Times New Roman" w:hAnsi="Times New Roman"/>
          <w:sz w:val="19"/>
          <w:szCs w:val="19"/>
          <w:color w:val="auto"/>
        </w:rPr>
        <w:t>—On July 7, 2024, Paramount entered into a transaction agreement (the “Transaction Agreement”) with Skydance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Media, LLC (“Skydance”) and other parties pursuant to which Paramount and Skydance will become subsidiaries of a new holding company, currently referred to as New Paramount (the transactions contemplated by the Transaction Agreement, the “Transactions”). Concurrent with the execution of the Transaction Agreement, certain affiliates of existing investors of Skydance (the “NAI Equity Investors”), including entities controlled by members of the Ellison Family, and affiliates of RedBird Capital Partners, entered into an agreement with National Amusements, Inc. (“NAI”), the controlling stockholder of the Company, to purchase all of the outstanding equity interests of NAI (the “NAI Transaction”). In addition, the NAI Equity Investors and certain other affiliates of investors of Skydance will make an investment of up to $6.0 billion into New Paramount in exchange for up to 400 million newly issued shares of Class B Common Stock of New Paramount (“New Paramount Class B Common Stock”), subject to ratable reduction, for a purchase price of $15.00 per share, and the NAI Equity Investors will also receive warrants to purchase 200 million shares of New Paramount Class B Common Stock at an initial exercise price of $30.50 per share (subject to customary anti-dilution adjustments), which expire five years after issuance. Up to $4.5 billion of the proceeds from this investment will be used to fund the cash-stock election discussed below and a minimum of $1.5 billion of cash (less a subscription discount of 1.875%) will remain at New Paramount. If the cash-stock elections are undersubscribed, up to an additional $1.5 billion (less a subscription discount of 1.875%) of the unused portion of the $4.5 billion will also remain at New Paramount.</w:t>
      </w:r>
    </w:p>
    <w:p>
      <w:pPr>
        <w:spacing w:after="0" w:line="19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 Transactions will also include: (1) a transaction pursuant to which existing Skydance investors will receive 317 million shares of New Paramount Class B Common Stock, and (2) a cash-stock election pursuant to which (a) shares of our Class A Common Stock held by stockholders other than NAI will be converted, at the stockholders’ election, into the right to receive either $23.00 in cash or 1.5333 shares of New Paramount Class B Common Stock, and (b) shares of our Class B Common Stock held by stockholders other than NAI, the NAI Equity Investors and certain other affiliates of investors of Skydance referred to above will be converted, at the stockholders’ election, into the right to receive either $15.00 in cash (subject to proration) or one share of New Paramount Class B Common Stock. The shares that are settled in cash will cease to exist after the completion of the Transactions.</w:t>
      </w:r>
    </w:p>
    <w:p>
      <w:pPr>
        <w:spacing w:after="0" w:line="20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Transactions are subject to customary closing conditions, including regulatory approvals, and are expected to close in the first half of 2025. Consummation of the foregoing transactions is also subject to the contemporaneous consummation of each other transaction described above. In the event of a termination of the Transaction Agreement under certain specified circumstances, we will be required to pay Skydance a termination fee in the amount of $400 million.</w:t>
      </w:r>
    </w:p>
    <w:p>
      <w:pPr>
        <w:spacing w:after="0" w:line="20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We have certain contracts that may require us to obtain consents from other parties in connection with the Transactions. If these consents cannot be obtained, the counterparties to these contracts (and, as a result, other third parties with which we have contractual agreements) may have the right to terminate, reduce the scope of or otherwise alter their relationships with New Paramount following the Transactions. Accordingly, the failure to obtain such consents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i w:val="1"/>
          <w:iCs w:val="1"/>
          <w:color w:val="auto"/>
        </w:rPr>
        <w:t>Leadership Changes</w:t>
      </w:r>
      <w:r>
        <w:rPr>
          <w:rFonts w:ascii="Times New Roman" w:cs="Times New Roman" w:eastAsia="Times New Roman" w:hAnsi="Times New Roman"/>
          <w:sz w:val="19"/>
          <w:szCs w:val="19"/>
          <w:color w:val="auto"/>
        </w:rPr>
        <w:t>—On April 29, 2024, the Board of Directors of the Company established an Office of the Chief Executive Officer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(“CEO”), consisting of the following three senior company executives who were appointed as co-CEOs: George Cheeks, President and Chief Executive Officer of CBS; Chris McCarthy, President and Chief Executive Officer, Showtime/MTV Entertainment Studios and Paramount Media Networks; and Brian Robbins, President and Chief Executive Officer of Paramount Pictures and Nickelodeon. On April 30, 2024, Robert M. Bakish stepped down as the Company’s President and Chief Executive Officer and resigned from the Board of Directors. Mr. Bakish remained employed with the Company as a Senior Advisor until October 31, 2024 to help ensure a seamless transition of his duties.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Significant components of management’s discussion and analysis of results of operations and financial condition include:</w:t>
      </w:r>
    </w:p>
    <w:p>
      <w:pPr>
        <w:spacing w:after="0" w:line="151" w:lineRule="exact"/>
        <w:rPr>
          <w:sz w:val="20"/>
          <w:szCs w:val="20"/>
          <w:color w:val="auto"/>
        </w:rPr>
      </w:pPr>
    </w:p>
    <w:p>
      <w:pPr>
        <w:ind w:left="640" w:hanging="157"/>
        <w:spacing w:after="0"/>
        <w:tabs>
          <w:tab w:leader="none" w:pos="64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Overview</w:t>
      </w:r>
      <w:r>
        <w:rPr>
          <w:rFonts w:ascii="Times New Roman" w:cs="Times New Roman" w:eastAsia="Times New Roman" w:hAnsi="Times New Roman"/>
          <w:sz w:val="19"/>
          <w:szCs w:val="19"/>
          <w:color w:val="auto"/>
        </w:rPr>
        <w:t>—Summary of our business and operational highlights.</w:t>
      </w:r>
    </w:p>
    <w:p>
      <w:pPr>
        <w:spacing w:after="0" w:line="126" w:lineRule="exact"/>
        <w:rPr>
          <w:rFonts w:ascii="Times New Roman" w:cs="Times New Roman" w:eastAsia="Times New Roman" w:hAnsi="Times New Roman"/>
          <w:sz w:val="19"/>
          <w:szCs w:val="19"/>
          <w:color w:val="auto"/>
        </w:rPr>
      </w:pPr>
    </w:p>
    <w:p>
      <w:pPr>
        <w:ind w:left="640" w:hanging="157"/>
        <w:spacing w:after="0" w:line="302" w:lineRule="auto"/>
        <w:tabs>
          <w:tab w:leader="none" w:pos="628"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Consolidated Results of Operations</w:t>
      </w:r>
      <w:r>
        <w:rPr>
          <w:rFonts w:ascii="Times New Roman" w:cs="Times New Roman" w:eastAsia="Times New Roman" w:hAnsi="Times New Roman"/>
          <w:sz w:val="19"/>
          <w:szCs w:val="19"/>
          <w:color w:val="auto"/>
        </w:rPr>
        <w:t>—Analysis of our results on a consolidated basis for the years ended December 31, 2024 and 2023,</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including a comparison of 2024 to 2023.</w:t>
      </w:r>
    </w:p>
    <w:p>
      <w:pPr>
        <w:spacing w:after="0" w:line="19" w:lineRule="exact"/>
        <w:rPr>
          <w:rFonts w:ascii="Times New Roman" w:cs="Times New Roman" w:eastAsia="Times New Roman" w:hAnsi="Times New Roman"/>
          <w:sz w:val="19"/>
          <w:szCs w:val="19"/>
          <w:color w:val="auto"/>
        </w:rPr>
      </w:pPr>
    </w:p>
    <w:p>
      <w:pPr>
        <w:ind w:left="640" w:hanging="157"/>
        <w:spacing w:after="0" w:line="302" w:lineRule="auto"/>
        <w:tabs>
          <w:tab w:leader="none" w:pos="628"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Segment Results of Operations</w:t>
      </w:r>
      <w:r>
        <w:rPr>
          <w:rFonts w:ascii="Times New Roman" w:cs="Times New Roman" w:eastAsia="Times New Roman" w:hAnsi="Times New Roman"/>
          <w:sz w:val="19"/>
          <w:szCs w:val="19"/>
          <w:color w:val="auto"/>
        </w:rPr>
        <w:t>—Analysis of our results on a reportable segment basis for the years ended December 31, 2024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2023, including comparisons of 2024 to 2023.</w:t>
      </w:r>
    </w:p>
    <w:p>
      <w:pPr>
        <w:spacing w:after="0" w:line="19" w:lineRule="exact"/>
        <w:rPr>
          <w:rFonts w:ascii="Times New Roman" w:cs="Times New Roman" w:eastAsia="Times New Roman" w:hAnsi="Times New Roman"/>
          <w:sz w:val="19"/>
          <w:szCs w:val="19"/>
          <w:color w:val="auto"/>
        </w:rPr>
      </w:pPr>
    </w:p>
    <w:p>
      <w:pPr>
        <w:ind w:left="640" w:hanging="157"/>
        <w:spacing w:after="0" w:line="302" w:lineRule="auto"/>
        <w:tabs>
          <w:tab w:leader="none" w:pos="628"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Liquidity and Capital Resources</w:t>
      </w:r>
      <w:r>
        <w:rPr>
          <w:rFonts w:ascii="Times New Roman" w:cs="Times New Roman" w:eastAsia="Times New Roman" w:hAnsi="Times New Roman"/>
          <w:sz w:val="19"/>
          <w:szCs w:val="19"/>
          <w:color w:val="auto"/>
        </w:rPr>
        <w:t>—Discussions of our cash flows, including sources and uses of cash, for the years ended December 31,</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2024 and 2023, and of our outstanding debt, commitments and contingencies as of December 31, 2024.</w:t>
      </w:r>
    </w:p>
    <w:p>
      <w:pPr>
        <w:spacing w:after="0" w:line="33" w:lineRule="exact"/>
        <w:rPr>
          <w:rFonts w:ascii="Times New Roman" w:cs="Times New Roman" w:eastAsia="Times New Roman" w:hAnsi="Times New Roman"/>
          <w:sz w:val="19"/>
          <w:szCs w:val="19"/>
          <w:color w:val="auto"/>
        </w:rPr>
      </w:pPr>
    </w:p>
    <w:p>
      <w:pPr>
        <w:ind w:left="640" w:hanging="157"/>
        <w:spacing w:after="0" w:line="287" w:lineRule="auto"/>
        <w:tabs>
          <w:tab w:leader="none" w:pos="628"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Critical Accounting Estimates</w:t>
      </w:r>
      <w:r>
        <w:rPr>
          <w:rFonts w:ascii="Times New Roman" w:cs="Times New Roman" w:eastAsia="Times New Roman" w:hAnsi="Times New Roman"/>
          <w:sz w:val="19"/>
          <w:szCs w:val="19"/>
          <w:color w:val="auto"/>
        </w:rPr>
        <w:t>—Detail with respect to accounting policies that are considered by management to require significant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judgment and use of estimates and that could have a material impact on our financial statements.</w:t>
      </w:r>
    </w:p>
    <w:p>
      <w:pPr>
        <w:spacing w:after="0" w:line="47" w:lineRule="exact"/>
        <w:rPr>
          <w:rFonts w:ascii="Times New Roman" w:cs="Times New Roman" w:eastAsia="Times New Roman" w:hAnsi="Times New Roman"/>
          <w:sz w:val="19"/>
          <w:szCs w:val="19"/>
          <w:color w:val="auto"/>
        </w:rPr>
      </w:pPr>
    </w:p>
    <w:p>
      <w:pPr>
        <w:ind w:left="640" w:hanging="157"/>
        <w:spacing w:after="0"/>
        <w:tabs>
          <w:tab w:leader="none" w:pos="64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Legal Matters</w:t>
      </w:r>
      <w:r>
        <w:rPr>
          <w:rFonts w:ascii="Times New Roman" w:cs="Times New Roman" w:eastAsia="Times New Roman" w:hAnsi="Times New Roman"/>
          <w:sz w:val="19"/>
          <w:szCs w:val="19"/>
          <w:color w:val="auto"/>
        </w:rPr>
        <w:t>—Discussion of legal matters to which we are involved.</w:t>
      </w:r>
    </w:p>
    <w:p>
      <w:pPr>
        <w:spacing w:after="0" w:line="112" w:lineRule="exact"/>
        <w:rPr>
          <w:rFonts w:ascii="Times New Roman" w:cs="Times New Roman" w:eastAsia="Times New Roman" w:hAnsi="Times New Roman"/>
          <w:sz w:val="19"/>
          <w:szCs w:val="19"/>
          <w:color w:val="auto"/>
        </w:rPr>
      </w:pPr>
    </w:p>
    <w:p>
      <w:pPr>
        <w:ind w:left="640" w:hanging="157"/>
        <w:spacing w:after="0"/>
        <w:tabs>
          <w:tab w:leader="none" w:pos="64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Market Risk</w:t>
      </w:r>
      <w:r>
        <w:rPr>
          <w:rFonts w:ascii="Times New Roman" w:cs="Times New Roman" w:eastAsia="Times New Roman" w:hAnsi="Times New Roman"/>
          <w:sz w:val="19"/>
          <w:szCs w:val="19"/>
          <w:color w:val="auto"/>
        </w:rPr>
        <w:t>—Discussion of how we manage exposure to market and interest rate risks.</w:t>
      </w:r>
    </w:p>
    <w:p>
      <w:pPr>
        <w:spacing w:after="0" w:line="19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An analysis of our results for the year ended December 31, 2022, including comparisons of 2023 to 2022 and a discussion of our cash flows for the year ended December 31, 2022, is included in “Item 7 - Management's Discussion and Analysis of Financial Condition and Result of Operations” of our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Overview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Operational Highlights 2024 vs. 2023</w:t>
      </w:r>
    </w:p>
    <w:p>
      <w:pPr>
        <w:spacing w:after="0" w:line="197" w:lineRule="exact"/>
        <w:rPr>
          <w:sz w:val="20"/>
          <w:szCs w:val="20"/>
          <w:color w:val="auto"/>
        </w:rPr>
      </w:pPr>
    </w:p>
    <w:tbl>
      <w:tblPr>
        <w:tblLayout w:type="fixed"/>
        <w:tblInd w:w="540" w:type="dxa"/>
        <w:tblCellMar>
          <w:top w:w="0" w:type="dxa"/>
          <w:left w:w="0" w:type="dxa"/>
          <w:bottom w:w="0" w:type="dxa"/>
          <w:right w:w="0" w:type="dxa"/>
        </w:tblCellMar>
      </w:tblPr>
      <w:tr>
        <w:trPr>
          <w:trHeight w:val="245"/>
        </w:trPr>
        <w:tc>
          <w:tcPr>
            <w:tcW w:w="4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tc>
        <w:tc>
          <w:tcPr>
            <w:tcW w:w="10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140" w:type="dxa"/>
            <w:vAlign w:val="bottom"/>
            <w:tcBorders>
              <w:top w:val="single" w:sz="8" w:color="auto"/>
            </w:tcBorders>
            <w:gridSpan w:val="2"/>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2"/>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GAAP:</w:t>
            </w: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5"/>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29,213</w:t>
            </w:r>
          </w:p>
        </w:tc>
        <w:tc>
          <w:tcPr>
            <w:tcW w:w="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29,652</w:t>
            </w: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(439)</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(5,269)</w:t>
            </w:r>
          </w:p>
        </w:tc>
        <w:tc>
          <w:tcPr>
            <w:tcW w:w="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(451)</w:t>
            </w: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(4,818)</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n/m</w:t>
            </w:r>
          </w:p>
        </w:tc>
      </w:tr>
      <w:tr>
        <w:trPr>
          <w:trHeight w:val="177"/>
        </w:trPr>
        <w:tc>
          <w:tcPr>
            <w:tcW w:w="440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Net earnings (loss) from continuing operations</w:t>
            </w: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3"/>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 Paramount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(6,204)</w:t>
            </w:r>
          </w:p>
        </w:tc>
        <w:tc>
          <w:tcPr>
            <w:tcW w:w="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(1,284)</w:t>
            </w: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(4,920)</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n/m</w:t>
            </w:r>
          </w:p>
        </w:tc>
      </w:tr>
      <w:tr>
        <w:trPr>
          <w:trHeight w:val="231"/>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EPS from continuing operations</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(9.36)</w:t>
            </w:r>
          </w:p>
        </w:tc>
        <w:tc>
          <w:tcPr>
            <w:tcW w:w="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(2.06)</w:t>
            </w: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(7.30)</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n/m</w:t>
            </w:r>
          </w:p>
        </w:tc>
      </w:tr>
      <w:tr>
        <w:trPr>
          <w:trHeight w:val="325"/>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Non-GAAP: </w:t>
            </w:r>
            <w:r>
              <w:rPr>
                <w:rFonts w:ascii="Times New Roman" w:cs="Times New Roman" w:eastAsia="Times New Roman" w:hAnsi="Times New Roman"/>
                <w:sz w:val="22"/>
                <w:szCs w:val="22"/>
                <w:i w:val="1"/>
                <w:iCs w:val="1"/>
                <w:color w:val="auto"/>
                <w:vertAlign w:val="superscript"/>
              </w:rPr>
              <w:t>(a)</w:t>
            </w: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5"/>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OIBDA</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3,118</w:t>
            </w:r>
          </w:p>
        </w:tc>
        <w:tc>
          <w:tcPr>
            <w:tcW w:w="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2,390</w:t>
            </w: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728</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30 %</w:t>
            </w:r>
          </w:p>
        </w:tc>
      </w:tr>
      <w:tr>
        <w:trPr>
          <w:trHeight w:val="177"/>
        </w:trPr>
        <w:tc>
          <w:tcPr>
            <w:tcW w:w="440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Adjusted net earnings from continuing operations</w:t>
            </w: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3"/>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 Paramount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1,041</w:t>
            </w:r>
          </w:p>
        </w:tc>
        <w:tc>
          <w:tcPr>
            <w:tcW w:w="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400</w:t>
            </w: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641</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160 %</w:t>
            </w:r>
          </w:p>
        </w:tc>
      </w:tr>
      <w:tr>
        <w:trPr>
          <w:trHeight w:val="237"/>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diluted EPS from continuing operations</w:t>
            </w: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1.54</w:t>
            </w:r>
          </w:p>
        </w:tc>
        <w:tc>
          <w:tcPr>
            <w:tcW w:w="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.52</w:t>
            </w:r>
          </w:p>
        </w:tc>
        <w:tc>
          <w:tcPr>
            <w:tcW w:w="4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1.02</w:t>
            </w:r>
          </w:p>
        </w:tc>
        <w:tc>
          <w:tcPr>
            <w:tcW w:w="10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196 %</w:t>
            </w:r>
          </w:p>
        </w:tc>
      </w:tr>
    </w:tbl>
    <w:p>
      <w:pPr>
        <w:spacing w:after="0" w:line="1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66" w:lineRule="exact"/>
        <w:rPr>
          <w:sz w:val="20"/>
          <w:szCs w:val="20"/>
          <w:color w:val="auto"/>
        </w:rPr>
      </w:pPr>
    </w:p>
    <w:p>
      <w:pPr>
        <w:jc w:val="both"/>
        <w:ind w:left="800" w:right="640" w:hanging="238"/>
        <w:spacing w:after="0" w:line="267" w:lineRule="auto"/>
        <w:tabs>
          <w:tab w:leader="none" w:pos="787"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items identified as affecting comparability are excluded in non-GAAP results. See “</w:t>
      </w:r>
      <w:r>
        <w:rPr>
          <w:rFonts w:ascii="Times New Roman" w:cs="Times New Roman" w:eastAsia="Times New Roman" w:hAnsi="Times New Roman"/>
          <w:sz w:val="16"/>
          <w:szCs w:val="16"/>
          <w:i w:val="1"/>
          <w:iCs w:val="1"/>
          <w:color w:val="auto"/>
        </w:rPr>
        <w:t>Reconciliation of Non-GAAP Measures</w:t>
      </w:r>
      <w:r>
        <w:rPr>
          <w:rFonts w:ascii="Times New Roman" w:cs="Times New Roman" w:eastAsia="Times New Roman" w:hAnsi="Times New Roman"/>
          <w:sz w:val="16"/>
          <w:szCs w:val="16"/>
          <w:color w:val="auto"/>
        </w:rPr>
        <w:t>” for details of these items and reconciliations of non-GAAP results to the most directly comparable financial measures in accordance with accounting principles generally accepted in the United States (“U.S. GAAP” or “GAAP”).</w:t>
      </w:r>
    </w:p>
    <w:p>
      <w:pPr>
        <w:spacing w:after="0" w:line="16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 xml:space="preserve">Revenues decreased 1% to $29.21 billion, reflecting lower revenue from licensing, partially offset by increases in advertising revenues, including the benefit from CBS’ broadcast of </w:t>
      </w:r>
      <w:r>
        <w:rPr>
          <w:rFonts w:ascii="Times New Roman" w:cs="Times New Roman" w:eastAsia="Times New Roman" w:hAnsi="Times New Roman"/>
          <w:sz w:val="19"/>
          <w:szCs w:val="19"/>
          <w:i w:val="1"/>
          <w:iCs w:val="1"/>
          <w:color w:val="auto"/>
        </w:rPr>
        <w:t>Super Bowl LVIII</w:t>
      </w:r>
      <w:r>
        <w:rPr>
          <w:rFonts w:ascii="Times New Roman" w:cs="Times New Roman" w:eastAsia="Times New Roman" w:hAnsi="Times New Roman"/>
          <w:sz w:val="19"/>
          <w:szCs w:val="19"/>
          <w:color w:val="auto"/>
        </w:rPr>
        <w:t xml:space="preserve"> in 2024, and affiliate and subscription revenues, driven by growth at our streaming services. We have the rights to broadcast the Super Bowl on a rotational basis with other networks and therefore did not have a comparable broadcast in 2023.</w:t>
      </w:r>
    </w:p>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 xml:space="preserve">We reported an operating loss of $5.27 billion compared with an operating loss of $451 million for the prior year. The operating loss in 2024 included impairment charges totaling $6.13 billion, programming charges of $1.12 billion, and restructuring charges, transaction-related items, and other corporate matters totaling $747 million, while 2023 included programming charges of $2.37 billion. Adjusted operating income before depreciation and amortization (“Adjusted OIBDA”), which excludes these items as well as other items described under </w:t>
      </w:r>
      <w:r>
        <w:rPr>
          <w:rFonts w:ascii="Times New Roman" w:cs="Times New Roman" w:eastAsia="Times New Roman" w:hAnsi="Times New Roman"/>
          <w:sz w:val="19"/>
          <w:szCs w:val="19"/>
          <w:i w:val="1"/>
          <w:iCs w:val="1"/>
          <w:color w:val="auto"/>
        </w:rPr>
        <w:t>Reconciliation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Non-GAAP Measures</w:t>
      </w:r>
      <w:r>
        <w:rPr>
          <w:rFonts w:ascii="Times New Roman" w:cs="Times New Roman" w:eastAsia="Times New Roman" w:hAnsi="Times New Roman"/>
          <w:sz w:val="19"/>
          <w:szCs w:val="19"/>
          <w:color w:val="auto"/>
        </w:rPr>
        <w:t>, increased 30% to $3.12 billion, driven by improved results at our streaming services, partially offset by declines at our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linear networks.</w:t>
      </w:r>
    </w:p>
    <w:p>
      <w:pPr>
        <w:spacing w:after="0" w:line="2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 xml:space="preserve">For 2024, we reported a net loss from continuing operations attributable to Paramount of $6.20 billion, or $9.36 per diluted share, compared with a net loss from continuing operations attributable to Paramount of $1.28 billion, or $2.06 per diluted share, for the prior year. The comparison was impacted by the charges noted above and the other items described under </w:t>
      </w:r>
      <w:r>
        <w:rPr>
          <w:rFonts w:ascii="Times New Roman" w:cs="Times New Roman" w:eastAsia="Times New Roman" w:hAnsi="Times New Roman"/>
          <w:sz w:val="19"/>
          <w:szCs w:val="19"/>
          <w:i w:val="1"/>
          <w:iCs w:val="1"/>
          <w:color w:val="auto"/>
        </w:rPr>
        <w:t>Reconciliation of Non-GAAP Measures</w:t>
      </w:r>
      <w:r>
        <w:rPr>
          <w:rFonts w:ascii="Times New Roman" w:cs="Times New Roman" w:eastAsia="Times New Roman" w:hAnsi="Times New Roman"/>
          <w:sz w:val="19"/>
          <w:szCs w:val="19"/>
          <w:color w:val="auto"/>
        </w:rPr>
        <w:t>. These items have been excluded in adjusted net earnings from continuing operations attributable to Paramount and adjusted diluted EPS, which improved by $641 million and $1.02 per diluted share, respectively, primarily reflecting the higher tax-effected Adjusted OIBDA, lower interest expense and a lower loss on equity investments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Reconciliation of Non-GAAP Measures</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Adjusted OIBDA, adjusted earnings from continuing operations before income taxes, adjusted provision for income taxes, adjusted net earnings from continuing operations attributable to Paramount, adjusted diluted EPS from continuing operations, and adjusted effective income tax rate, which are measures of performance not calculated in accordance with U.S. GAAP (together, the “adjusted measures”), exclude certain items identified as affecting comparability that are not part of our normal operations, including restructuring charges, transaction-related items, other corporate matters, programming charges, and impairment charges, each where applicable. Programming charges consist only of charges related to major strategic changes, which are further described under </w:t>
      </w:r>
      <w:r>
        <w:rPr>
          <w:rFonts w:ascii="Times New Roman" w:cs="Times New Roman" w:eastAsia="Times New Roman" w:hAnsi="Times New Roman"/>
          <w:sz w:val="19"/>
          <w:szCs w:val="19"/>
          <w:i w:val="1"/>
          <w:iCs w:val="1"/>
          <w:color w:val="auto"/>
        </w:rPr>
        <w:t>Programming Charges</w:t>
      </w:r>
      <w:r>
        <w:rPr>
          <w:rFonts w:ascii="Times New Roman" w:cs="Times New Roman" w:eastAsia="Times New Roman" w:hAnsi="Times New Roman"/>
          <w:sz w:val="19"/>
          <w:szCs w:val="19"/>
          <w:color w:val="auto"/>
        </w:rPr>
        <w:t>, and do not include impairment charges that occur as part of our normal operations, which are recorded within “Operating expenses” on the Consolidated Statements of Operations, and are not excluded in our adjusted measures.</w:t>
      </w:r>
    </w:p>
    <w:p>
      <w:pPr>
        <w:spacing w:after="0" w:line="2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We use these measures to, among other things, evaluate our operating performance. These measures are among the primary measures used by management for planning and forecasting of future periods, and they are important indicators of our operational strength and business performance. In addition, we use Adjusted OIBDA to, among other things, value prospective acquisitions. We believe these measures are relevant and useful for investors because they allow investors to view performance in a manner similar to the method used by our management; and because they exclude items that are not representative of our normal, recurring operations, they provide a clearer perspective on our underlying performance; and make it easier for investors, analysts and peers to compare our operating performance to other companies in our industry and to compare our year-over-year results.</w:t>
      </w:r>
    </w:p>
    <w:p>
      <w:pPr>
        <w:spacing w:after="0" w:line="1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Because the adjusted measures are measures of performance not calculated in accordance with U.S. GAAP, they should not be considered in isolation of, or as a substitute for, operating income (loss), earnings (loss) from continuing operations before income taxes, (provision for) benefit from income taxes, net earnings (loss) from continuing operations attributable to Paramount, diluted EPS from continuing operations, and effective income tax rate, as applicable, as indicators of operating performance. These measures, as we calculate them, may not be comparable to similarly titled measures employed by other companies.</w:t>
      </w:r>
    </w:p>
    <w:p>
      <w:pPr>
        <w:spacing w:after="0" w:line="18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The following tables reconcile the adjusted measures to their most directly comparable financial measures in accordance with U.S. GAAP. The tax impacts on the items identified as affecting comparability in the tables below have been calculated using the tax rate applicable to each item.</w:t>
      </w:r>
    </w:p>
    <w:p>
      <w:pPr>
        <w:spacing w:after="0" w:line="93" w:lineRule="exact"/>
        <w:rPr>
          <w:sz w:val="20"/>
          <w:szCs w:val="20"/>
          <w:color w:val="auto"/>
        </w:rPr>
      </w:pPr>
    </w:p>
    <w:tbl>
      <w:tblPr>
        <w:tblLayout w:type="fixed"/>
        <w:tblInd w:w="700" w:type="dxa"/>
        <w:tblCellMar>
          <w:top w:w="0" w:type="dxa"/>
          <w:left w:w="0" w:type="dxa"/>
          <w:bottom w:w="0" w:type="dxa"/>
          <w:right w:w="0" w:type="dxa"/>
        </w:tblCellMar>
      </w:tblPr>
      <w:tr>
        <w:trPr>
          <w:trHeight w:val="252"/>
        </w:trPr>
        <w:tc>
          <w:tcPr>
            <w:tcW w:w="48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7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(GAAP)</w:t>
            </w:r>
          </w:p>
        </w:tc>
        <w:tc>
          <w:tcPr>
            <w:tcW w:w="27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(5,269)</w:t>
            </w:r>
          </w:p>
        </w:tc>
        <w:tc>
          <w:tcPr>
            <w:tcW w:w="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22"/>
        </w:trPr>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72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392</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25"/>
        </w:trPr>
        <w:tc>
          <w:tcPr>
            <w:tcW w:w="4840" w:type="dxa"/>
            <w:vAlign w:val="bottom"/>
          </w:tcPr>
          <w:p>
            <w:pPr>
              <w:ind w:left="220"/>
              <w:spacing w:after="0" w:line="225" w:lineRule="exact"/>
              <w:rPr>
                <w:sz w:val="20"/>
                <w:szCs w:val="20"/>
                <w:color w:val="auto"/>
              </w:rPr>
            </w:pPr>
            <w:r>
              <w:rPr>
                <w:rFonts w:ascii="Times New Roman" w:cs="Times New Roman" w:eastAsia="Times New Roman" w:hAnsi="Times New Roman"/>
                <w:sz w:val="18"/>
                <w:szCs w:val="18"/>
                <w:color w:val="auto"/>
              </w:rPr>
              <w:t xml:space="preserve">Programming charges </w:t>
            </w:r>
            <w:r>
              <w:rPr>
                <w:rFonts w:ascii="Times New Roman" w:cs="Times New Roman" w:eastAsia="Times New Roman" w:hAnsi="Times New Roman"/>
                <w:sz w:val="22"/>
                <w:szCs w:val="22"/>
                <w:color w:val="auto"/>
                <w:vertAlign w:val="superscript"/>
              </w:rPr>
              <w:t>(a)</w:t>
            </w:r>
          </w:p>
        </w:tc>
        <w:tc>
          <w:tcPr>
            <w:tcW w:w="272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1,118</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w:t>
            </w:r>
          </w:p>
        </w:tc>
      </w:tr>
      <w:tr>
        <w:trPr>
          <w:trHeight w:val="225"/>
        </w:trPr>
        <w:tc>
          <w:tcPr>
            <w:tcW w:w="4840" w:type="dxa"/>
            <w:vAlign w:val="bottom"/>
          </w:tcPr>
          <w:p>
            <w:pPr>
              <w:ind w:left="220"/>
              <w:spacing w:after="0" w:line="225" w:lineRule="exact"/>
              <w:rPr>
                <w:sz w:val="20"/>
                <w:szCs w:val="20"/>
                <w:color w:val="auto"/>
              </w:rPr>
            </w:pPr>
            <w:r>
              <w:rPr>
                <w:rFonts w:ascii="Times New Roman" w:cs="Times New Roman" w:eastAsia="Times New Roman" w:hAnsi="Times New Roman"/>
                <w:sz w:val="18"/>
                <w:szCs w:val="18"/>
                <w:color w:val="auto"/>
              </w:rPr>
              <w:t xml:space="preserve">Impairment charges </w:t>
            </w:r>
            <w:r>
              <w:rPr>
                <w:rFonts w:ascii="Times New Roman" w:cs="Times New Roman" w:eastAsia="Times New Roman" w:hAnsi="Times New Roman"/>
                <w:sz w:val="22"/>
                <w:szCs w:val="22"/>
                <w:color w:val="auto"/>
                <w:vertAlign w:val="superscript"/>
              </w:rPr>
              <w:t>(a)</w:t>
            </w:r>
          </w:p>
        </w:tc>
        <w:tc>
          <w:tcPr>
            <w:tcW w:w="272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6,130</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5"/>
        </w:trPr>
        <w:tc>
          <w:tcPr>
            <w:tcW w:w="4840" w:type="dxa"/>
            <w:vAlign w:val="bottom"/>
          </w:tcPr>
          <w:p>
            <w:pPr>
              <w:ind w:left="220"/>
              <w:spacing w:after="0" w:line="225" w:lineRule="exact"/>
              <w:rPr>
                <w:sz w:val="20"/>
                <w:szCs w:val="20"/>
                <w:color w:val="auto"/>
              </w:rPr>
            </w:pPr>
            <w:r>
              <w:rPr>
                <w:rFonts w:ascii="Times New Roman" w:cs="Times New Roman" w:eastAsia="Times New Roman" w:hAnsi="Times New Roman"/>
                <w:sz w:val="18"/>
                <w:szCs w:val="18"/>
                <w:color w:val="auto"/>
              </w:rPr>
              <w:t xml:space="preserve">Restructuring charges </w:t>
            </w:r>
            <w:r>
              <w:rPr>
                <w:rFonts w:ascii="Times New Roman" w:cs="Times New Roman" w:eastAsia="Times New Roman" w:hAnsi="Times New Roman"/>
                <w:sz w:val="22"/>
                <w:szCs w:val="22"/>
                <w:color w:val="auto"/>
                <w:vertAlign w:val="superscript"/>
              </w:rPr>
              <w:t>(a)</w:t>
            </w:r>
          </w:p>
        </w:tc>
        <w:tc>
          <w:tcPr>
            <w:tcW w:w="272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554</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5"/>
        </w:trPr>
        <w:tc>
          <w:tcPr>
            <w:tcW w:w="4840" w:type="dxa"/>
            <w:vAlign w:val="bottom"/>
          </w:tcPr>
          <w:p>
            <w:pPr>
              <w:ind w:left="220"/>
              <w:spacing w:after="0" w:line="225" w:lineRule="exact"/>
              <w:rPr>
                <w:sz w:val="20"/>
                <w:szCs w:val="20"/>
                <w:color w:val="auto"/>
              </w:rPr>
            </w:pPr>
            <w:r>
              <w:rPr>
                <w:rFonts w:ascii="Times New Roman" w:cs="Times New Roman" w:eastAsia="Times New Roman" w:hAnsi="Times New Roman"/>
                <w:sz w:val="18"/>
                <w:szCs w:val="18"/>
                <w:color w:val="auto"/>
              </w:rPr>
              <w:t xml:space="preserve">Transaction-related items </w:t>
            </w:r>
            <w:r>
              <w:rPr>
                <w:rFonts w:ascii="Times New Roman" w:cs="Times New Roman" w:eastAsia="Times New Roman" w:hAnsi="Times New Roman"/>
                <w:sz w:val="22"/>
                <w:szCs w:val="22"/>
                <w:color w:val="auto"/>
                <w:vertAlign w:val="superscript"/>
              </w:rPr>
              <w:t>(a)</w:t>
            </w:r>
          </w:p>
        </w:tc>
        <w:tc>
          <w:tcPr>
            <w:tcW w:w="272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62</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33"/>
        </w:trPr>
        <w:tc>
          <w:tcPr>
            <w:tcW w:w="4840" w:type="dxa"/>
            <w:vAlign w:val="bottom"/>
            <w:tcBorders>
              <w:bottom w:val="single" w:sz="8" w:color="auto"/>
            </w:tcBorders>
          </w:tcPr>
          <w:p>
            <w:pPr>
              <w:ind w:left="220"/>
              <w:spacing w:after="0" w:line="233" w:lineRule="exact"/>
              <w:rPr>
                <w:sz w:val="20"/>
                <w:szCs w:val="20"/>
                <w:color w:val="auto"/>
              </w:rPr>
            </w:pPr>
            <w:r>
              <w:rPr>
                <w:rFonts w:ascii="Times New Roman" w:cs="Times New Roman" w:eastAsia="Times New Roman" w:hAnsi="Times New Roman"/>
                <w:sz w:val="18"/>
                <w:szCs w:val="18"/>
                <w:color w:val="auto"/>
              </w:rPr>
              <w:t xml:space="preserve">Other corporate matters </w:t>
            </w:r>
            <w:r>
              <w:rPr>
                <w:rFonts w:ascii="Times New Roman" w:cs="Times New Roman" w:eastAsia="Times New Roman" w:hAnsi="Times New Roman"/>
                <w:sz w:val="22"/>
                <w:szCs w:val="22"/>
                <w:color w:val="auto"/>
                <w:vertAlign w:val="superscript"/>
              </w:rPr>
              <w:t>(a)</w:t>
            </w: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131</w:t>
            </w: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5"/>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OIBDA (Non-GAAP)</w:t>
            </w:r>
          </w:p>
        </w:tc>
        <w:tc>
          <w:tcPr>
            <w:tcW w:w="27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3,118</w:t>
            </w:r>
          </w:p>
        </w:tc>
        <w:tc>
          <w:tcPr>
            <w:tcW w:w="3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w:t>
            </w:r>
          </w:p>
        </w:tc>
      </w:tr>
    </w:tbl>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(a) See notes on the following tables for additional information on items affecting comparability.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2" w:lineRule="exact"/>
        <w:rPr>
          <w:sz w:val="20"/>
          <w:szCs w:val="20"/>
          <w:color w:val="auto"/>
        </w:rPr>
      </w:pPr>
    </w:p>
    <w:tbl>
      <w:tblPr>
        <w:tblLayout w:type="fixed"/>
        <w:tblInd w:w="240" w:type="dxa"/>
        <w:tblCellMar>
          <w:top w:w="0" w:type="dxa"/>
          <w:left w:w="0" w:type="dxa"/>
          <w:bottom w:w="0" w:type="dxa"/>
          <w:right w:w="0" w:type="dxa"/>
        </w:tblCellMar>
      </w:tblPr>
      <w:tr>
        <w:trPr>
          <w:trHeight w:val="252"/>
        </w:trPr>
        <w:tc>
          <w:tcPr>
            <w:tcW w:w="4060" w:type="dxa"/>
            <w:vAlign w:val="bottom"/>
            <w:tcBorders>
              <w:top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2800" w:type="dxa"/>
            <w:vAlign w:val="bottom"/>
            <w:tcBorders>
              <w:top w:val="single" w:sz="8" w:color="auto"/>
              <w:bottom w:val="single" w:sz="8" w:color="auto"/>
            </w:tcBorders>
            <w:gridSpan w:val="3"/>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2024</w:t>
            </w:r>
          </w:p>
        </w:tc>
        <w:tc>
          <w:tcPr>
            <w:tcW w:w="4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4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6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8"/>
                <w:szCs w:val="18"/>
                <w:b w:val="1"/>
                <w:bCs w:val="1"/>
                <w:color w:val="auto"/>
                <w:w w:val="98"/>
              </w:rPr>
              <w:t>Net Earnings</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60" w:type="dxa"/>
            <w:vAlign w:val="bottom"/>
          </w:tcPr>
          <w:p>
            <w:pPr>
              <w:spacing w:after="0"/>
              <w:rPr>
                <w:sz w:val="14"/>
                <w:szCs w:val="14"/>
                <w:color w:val="auto"/>
              </w:rPr>
            </w:pPr>
          </w:p>
        </w:tc>
        <w:tc>
          <w:tcPr>
            <w:tcW w:w="1600" w:type="dxa"/>
            <w:vAlign w:val="bottom"/>
            <w:gridSpan w:val="2"/>
            <w:vMerge w:val="restart"/>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8"/>
              </w:rPr>
              <w:t>Earnings (Loss)</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60" w:type="dxa"/>
            <w:vAlign w:val="bottom"/>
            <w:gridSpan w:val="2"/>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8"/>
              </w:rPr>
              <w:t>(Loss) from</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6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600" w:type="dxa"/>
            <w:vAlign w:val="bottom"/>
            <w:gridSpan w:val="2"/>
            <w:vMerge w:val="restart"/>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Benefit from</w:t>
            </w:r>
          </w:p>
        </w:tc>
        <w:tc>
          <w:tcPr>
            <w:tcW w:w="1560" w:type="dxa"/>
            <w:vAlign w:val="bottom"/>
            <w:gridSpan w:val="2"/>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6"/>
              </w:rPr>
              <w:t>Continuing</w:t>
            </w:r>
          </w:p>
        </w:tc>
        <w:tc>
          <w:tcPr>
            <w:tcW w:w="1660" w:type="dxa"/>
            <w:vAlign w:val="bottom"/>
            <w:gridSpan w:val="2"/>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Diluted EPS from</w:t>
            </w:r>
          </w:p>
        </w:tc>
        <w:tc>
          <w:tcPr>
            <w:tcW w:w="0" w:type="dxa"/>
            <w:vAlign w:val="bottom"/>
          </w:tcPr>
          <w:p>
            <w:pPr>
              <w:spacing w:after="0"/>
              <w:rPr>
                <w:sz w:val="1"/>
                <w:szCs w:val="1"/>
                <w:color w:val="auto"/>
              </w:rPr>
            </w:pPr>
          </w:p>
        </w:tc>
      </w:tr>
      <w:tr>
        <w:trPr>
          <w:trHeight w:val="172"/>
        </w:trPr>
        <w:tc>
          <w:tcPr>
            <w:tcW w:w="4060" w:type="dxa"/>
            <w:vAlign w:val="bottom"/>
          </w:tcPr>
          <w:p>
            <w:pPr>
              <w:spacing w:after="0"/>
              <w:rPr>
                <w:sz w:val="14"/>
                <w:szCs w:val="14"/>
                <w:color w:val="auto"/>
              </w:rPr>
            </w:pPr>
          </w:p>
        </w:tc>
        <w:tc>
          <w:tcPr>
            <w:tcW w:w="1600" w:type="dxa"/>
            <w:vAlign w:val="bottom"/>
            <w:gridSpan w:val="2"/>
          </w:tcPr>
          <w:p>
            <w:pPr>
              <w:jc w:val="center"/>
              <w:ind w:right="72"/>
              <w:spacing w:after="0" w:line="172" w:lineRule="exact"/>
              <w:rPr>
                <w:sz w:val="20"/>
                <w:szCs w:val="20"/>
                <w:color w:val="auto"/>
              </w:rPr>
            </w:pPr>
            <w:r>
              <w:rPr>
                <w:rFonts w:ascii="Times New Roman" w:cs="Times New Roman" w:eastAsia="Times New Roman" w:hAnsi="Times New Roman"/>
                <w:sz w:val="18"/>
                <w:szCs w:val="18"/>
                <w:b w:val="1"/>
                <w:bCs w:val="1"/>
                <w:color w:val="auto"/>
                <w:w w:val="98"/>
              </w:rPr>
              <w:t>from Continuing</w:t>
            </w:r>
          </w:p>
        </w:tc>
        <w:tc>
          <w:tcPr>
            <w:tcW w:w="1600" w:type="dxa"/>
            <w:vAlign w:val="bottom"/>
            <w:gridSpan w:val="2"/>
            <w:vMerge w:val="continue"/>
          </w:tcPr>
          <w:p>
            <w:pPr>
              <w:spacing w:after="0"/>
              <w:rPr>
                <w:sz w:val="14"/>
                <w:szCs w:val="14"/>
                <w:color w:val="auto"/>
              </w:rPr>
            </w:pPr>
          </w:p>
        </w:tc>
        <w:tc>
          <w:tcPr>
            <w:tcW w:w="1560" w:type="dxa"/>
            <w:vAlign w:val="bottom"/>
            <w:gridSpan w:val="2"/>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7"/>
              </w:rPr>
              <w:t>Operations</w:t>
            </w:r>
          </w:p>
        </w:tc>
        <w:tc>
          <w:tcPr>
            <w:tcW w:w="1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60" w:type="dxa"/>
            <w:vAlign w:val="bottom"/>
          </w:tcPr>
          <w:p>
            <w:pPr>
              <w:spacing w:after="0"/>
              <w:rPr>
                <w:sz w:val="14"/>
                <w:szCs w:val="14"/>
                <w:color w:val="auto"/>
              </w:rPr>
            </w:pPr>
          </w:p>
        </w:tc>
        <w:tc>
          <w:tcPr>
            <w:tcW w:w="1600" w:type="dxa"/>
            <w:vAlign w:val="bottom"/>
            <w:gridSpan w:val="2"/>
          </w:tcPr>
          <w:p>
            <w:pPr>
              <w:jc w:val="center"/>
              <w:ind w:right="72"/>
              <w:spacing w:after="0" w:line="172" w:lineRule="exact"/>
              <w:rPr>
                <w:sz w:val="20"/>
                <w:szCs w:val="20"/>
                <w:color w:val="auto"/>
              </w:rPr>
            </w:pPr>
            <w:r>
              <w:rPr>
                <w:rFonts w:ascii="Times New Roman" w:cs="Times New Roman" w:eastAsia="Times New Roman" w:hAnsi="Times New Roman"/>
                <w:sz w:val="18"/>
                <w:szCs w:val="18"/>
                <w:b w:val="1"/>
                <w:bCs w:val="1"/>
                <w:color w:val="auto"/>
                <w:w w:val="98"/>
              </w:rPr>
              <w:t>Operations Before</w:t>
            </w:r>
          </w:p>
        </w:tc>
        <w:tc>
          <w:tcPr>
            <w:tcW w:w="1600" w:type="dxa"/>
            <w:vAlign w:val="bottom"/>
            <w:gridSpan w:val="2"/>
          </w:tcPr>
          <w:p>
            <w:pPr>
              <w:ind w:left="200"/>
              <w:spacing w:after="0" w:line="172" w:lineRule="exact"/>
              <w:rPr>
                <w:sz w:val="20"/>
                <w:szCs w:val="20"/>
                <w:color w:val="auto"/>
              </w:rPr>
            </w:pPr>
            <w:r>
              <w:rPr>
                <w:rFonts w:ascii="Times New Roman" w:cs="Times New Roman" w:eastAsia="Times New Roman" w:hAnsi="Times New Roman"/>
                <w:sz w:val="18"/>
                <w:szCs w:val="18"/>
                <w:b w:val="1"/>
                <w:bCs w:val="1"/>
                <w:color w:val="auto"/>
              </w:rPr>
              <w:t>(Provision for)</w:t>
            </w:r>
          </w:p>
        </w:tc>
        <w:tc>
          <w:tcPr>
            <w:tcW w:w="1560" w:type="dxa"/>
            <w:vAlign w:val="bottom"/>
            <w:gridSpan w:val="2"/>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6"/>
              </w:rPr>
              <w:t>Attributable to</w:t>
            </w:r>
          </w:p>
        </w:tc>
        <w:tc>
          <w:tcPr>
            <w:tcW w:w="440" w:type="dxa"/>
            <w:vAlign w:val="bottom"/>
          </w:tcPr>
          <w:p>
            <w:pPr>
              <w:spacing w:after="0"/>
              <w:rPr>
                <w:sz w:val="14"/>
                <w:szCs w:val="14"/>
                <w:color w:val="auto"/>
              </w:rPr>
            </w:pPr>
          </w:p>
        </w:tc>
        <w:tc>
          <w:tcPr>
            <w:tcW w:w="1220" w:type="dxa"/>
            <w:vAlign w:val="bottom"/>
          </w:tcPr>
          <w:p>
            <w:pPr>
              <w:jc w:val="right"/>
              <w:ind w:right="272"/>
              <w:spacing w:after="0" w:line="172" w:lineRule="exact"/>
              <w:rPr>
                <w:sz w:val="20"/>
                <w:szCs w:val="20"/>
                <w:color w:val="auto"/>
              </w:rPr>
            </w:pPr>
            <w:r>
              <w:rPr>
                <w:rFonts w:ascii="Times New Roman" w:cs="Times New Roman" w:eastAsia="Times New Roman" w:hAnsi="Times New Roman"/>
                <w:sz w:val="18"/>
                <w:szCs w:val="18"/>
                <w:b w:val="1"/>
                <w:bCs w:val="1"/>
                <w:color w:val="auto"/>
                <w:w w:val="96"/>
              </w:rPr>
              <w:t>Continuing</w:t>
            </w:r>
          </w:p>
        </w:tc>
        <w:tc>
          <w:tcPr>
            <w:tcW w:w="0" w:type="dxa"/>
            <w:vAlign w:val="bottom"/>
          </w:tcPr>
          <w:p>
            <w:pPr>
              <w:spacing w:after="0"/>
              <w:rPr>
                <w:sz w:val="1"/>
                <w:szCs w:val="1"/>
                <w:color w:val="auto"/>
              </w:rPr>
            </w:pPr>
          </w:p>
        </w:tc>
      </w:tr>
      <w:tr>
        <w:trPr>
          <w:trHeight w:val="238"/>
        </w:trPr>
        <w:tc>
          <w:tcPr>
            <w:tcW w:w="40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Income Taxes</w:t>
            </w:r>
          </w:p>
        </w:tc>
        <w:tc>
          <w:tcPr>
            <w:tcW w:w="1600" w:type="dxa"/>
            <w:vAlign w:val="bottom"/>
            <w:tcBorders>
              <w:bottom w:val="single" w:sz="8" w:color="auto"/>
            </w:tcBorders>
            <w:gridSpan w:val="2"/>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Paramount</w:t>
            </w: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w w:val="97"/>
              </w:rPr>
              <w:t>Operations</w:t>
            </w:r>
          </w:p>
        </w:tc>
        <w:tc>
          <w:tcPr>
            <w:tcW w:w="0" w:type="dxa"/>
            <w:vAlign w:val="bottom"/>
          </w:tcPr>
          <w:p>
            <w:pPr>
              <w:spacing w:after="0"/>
              <w:rPr>
                <w:sz w:val="1"/>
                <w:szCs w:val="1"/>
                <w:color w:val="auto"/>
              </w:rPr>
            </w:pPr>
          </w:p>
        </w:tc>
      </w:tr>
      <w:tr>
        <w:trPr>
          <w:trHeight w:val="213"/>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Reported (GAAP)</w:t>
            </w: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(6,177)</w:t>
            </w:r>
          </w:p>
        </w:tc>
        <w:tc>
          <w:tcPr>
            <w:tcW w:w="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52"/>
              <w:spacing w:after="0" w:line="213" w:lineRule="exact"/>
              <w:rPr>
                <w:sz w:val="20"/>
                <w:szCs w:val="20"/>
                <w:color w:val="auto"/>
              </w:rPr>
            </w:pPr>
            <w:r>
              <w:rPr>
                <w:rFonts w:ascii="Times New Roman" w:cs="Times New Roman" w:eastAsia="Times New Roman" w:hAnsi="Times New Roman"/>
                <w:sz w:val="18"/>
                <w:szCs w:val="18"/>
                <w:color w:val="auto"/>
              </w:rPr>
              <w:t xml:space="preserve">305 </w:t>
            </w:r>
            <w:r>
              <w:rPr>
                <w:rFonts w:ascii="Times New Roman" w:cs="Times New Roman" w:eastAsia="Times New Roman" w:hAnsi="Times New Roman"/>
                <w:sz w:val="22"/>
                <w:szCs w:val="22"/>
                <w:color w:val="auto"/>
                <w:vertAlign w:val="superscript"/>
              </w:rPr>
              <w:t>(h)</w:t>
            </w: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(6,204)</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2"/>
              <w:spacing w:after="0" w:line="213" w:lineRule="exact"/>
              <w:rPr>
                <w:sz w:val="20"/>
                <w:szCs w:val="20"/>
                <w:color w:val="auto"/>
              </w:rPr>
            </w:pPr>
            <w:r>
              <w:rPr>
                <w:rFonts w:ascii="Times New Roman" w:cs="Times New Roman" w:eastAsia="Times New Roman" w:hAnsi="Times New Roman"/>
                <w:sz w:val="18"/>
                <w:szCs w:val="18"/>
                <w:color w:val="auto"/>
              </w:rPr>
              <w:t xml:space="preserve">(9.36) </w:t>
            </w:r>
            <w:r>
              <w:rPr>
                <w:rFonts w:ascii="Times New Roman" w:cs="Times New Roman" w:eastAsia="Times New Roman" w:hAnsi="Times New Roman"/>
                <w:sz w:val="22"/>
                <w:szCs w:val="22"/>
                <w:color w:val="auto"/>
                <w:vertAlign w:val="superscript"/>
              </w:rPr>
              <w:t>(i)</w:t>
            </w:r>
          </w:p>
        </w:tc>
        <w:tc>
          <w:tcPr>
            <w:tcW w:w="0" w:type="dxa"/>
            <w:vAlign w:val="bottom"/>
          </w:tcPr>
          <w:p>
            <w:pPr>
              <w:spacing w:after="0"/>
              <w:rPr>
                <w:sz w:val="1"/>
                <w:szCs w:val="1"/>
                <w:color w:val="auto"/>
              </w:rPr>
            </w:pPr>
          </w:p>
        </w:tc>
      </w:tr>
      <w:tr>
        <w:trPr>
          <w:trHeight w:val="222"/>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Items affecting comparability:</w:t>
            </w: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60" w:type="dxa"/>
            <w:vAlign w:val="bottom"/>
          </w:tcPr>
          <w:p>
            <w:pPr>
              <w:ind w:left="200"/>
              <w:spacing w:after="0" w:line="225" w:lineRule="exact"/>
              <w:rPr>
                <w:sz w:val="20"/>
                <w:szCs w:val="20"/>
                <w:color w:val="auto"/>
              </w:rPr>
            </w:pPr>
            <w:r>
              <w:rPr>
                <w:rFonts w:ascii="Times New Roman" w:cs="Times New Roman" w:eastAsia="Times New Roman" w:hAnsi="Times New Roman"/>
                <w:sz w:val="18"/>
                <w:szCs w:val="18"/>
                <w:color w:val="auto"/>
              </w:rPr>
              <w:t xml:space="preserve">Programming charges </w:t>
            </w:r>
            <w:r>
              <w:rPr>
                <w:rFonts w:ascii="Times New Roman" w:cs="Times New Roman" w:eastAsia="Times New Roman" w:hAnsi="Times New Roman"/>
                <w:sz w:val="22"/>
                <w:szCs w:val="22"/>
                <w:color w:val="auto"/>
                <w:vertAlign w:val="superscript"/>
              </w:rPr>
              <w:t>(a)</w:t>
            </w:r>
          </w:p>
        </w:tc>
        <w:tc>
          <w:tcPr>
            <w:tcW w:w="500" w:type="dxa"/>
            <w:vAlign w:val="bottom"/>
          </w:tcPr>
          <w:p>
            <w:pPr>
              <w:spacing w:after="0"/>
              <w:rPr>
                <w:sz w:val="19"/>
                <w:szCs w:val="19"/>
                <w:color w:val="auto"/>
              </w:rPr>
            </w:pPr>
          </w:p>
        </w:tc>
        <w:tc>
          <w:tcPr>
            <w:tcW w:w="11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1,118</w:t>
            </w:r>
          </w:p>
        </w:tc>
        <w:tc>
          <w:tcPr>
            <w:tcW w:w="360" w:type="dxa"/>
            <w:vAlign w:val="bottom"/>
          </w:tcPr>
          <w:p>
            <w:pPr>
              <w:spacing w:after="0"/>
              <w:rPr>
                <w:sz w:val="19"/>
                <w:szCs w:val="19"/>
                <w:color w:val="auto"/>
              </w:rPr>
            </w:pPr>
          </w:p>
        </w:tc>
        <w:tc>
          <w:tcPr>
            <w:tcW w:w="12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(275)</w:t>
            </w:r>
          </w:p>
        </w:tc>
        <w:tc>
          <w:tcPr>
            <w:tcW w:w="580" w:type="dxa"/>
            <w:vAlign w:val="bottom"/>
          </w:tcPr>
          <w:p>
            <w:pPr>
              <w:spacing w:after="0"/>
              <w:rPr>
                <w:sz w:val="19"/>
                <w:szCs w:val="19"/>
                <w:color w:val="auto"/>
              </w:rPr>
            </w:pPr>
          </w:p>
        </w:tc>
        <w:tc>
          <w:tcPr>
            <w:tcW w:w="9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843</w:t>
            </w:r>
          </w:p>
        </w:tc>
        <w:tc>
          <w:tcPr>
            <w:tcW w:w="440" w:type="dxa"/>
            <w:vAlign w:val="bottom"/>
          </w:tcPr>
          <w:p>
            <w:pPr>
              <w:spacing w:after="0"/>
              <w:rPr>
                <w:sz w:val="19"/>
                <w:szCs w:val="19"/>
                <w:color w:val="auto"/>
              </w:rPr>
            </w:pPr>
          </w:p>
        </w:tc>
        <w:tc>
          <w:tcPr>
            <w:tcW w:w="12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5"/>
        </w:trPr>
        <w:tc>
          <w:tcPr>
            <w:tcW w:w="4060" w:type="dxa"/>
            <w:vAlign w:val="bottom"/>
          </w:tcPr>
          <w:p>
            <w:pPr>
              <w:ind w:left="200"/>
              <w:spacing w:after="0" w:line="225" w:lineRule="exact"/>
              <w:rPr>
                <w:sz w:val="20"/>
                <w:szCs w:val="20"/>
                <w:color w:val="auto"/>
              </w:rPr>
            </w:pPr>
            <w:r>
              <w:rPr>
                <w:rFonts w:ascii="Times New Roman" w:cs="Times New Roman" w:eastAsia="Times New Roman" w:hAnsi="Times New Roman"/>
                <w:sz w:val="18"/>
                <w:szCs w:val="18"/>
                <w:color w:val="auto"/>
              </w:rPr>
              <w:t xml:space="preserve">Impairment charges </w:t>
            </w:r>
            <w:r>
              <w:rPr>
                <w:rFonts w:ascii="Times New Roman" w:cs="Times New Roman" w:eastAsia="Times New Roman" w:hAnsi="Times New Roman"/>
                <w:sz w:val="22"/>
                <w:szCs w:val="22"/>
                <w:color w:val="auto"/>
                <w:vertAlign w:val="superscript"/>
              </w:rPr>
              <w:t>(b)</w:t>
            </w:r>
          </w:p>
        </w:tc>
        <w:tc>
          <w:tcPr>
            <w:tcW w:w="500" w:type="dxa"/>
            <w:vAlign w:val="bottom"/>
          </w:tcPr>
          <w:p>
            <w:pPr>
              <w:spacing w:after="0"/>
              <w:rPr>
                <w:sz w:val="19"/>
                <w:szCs w:val="19"/>
                <w:color w:val="auto"/>
              </w:rPr>
            </w:pPr>
          </w:p>
        </w:tc>
        <w:tc>
          <w:tcPr>
            <w:tcW w:w="11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6,130</w:t>
            </w:r>
          </w:p>
        </w:tc>
        <w:tc>
          <w:tcPr>
            <w:tcW w:w="360" w:type="dxa"/>
            <w:vAlign w:val="bottom"/>
          </w:tcPr>
          <w:p>
            <w:pPr>
              <w:spacing w:after="0"/>
              <w:rPr>
                <w:sz w:val="19"/>
                <w:szCs w:val="19"/>
                <w:color w:val="auto"/>
              </w:rPr>
            </w:pPr>
          </w:p>
        </w:tc>
        <w:tc>
          <w:tcPr>
            <w:tcW w:w="12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(380)</w:t>
            </w:r>
          </w:p>
        </w:tc>
        <w:tc>
          <w:tcPr>
            <w:tcW w:w="580" w:type="dxa"/>
            <w:vAlign w:val="bottom"/>
          </w:tcPr>
          <w:p>
            <w:pPr>
              <w:spacing w:after="0"/>
              <w:rPr>
                <w:sz w:val="19"/>
                <w:szCs w:val="19"/>
                <w:color w:val="auto"/>
              </w:rPr>
            </w:pPr>
          </w:p>
        </w:tc>
        <w:tc>
          <w:tcPr>
            <w:tcW w:w="9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5,750</w:t>
            </w:r>
          </w:p>
        </w:tc>
        <w:tc>
          <w:tcPr>
            <w:tcW w:w="440" w:type="dxa"/>
            <w:vAlign w:val="bottom"/>
          </w:tcPr>
          <w:p>
            <w:pPr>
              <w:spacing w:after="0"/>
              <w:rPr>
                <w:sz w:val="19"/>
                <w:szCs w:val="19"/>
                <w:color w:val="auto"/>
              </w:rPr>
            </w:pPr>
          </w:p>
        </w:tc>
        <w:tc>
          <w:tcPr>
            <w:tcW w:w="12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25"/>
        </w:trPr>
        <w:tc>
          <w:tcPr>
            <w:tcW w:w="4060" w:type="dxa"/>
            <w:vAlign w:val="bottom"/>
          </w:tcPr>
          <w:p>
            <w:pPr>
              <w:ind w:left="200"/>
              <w:spacing w:after="0" w:line="225" w:lineRule="exact"/>
              <w:rPr>
                <w:sz w:val="20"/>
                <w:szCs w:val="20"/>
                <w:color w:val="auto"/>
              </w:rPr>
            </w:pPr>
            <w:r>
              <w:rPr>
                <w:rFonts w:ascii="Times New Roman" w:cs="Times New Roman" w:eastAsia="Times New Roman" w:hAnsi="Times New Roman"/>
                <w:sz w:val="18"/>
                <w:szCs w:val="18"/>
                <w:color w:val="auto"/>
              </w:rPr>
              <w:t xml:space="preserve">Restructuring charges </w:t>
            </w:r>
            <w:r>
              <w:rPr>
                <w:rFonts w:ascii="Times New Roman" w:cs="Times New Roman" w:eastAsia="Times New Roman" w:hAnsi="Times New Roman"/>
                <w:sz w:val="22"/>
                <w:szCs w:val="22"/>
                <w:color w:val="auto"/>
                <w:vertAlign w:val="superscript"/>
              </w:rPr>
              <w:t>(c)</w:t>
            </w:r>
          </w:p>
        </w:tc>
        <w:tc>
          <w:tcPr>
            <w:tcW w:w="500" w:type="dxa"/>
            <w:vAlign w:val="bottom"/>
          </w:tcPr>
          <w:p>
            <w:pPr>
              <w:spacing w:after="0"/>
              <w:rPr>
                <w:sz w:val="19"/>
                <w:szCs w:val="19"/>
                <w:color w:val="auto"/>
              </w:rPr>
            </w:pPr>
          </w:p>
        </w:tc>
        <w:tc>
          <w:tcPr>
            <w:tcW w:w="11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554</w:t>
            </w:r>
          </w:p>
        </w:tc>
        <w:tc>
          <w:tcPr>
            <w:tcW w:w="360" w:type="dxa"/>
            <w:vAlign w:val="bottom"/>
          </w:tcPr>
          <w:p>
            <w:pPr>
              <w:spacing w:after="0"/>
              <w:rPr>
                <w:sz w:val="19"/>
                <w:szCs w:val="19"/>
                <w:color w:val="auto"/>
              </w:rPr>
            </w:pPr>
          </w:p>
        </w:tc>
        <w:tc>
          <w:tcPr>
            <w:tcW w:w="12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(120)</w:t>
            </w:r>
          </w:p>
        </w:tc>
        <w:tc>
          <w:tcPr>
            <w:tcW w:w="580" w:type="dxa"/>
            <w:vAlign w:val="bottom"/>
          </w:tcPr>
          <w:p>
            <w:pPr>
              <w:spacing w:after="0"/>
              <w:rPr>
                <w:sz w:val="19"/>
                <w:szCs w:val="19"/>
                <w:color w:val="auto"/>
              </w:rPr>
            </w:pPr>
          </w:p>
        </w:tc>
        <w:tc>
          <w:tcPr>
            <w:tcW w:w="9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434</w:t>
            </w:r>
          </w:p>
        </w:tc>
        <w:tc>
          <w:tcPr>
            <w:tcW w:w="440" w:type="dxa"/>
            <w:vAlign w:val="bottom"/>
          </w:tcPr>
          <w:p>
            <w:pPr>
              <w:spacing w:after="0"/>
              <w:rPr>
                <w:sz w:val="19"/>
                <w:szCs w:val="19"/>
                <w:color w:val="auto"/>
              </w:rPr>
            </w:pPr>
          </w:p>
        </w:tc>
        <w:tc>
          <w:tcPr>
            <w:tcW w:w="12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5"/>
        </w:trPr>
        <w:tc>
          <w:tcPr>
            <w:tcW w:w="4060" w:type="dxa"/>
            <w:vAlign w:val="bottom"/>
          </w:tcPr>
          <w:p>
            <w:pPr>
              <w:ind w:left="200"/>
              <w:spacing w:after="0" w:line="225" w:lineRule="exact"/>
              <w:rPr>
                <w:sz w:val="20"/>
                <w:szCs w:val="20"/>
                <w:color w:val="auto"/>
              </w:rPr>
            </w:pPr>
            <w:r>
              <w:rPr>
                <w:rFonts w:ascii="Times New Roman" w:cs="Times New Roman" w:eastAsia="Times New Roman" w:hAnsi="Times New Roman"/>
                <w:sz w:val="18"/>
                <w:szCs w:val="18"/>
                <w:color w:val="auto"/>
              </w:rPr>
              <w:t xml:space="preserve">Transaction-related items </w:t>
            </w:r>
            <w:r>
              <w:rPr>
                <w:rFonts w:ascii="Times New Roman" w:cs="Times New Roman" w:eastAsia="Times New Roman" w:hAnsi="Times New Roman"/>
                <w:sz w:val="22"/>
                <w:szCs w:val="22"/>
                <w:color w:val="auto"/>
                <w:vertAlign w:val="superscript"/>
              </w:rPr>
              <w:t>(d)</w:t>
            </w:r>
          </w:p>
        </w:tc>
        <w:tc>
          <w:tcPr>
            <w:tcW w:w="500" w:type="dxa"/>
            <w:vAlign w:val="bottom"/>
          </w:tcPr>
          <w:p>
            <w:pPr>
              <w:spacing w:after="0"/>
              <w:rPr>
                <w:sz w:val="19"/>
                <w:szCs w:val="19"/>
                <w:color w:val="auto"/>
              </w:rPr>
            </w:pPr>
          </w:p>
        </w:tc>
        <w:tc>
          <w:tcPr>
            <w:tcW w:w="11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62</w:t>
            </w:r>
          </w:p>
        </w:tc>
        <w:tc>
          <w:tcPr>
            <w:tcW w:w="360" w:type="dxa"/>
            <w:vAlign w:val="bottom"/>
          </w:tcPr>
          <w:p>
            <w:pPr>
              <w:spacing w:after="0"/>
              <w:rPr>
                <w:sz w:val="19"/>
                <w:szCs w:val="19"/>
                <w:color w:val="auto"/>
              </w:rPr>
            </w:pPr>
          </w:p>
        </w:tc>
        <w:tc>
          <w:tcPr>
            <w:tcW w:w="12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(3)</w:t>
            </w:r>
          </w:p>
        </w:tc>
        <w:tc>
          <w:tcPr>
            <w:tcW w:w="580" w:type="dxa"/>
            <w:vAlign w:val="bottom"/>
          </w:tcPr>
          <w:p>
            <w:pPr>
              <w:spacing w:after="0"/>
              <w:rPr>
                <w:sz w:val="19"/>
                <w:szCs w:val="19"/>
                <w:color w:val="auto"/>
              </w:rPr>
            </w:pPr>
          </w:p>
        </w:tc>
        <w:tc>
          <w:tcPr>
            <w:tcW w:w="9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59</w:t>
            </w:r>
          </w:p>
        </w:tc>
        <w:tc>
          <w:tcPr>
            <w:tcW w:w="440" w:type="dxa"/>
            <w:vAlign w:val="bottom"/>
          </w:tcPr>
          <w:p>
            <w:pPr>
              <w:spacing w:after="0"/>
              <w:rPr>
                <w:sz w:val="19"/>
                <w:szCs w:val="19"/>
                <w:color w:val="auto"/>
              </w:rPr>
            </w:pPr>
          </w:p>
        </w:tc>
        <w:tc>
          <w:tcPr>
            <w:tcW w:w="12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8"/>
        </w:trPr>
        <w:tc>
          <w:tcPr>
            <w:tcW w:w="4060" w:type="dxa"/>
            <w:vAlign w:val="bottom"/>
          </w:tcPr>
          <w:p>
            <w:pPr>
              <w:ind w:left="200"/>
              <w:spacing w:after="0" w:line="228" w:lineRule="exact"/>
              <w:rPr>
                <w:sz w:val="20"/>
                <w:szCs w:val="20"/>
                <w:color w:val="auto"/>
              </w:rPr>
            </w:pPr>
            <w:r>
              <w:rPr>
                <w:rFonts w:ascii="Times New Roman" w:cs="Times New Roman" w:eastAsia="Times New Roman" w:hAnsi="Times New Roman"/>
                <w:sz w:val="18"/>
                <w:szCs w:val="18"/>
                <w:color w:val="auto"/>
              </w:rPr>
              <w:t xml:space="preserve">Other corporate matters </w:t>
            </w:r>
            <w:r>
              <w:rPr>
                <w:rFonts w:ascii="Times New Roman" w:cs="Times New Roman" w:eastAsia="Times New Roman" w:hAnsi="Times New Roman"/>
                <w:sz w:val="22"/>
                <w:szCs w:val="22"/>
                <w:color w:val="auto"/>
                <w:vertAlign w:val="superscript"/>
              </w:rPr>
              <w:t>(e)</w:t>
            </w:r>
          </w:p>
        </w:tc>
        <w:tc>
          <w:tcPr>
            <w:tcW w:w="500" w:type="dxa"/>
            <w:vAlign w:val="bottom"/>
          </w:tcPr>
          <w:p>
            <w:pPr>
              <w:spacing w:after="0"/>
              <w:rPr>
                <w:sz w:val="19"/>
                <w:szCs w:val="19"/>
                <w:color w:val="auto"/>
              </w:rPr>
            </w:pPr>
          </w:p>
        </w:tc>
        <w:tc>
          <w:tcPr>
            <w:tcW w:w="11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131</w:t>
            </w:r>
          </w:p>
        </w:tc>
        <w:tc>
          <w:tcPr>
            <w:tcW w:w="360" w:type="dxa"/>
            <w:vAlign w:val="bottom"/>
          </w:tcPr>
          <w:p>
            <w:pPr>
              <w:spacing w:after="0"/>
              <w:rPr>
                <w:sz w:val="19"/>
                <w:szCs w:val="19"/>
                <w:color w:val="auto"/>
              </w:rPr>
            </w:pPr>
          </w:p>
        </w:tc>
        <w:tc>
          <w:tcPr>
            <w:tcW w:w="12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(32)</w:t>
            </w:r>
          </w:p>
        </w:tc>
        <w:tc>
          <w:tcPr>
            <w:tcW w:w="580" w:type="dxa"/>
            <w:vAlign w:val="bottom"/>
          </w:tcPr>
          <w:p>
            <w:pPr>
              <w:spacing w:after="0"/>
              <w:rPr>
                <w:sz w:val="19"/>
                <w:szCs w:val="19"/>
                <w:color w:val="auto"/>
              </w:rPr>
            </w:pPr>
          </w:p>
        </w:tc>
        <w:tc>
          <w:tcPr>
            <w:tcW w:w="9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99</w:t>
            </w:r>
          </w:p>
        </w:tc>
        <w:tc>
          <w:tcPr>
            <w:tcW w:w="440" w:type="dxa"/>
            <w:vAlign w:val="bottom"/>
          </w:tcPr>
          <w:p>
            <w:pPr>
              <w:spacing w:after="0"/>
              <w:rPr>
                <w:sz w:val="19"/>
                <w:szCs w:val="19"/>
                <w:color w:val="auto"/>
              </w:rPr>
            </w:pPr>
          </w:p>
        </w:tc>
        <w:tc>
          <w:tcPr>
            <w:tcW w:w="12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2"/>
        </w:trPr>
        <w:tc>
          <w:tcPr>
            <w:tcW w:w="4060" w:type="dxa"/>
            <w:vAlign w:val="bottom"/>
          </w:tcPr>
          <w:p>
            <w:pPr>
              <w:ind w:left="200"/>
              <w:spacing w:after="0" w:line="222" w:lineRule="exact"/>
              <w:rPr>
                <w:sz w:val="20"/>
                <w:szCs w:val="20"/>
                <w:color w:val="auto"/>
              </w:rPr>
            </w:pPr>
            <w:r>
              <w:rPr>
                <w:rFonts w:ascii="Times New Roman" w:cs="Times New Roman" w:eastAsia="Times New Roman" w:hAnsi="Times New Roman"/>
                <w:sz w:val="18"/>
                <w:szCs w:val="18"/>
                <w:color w:val="auto"/>
              </w:rPr>
              <w:t xml:space="preserve">Loss from investments </w:t>
            </w:r>
            <w:r>
              <w:rPr>
                <w:rFonts w:ascii="Times New Roman" w:cs="Times New Roman" w:eastAsia="Times New Roman" w:hAnsi="Times New Roman"/>
                <w:sz w:val="20"/>
                <w:szCs w:val="20"/>
                <w:color w:val="auto"/>
                <w:vertAlign w:val="superscript"/>
              </w:rPr>
              <w:t>(f)</w:t>
            </w:r>
          </w:p>
        </w:tc>
        <w:tc>
          <w:tcPr>
            <w:tcW w:w="500" w:type="dxa"/>
            <w:vAlign w:val="bottom"/>
          </w:tcPr>
          <w:p>
            <w:pPr>
              <w:spacing w:after="0"/>
              <w:rPr>
                <w:sz w:val="19"/>
                <w:szCs w:val="19"/>
                <w:color w:val="auto"/>
              </w:rPr>
            </w:pPr>
          </w:p>
        </w:tc>
        <w:tc>
          <w:tcPr>
            <w:tcW w:w="11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tcPr>
          <w:p>
            <w:pPr>
              <w:spacing w:after="0"/>
              <w:rPr>
                <w:sz w:val="19"/>
                <w:szCs w:val="19"/>
                <w:color w:val="auto"/>
              </w:rPr>
            </w:pPr>
          </w:p>
        </w:tc>
        <w:tc>
          <w:tcPr>
            <w:tcW w:w="12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7</w:t>
            </w:r>
          </w:p>
        </w:tc>
        <w:tc>
          <w:tcPr>
            <w:tcW w:w="580" w:type="dxa"/>
            <w:vAlign w:val="bottom"/>
          </w:tcPr>
          <w:p>
            <w:pPr>
              <w:spacing w:after="0"/>
              <w:rPr>
                <w:sz w:val="19"/>
                <w:szCs w:val="19"/>
                <w:color w:val="auto"/>
              </w:rPr>
            </w:pPr>
          </w:p>
        </w:tc>
        <w:tc>
          <w:tcPr>
            <w:tcW w:w="9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24</w:t>
            </w:r>
          </w:p>
        </w:tc>
        <w:tc>
          <w:tcPr>
            <w:tcW w:w="440" w:type="dxa"/>
            <w:vAlign w:val="bottom"/>
          </w:tcPr>
          <w:p>
            <w:pPr>
              <w:spacing w:after="0"/>
              <w:rPr>
                <w:sz w:val="19"/>
                <w:szCs w:val="19"/>
                <w:color w:val="auto"/>
              </w:rPr>
            </w:pPr>
          </w:p>
        </w:tc>
        <w:tc>
          <w:tcPr>
            <w:tcW w:w="12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8"/>
        </w:trPr>
        <w:tc>
          <w:tcPr>
            <w:tcW w:w="4060" w:type="dxa"/>
            <w:vAlign w:val="bottom"/>
          </w:tcPr>
          <w:p>
            <w:pPr>
              <w:ind w:left="200"/>
              <w:spacing w:after="0" w:line="228" w:lineRule="exact"/>
              <w:rPr>
                <w:sz w:val="20"/>
                <w:szCs w:val="20"/>
                <w:color w:val="auto"/>
              </w:rPr>
            </w:pPr>
            <w:r>
              <w:rPr>
                <w:rFonts w:ascii="Times New Roman" w:cs="Times New Roman" w:eastAsia="Times New Roman" w:hAnsi="Times New Roman"/>
                <w:sz w:val="18"/>
                <w:szCs w:val="18"/>
                <w:color w:val="auto"/>
              </w:rPr>
              <w:t xml:space="preserve">Discrete tax items </w:t>
            </w:r>
            <w:r>
              <w:rPr>
                <w:rFonts w:ascii="Times New Roman" w:cs="Times New Roman" w:eastAsia="Times New Roman" w:hAnsi="Times New Roman"/>
                <w:sz w:val="22"/>
                <w:szCs w:val="22"/>
                <w:color w:val="auto"/>
                <w:vertAlign w:val="superscript"/>
              </w:rPr>
              <w:t>(g)</w:t>
            </w:r>
          </w:p>
        </w:tc>
        <w:tc>
          <w:tcPr>
            <w:tcW w:w="500" w:type="dxa"/>
            <w:vAlign w:val="bottom"/>
          </w:tcPr>
          <w:p>
            <w:pPr>
              <w:spacing w:after="0"/>
              <w:rPr>
                <w:sz w:val="19"/>
                <w:szCs w:val="19"/>
                <w:color w:val="auto"/>
              </w:rPr>
            </w:pPr>
          </w:p>
        </w:tc>
        <w:tc>
          <w:tcPr>
            <w:tcW w:w="11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36</w:t>
            </w:r>
          </w:p>
        </w:tc>
        <w:tc>
          <w:tcPr>
            <w:tcW w:w="580" w:type="dxa"/>
            <w:vAlign w:val="bottom"/>
          </w:tcPr>
          <w:p>
            <w:pPr>
              <w:spacing w:after="0"/>
              <w:rPr>
                <w:sz w:val="19"/>
                <w:szCs w:val="19"/>
                <w:color w:val="auto"/>
              </w:rPr>
            </w:pPr>
          </w:p>
        </w:tc>
        <w:tc>
          <w:tcPr>
            <w:tcW w:w="9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36</w:t>
            </w:r>
          </w:p>
        </w:tc>
        <w:tc>
          <w:tcPr>
            <w:tcW w:w="440" w:type="dxa"/>
            <w:vAlign w:val="bottom"/>
          </w:tcPr>
          <w:p>
            <w:pPr>
              <w:spacing w:after="0"/>
              <w:rPr>
                <w:sz w:val="19"/>
                <w:szCs w:val="19"/>
                <w:color w:val="auto"/>
              </w:rPr>
            </w:pPr>
          </w:p>
        </w:tc>
        <w:tc>
          <w:tcPr>
            <w:tcW w:w="12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Impact of antidilution</w:t>
            </w:r>
          </w:p>
        </w:tc>
        <w:tc>
          <w:tcPr>
            <w:tcW w:w="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5"/>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Adjusted (Non-GAAP)</w:t>
            </w:r>
          </w:p>
        </w:tc>
        <w:tc>
          <w:tcPr>
            <w:tcW w:w="5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1,835</w:t>
            </w:r>
          </w:p>
        </w:tc>
        <w:tc>
          <w:tcPr>
            <w:tcW w:w="3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52"/>
              <w:spacing w:after="0" w:line="219" w:lineRule="exact"/>
              <w:rPr>
                <w:sz w:val="20"/>
                <w:szCs w:val="20"/>
                <w:color w:val="auto"/>
              </w:rPr>
            </w:pPr>
            <w:r>
              <w:rPr>
                <w:rFonts w:ascii="Times New Roman" w:cs="Times New Roman" w:eastAsia="Times New Roman" w:hAnsi="Times New Roman"/>
                <w:sz w:val="18"/>
                <w:szCs w:val="18"/>
                <w:color w:val="auto"/>
              </w:rPr>
              <w:t xml:space="preserve">(462) </w:t>
            </w:r>
            <w:r>
              <w:rPr>
                <w:rFonts w:ascii="Times New Roman" w:cs="Times New Roman" w:eastAsia="Times New Roman" w:hAnsi="Times New Roman"/>
                <w:sz w:val="22"/>
                <w:szCs w:val="22"/>
                <w:color w:val="auto"/>
                <w:vertAlign w:val="superscript"/>
              </w:rPr>
              <w:t>(h)</w:t>
            </w:r>
          </w:p>
        </w:tc>
        <w:tc>
          <w:tcPr>
            <w:tcW w:w="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1,041</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72"/>
              <w:spacing w:after="0" w:line="219" w:lineRule="exact"/>
              <w:rPr>
                <w:sz w:val="20"/>
                <w:szCs w:val="20"/>
                <w:color w:val="auto"/>
              </w:rPr>
            </w:pPr>
            <w:r>
              <w:rPr>
                <w:rFonts w:ascii="Times New Roman" w:cs="Times New Roman" w:eastAsia="Times New Roman" w:hAnsi="Times New Roman"/>
                <w:sz w:val="18"/>
                <w:szCs w:val="18"/>
                <w:color w:val="auto"/>
              </w:rPr>
              <w:t xml:space="preserve">1.54 </w:t>
            </w:r>
            <w:r>
              <w:rPr>
                <w:rFonts w:ascii="Times New Roman" w:cs="Times New Roman" w:eastAsia="Times New Roman" w:hAnsi="Times New Roman"/>
                <w:sz w:val="22"/>
                <w:szCs w:val="22"/>
                <w:color w:val="auto"/>
                <w:vertAlign w:val="superscript"/>
              </w:rPr>
              <w:t>(i)</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220" w:hanging="215"/>
        <w:spacing w:after="0"/>
        <w:tabs>
          <w:tab w:leader="none" w:pos="2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Reflects programming charges associated with major changes to our content strategy, which are further described under </w:t>
      </w:r>
      <w:r>
        <w:rPr>
          <w:rFonts w:ascii="Times New Roman" w:cs="Times New Roman" w:eastAsia="Times New Roman" w:hAnsi="Times New Roman"/>
          <w:sz w:val="16"/>
          <w:szCs w:val="16"/>
          <w:i w:val="1"/>
          <w:iCs w:val="1"/>
          <w:color w:val="auto"/>
        </w:rPr>
        <w:t>Programming Charges</w:t>
      </w:r>
      <w:r>
        <w:rPr>
          <w:rFonts w:ascii="Times New Roman" w:cs="Times New Roman" w:eastAsia="Times New Roman" w:hAnsi="Times New Roman"/>
          <w:sz w:val="16"/>
          <w:szCs w:val="16"/>
          <w:color w:val="auto"/>
        </w:rPr>
        <w:t>.</w:t>
      </w:r>
    </w:p>
    <w:p>
      <w:pPr>
        <w:spacing w:after="0" w:line="56" w:lineRule="exact"/>
        <w:rPr>
          <w:rFonts w:ascii="Times New Roman" w:cs="Times New Roman" w:eastAsia="Times New Roman" w:hAnsi="Times New Roman"/>
          <w:sz w:val="16"/>
          <w:szCs w:val="16"/>
          <w:color w:val="auto"/>
        </w:rPr>
      </w:pPr>
    </w:p>
    <w:p>
      <w:pPr>
        <w:ind w:left="240" w:hanging="235"/>
        <w:spacing w:after="0" w:line="285" w:lineRule="auto"/>
        <w:tabs>
          <w:tab w:leader="none" w:pos="23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goodwill impairment charge for our Cable Networks reporting unit of $5.98 billion, as well as charges totaling $149 million to reduce the carrying values of FCC licenses in certain markets and our Australian broadcast licenses to their estimated fair values.</w:t>
      </w:r>
    </w:p>
    <w:p>
      <w:pPr>
        <w:ind w:left="240" w:hanging="235"/>
        <w:spacing w:after="0" w:line="285" w:lineRule="auto"/>
        <w:tabs>
          <w:tab w:leader="none" w:pos="224"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Consists of severance costs of $523 million associated with restructuring our global workforce and the exit of our former CEO, and $31 million for the impairment of lease assets, as further described under </w:t>
      </w:r>
      <w:r>
        <w:rPr>
          <w:rFonts w:ascii="Times New Roman" w:cs="Times New Roman" w:eastAsia="Times New Roman" w:hAnsi="Times New Roman"/>
          <w:sz w:val="16"/>
          <w:szCs w:val="16"/>
          <w:i w:val="1"/>
          <w:iCs w:val="1"/>
          <w:color w:val="auto"/>
        </w:rPr>
        <w:t>Restructuring, Transaction-Related Items, and Other Corporate Matters</w:t>
      </w:r>
      <w:r>
        <w:rPr>
          <w:rFonts w:ascii="Times New Roman" w:cs="Times New Roman" w:eastAsia="Times New Roman" w:hAnsi="Times New Roman"/>
          <w:sz w:val="16"/>
          <w:szCs w:val="16"/>
          <w:color w:val="auto"/>
        </w:rPr>
        <w:t>.</w:t>
      </w:r>
    </w:p>
    <w:p>
      <w:pPr>
        <w:ind w:left="240" w:hanging="235"/>
        <w:spacing w:after="0"/>
        <w:tabs>
          <w:tab w:leader="none" w:pos="2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costs associated with legal and advisory services related to the Transactions.</w:t>
      </w:r>
    </w:p>
    <w:p>
      <w:pPr>
        <w:spacing w:after="0" w:line="54" w:lineRule="exact"/>
        <w:rPr>
          <w:rFonts w:ascii="Times New Roman" w:cs="Times New Roman" w:eastAsia="Times New Roman" w:hAnsi="Times New Roman"/>
          <w:sz w:val="16"/>
          <w:szCs w:val="16"/>
          <w:color w:val="auto"/>
        </w:rPr>
      </w:pPr>
    </w:p>
    <w:p>
      <w:pPr>
        <w:ind w:left="240" w:hanging="235"/>
        <w:spacing w:after="0" w:line="285" w:lineRule="auto"/>
        <w:tabs>
          <w:tab w:leader="none" w:pos="23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Reflects charges of $74 million associated with the abandonment of developed technology and $57 million to increase our accrual for asbestos matters as discussed under </w:t>
      </w:r>
      <w:r>
        <w:rPr>
          <w:rFonts w:ascii="Times New Roman" w:cs="Times New Roman" w:eastAsia="Times New Roman" w:hAnsi="Times New Roman"/>
          <w:sz w:val="16"/>
          <w:szCs w:val="16"/>
          <w:i w:val="1"/>
          <w:iCs w:val="1"/>
          <w:color w:val="auto"/>
        </w:rPr>
        <w:t>Legal Matters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Claims Related to Former Businesses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Asbestos</w:t>
      </w:r>
      <w:r>
        <w:rPr>
          <w:rFonts w:ascii="Times New Roman" w:cs="Times New Roman" w:eastAsia="Times New Roman" w:hAnsi="Times New Roman"/>
          <w:sz w:val="16"/>
          <w:szCs w:val="16"/>
          <w:color w:val="auto"/>
        </w:rPr>
        <w:t>.</w:t>
      </w:r>
    </w:p>
    <w:p>
      <w:pPr>
        <w:ind w:left="200" w:hanging="195"/>
        <w:spacing w:after="0"/>
        <w:tabs>
          <w:tab w:leader="none" w:pos="2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Principally reflects a loss on the sale of our investment in Viacom18 of $13 million.</w:t>
      </w:r>
    </w:p>
    <w:p>
      <w:pPr>
        <w:spacing w:after="0" w:line="54" w:lineRule="exact"/>
        <w:rPr>
          <w:rFonts w:ascii="Times New Roman" w:cs="Times New Roman" w:eastAsia="Times New Roman" w:hAnsi="Times New Roman"/>
          <w:sz w:val="16"/>
          <w:szCs w:val="16"/>
          <w:color w:val="auto"/>
        </w:rPr>
      </w:pPr>
    </w:p>
    <w:p>
      <w:pPr>
        <w:ind w:left="240" w:right="100" w:hanging="235"/>
        <w:spacing w:after="0" w:line="266" w:lineRule="auto"/>
        <w:tabs>
          <w:tab w:leader="none" w:pos="227"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attributable to the establishment of a valuation allowance on a deferred tax asset that is not expected to be realized because of a reduction in our deferred tax liabilities caused by the goodwill impairment charge and tax expense relating to the vesting of stock-based compensation, partially offset by amounts realized in connection with the filing of our tax returns in certain international jurisdictions.</w:t>
      </w:r>
    </w:p>
    <w:p>
      <w:pPr>
        <w:spacing w:after="0" w:line="24" w:lineRule="exact"/>
        <w:rPr>
          <w:rFonts w:ascii="Times New Roman" w:cs="Times New Roman" w:eastAsia="Times New Roman" w:hAnsi="Times New Roman"/>
          <w:sz w:val="16"/>
          <w:szCs w:val="16"/>
          <w:color w:val="auto"/>
        </w:rPr>
      </w:pPr>
    </w:p>
    <w:p>
      <w:pPr>
        <w:jc w:val="both"/>
        <w:ind w:left="240" w:hanging="235"/>
        <w:spacing w:after="0" w:line="257" w:lineRule="auto"/>
        <w:tabs>
          <w:tab w:leader="none" w:pos="232"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reported effective income tax rate for the year ended December 31, 2024 was 4.9% and the adjusted effective income tax rate, which is calculated as the adjusted provision for income taxes of $462 million divided by adjusted earnings from continuing operations before income taxes of $1.84 billion, was 25.2%. These adjusted measures exclude the items affecting comparability described above.</w:t>
      </w:r>
    </w:p>
    <w:p>
      <w:pPr>
        <w:spacing w:after="0" w:line="31" w:lineRule="exact"/>
        <w:rPr>
          <w:rFonts w:ascii="Times New Roman" w:cs="Times New Roman" w:eastAsia="Times New Roman" w:hAnsi="Times New Roman"/>
          <w:sz w:val="16"/>
          <w:szCs w:val="16"/>
          <w:color w:val="auto"/>
        </w:rPr>
      </w:pPr>
    </w:p>
    <w:p>
      <w:pPr>
        <w:jc w:val="both"/>
        <w:ind w:left="240" w:hanging="235"/>
        <w:spacing w:after="0" w:line="266" w:lineRule="auto"/>
        <w:tabs>
          <w:tab w:leader="none" w:pos="194"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2024, the weighted average number of common shares outstanding used in the calculation of reported diluted EPS from continuing operations is 664 million and in the calculation of adjusted diluted EPS from continuing operations is 667 million. The dilutive impact was excluded in the calculation of reported diluted EPS from continuing operations because it would have been antidilutive since we reported a net loss from continuing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81915</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20"/>
          </w:cols>
          <w:pgMar w:left="480" w:top="828" w:right="49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52"/>
        </w:trPr>
        <w:tc>
          <w:tcPr>
            <w:tcW w:w="4060" w:type="dxa"/>
            <w:vAlign w:val="bottom"/>
            <w:tcBorders>
              <w:top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2940" w:type="dxa"/>
            <w:vAlign w:val="bottom"/>
            <w:tcBorders>
              <w:top w:val="single" w:sz="8" w:color="auto"/>
              <w:bottom w:val="single" w:sz="8" w:color="auto"/>
            </w:tcBorders>
            <w:gridSpan w:val="3"/>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99"/>
              </w:rPr>
              <w:t>Year Ended December 31, 2023</w:t>
            </w:r>
          </w:p>
        </w:tc>
        <w:tc>
          <w:tcPr>
            <w:tcW w:w="6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4060" w:type="dxa"/>
            <w:vAlign w:val="bottom"/>
          </w:tcPr>
          <w:p>
            <w:pPr>
              <w:spacing w:after="0"/>
              <w:rPr>
                <w:sz w:val="14"/>
                <w:szCs w:val="14"/>
                <w:color w:val="auto"/>
              </w:rPr>
            </w:pPr>
          </w:p>
        </w:tc>
        <w:tc>
          <w:tcPr>
            <w:tcW w:w="1620" w:type="dxa"/>
            <w:vAlign w:val="bottom"/>
            <w:gridSpan w:val="2"/>
            <w:vMerge w:val="restart"/>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Earnings (Loss)</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8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8"/>
                <w:szCs w:val="18"/>
                <w:b w:val="1"/>
                <w:bCs w:val="1"/>
                <w:color w:val="auto"/>
                <w:w w:val="98"/>
              </w:rPr>
              <w:t>Net Earnings (Loss)</w:t>
            </w: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6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520" w:type="dxa"/>
            <w:vAlign w:val="bottom"/>
            <w:gridSpan w:val="2"/>
            <w:vMerge w:val="restart"/>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Benefit from</w:t>
            </w:r>
          </w:p>
        </w:tc>
        <w:tc>
          <w:tcPr>
            <w:tcW w:w="1780" w:type="dxa"/>
            <w:vAlign w:val="bottom"/>
            <w:gridSpan w:val="2"/>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7"/>
              </w:rPr>
              <w:t>from Continuing</w:t>
            </w:r>
          </w:p>
        </w:tc>
        <w:tc>
          <w:tcPr>
            <w:tcW w:w="156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Diluted EPS from</w:t>
            </w:r>
          </w:p>
        </w:tc>
        <w:tc>
          <w:tcPr>
            <w:tcW w:w="0" w:type="dxa"/>
            <w:vAlign w:val="bottom"/>
          </w:tcPr>
          <w:p>
            <w:pPr>
              <w:spacing w:after="0"/>
              <w:rPr>
                <w:sz w:val="1"/>
                <w:szCs w:val="1"/>
                <w:color w:val="auto"/>
              </w:rPr>
            </w:pPr>
          </w:p>
        </w:tc>
      </w:tr>
      <w:tr>
        <w:trPr>
          <w:trHeight w:val="172"/>
        </w:trPr>
        <w:tc>
          <w:tcPr>
            <w:tcW w:w="4060" w:type="dxa"/>
            <w:vAlign w:val="bottom"/>
          </w:tcPr>
          <w:p>
            <w:pPr>
              <w:spacing w:after="0"/>
              <w:rPr>
                <w:sz w:val="14"/>
                <w:szCs w:val="14"/>
                <w:color w:val="auto"/>
              </w:rPr>
            </w:pPr>
          </w:p>
        </w:tc>
        <w:tc>
          <w:tcPr>
            <w:tcW w:w="1620" w:type="dxa"/>
            <w:vAlign w:val="bottom"/>
            <w:gridSpan w:val="2"/>
          </w:tcPr>
          <w:p>
            <w:pPr>
              <w:jc w:val="center"/>
              <w:ind w:right="72"/>
              <w:spacing w:after="0" w:line="172" w:lineRule="exact"/>
              <w:rPr>
                <w:sz w:val="20"/>
                <w:szCs w:val="20"/>
                <w:color w:val="auto"/>
              </w:rPr>
            </w:pPr>
            <w:r>
              <w:rPr>
                <w:rFonts w:ascii="Times New Roman" w:cs="Times New Roman" w:eastAsia="Times New Roman" w:hAnsi="Times New Roman"/>
                <w:sz w:val="18"/>
                <w:szCs w:val="18"/>
                <w:b w:val="1"/>
                <w:bCs w:val="1"/>
                <w:color w:val="auto"/>
                <w:w w:val="97"/>
              </w:rPr>
              <w:t>from Continuing</w:t>
            </w:r>
          </w:p>
        </w:tc>
        <w:tc>
          <w:tcPr>
            <w:tcW w:w="1520" w:type="dxa"/>
            <w:vAlign w:val="bottom"/>
            <w:gridSpan w:val="2"/>
            <w:vMerge w:val="continue"/>
          </w:tcPr>
          <w:p>
            <w:pPr>
              <w:spacing w:after="0"/>
              <w:rPr>
                <w:sz w:val="14"/>
                <w:szCs w:val="14"/>
                <w:color w:val="auto"/>
              </w:rPr>
            </w:pPr>
          </w:p>
        </w:tc>
        <w:tc>
          <w:tcPr>
            <w:tcW w:w="1780" w:type="dxa"/>
            <w:vAlign w:val="bottom"/>
            <w:gridSpan w:val="2"/>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7"/>
              </w:rPr>
              <w:t>Operations</w:t>
            </w:r>
          </w:p>
        </w:tc>
        <w:tc>
          <w:tcPr>
            <w:tcW w:w="1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60" w:type="dxa"/>
            <w:vAlign w:val="bottom"/>
          </w:tcPr>
          <w:p>
            <w:pPr>
              <w:spacing w:after="0"/>
              <w:rPr>
                <w:sz w:val="16"/>
                <w:szCs w:val="16"/>
                <w:color w:val="auto"/>
              </w:rPr>
            </w:pPr>
          </w:p>
        </w:tc>
        <w:tc>
          <w:tcPr>
            <w:tcW w:w="1620" w:type="dxa"/>
            <w:vAlign w:val="bottom"/>
            <w:gridSpan w:val="2"/>
          </w:tcPr>
          <w:p>
            <w:pPr>
              <w:jc w:val="center"/>
              <w:ind w:right="72"/>
              <w:spacing w:after="0" w:line="186" w:lineRule="exact"/>
              <w:rPr>
                <w:sz w:val="20"/>
                <w:szCs w:val="20"/>
                <w:color w:val="auto"/>
              </w:rPr>
            </w:pPr>
            <w:r>
              <w:rPr>
                <w:rFonts w:ascii="Times New Roman" w:cs="Times New Roman" w:eastAsia="Times New Roman" w:hAnsi="Times New Roman"/>
                <w:sz w:val="18"/>
                <w:szCs w:val="18"/>
                <w:b w:val="1"/>
                <w:bCs w:val="1"/>
                <w:color w:val="auto"/>
                <w:w w:val="97"/>
              </w:rPr>
              <w:t>Operations Before</w:t>
            </w:r>
          </w:p>
        </w:tc>
        <w:tc>
          <w:tcPr>
            <w:tcW w:w="1520" w:type="dxa"/>
            <w:vAlign w:val="bottom"/>
            <w:gridSpan w:val="2"/>
          </w:tcPr>
          <w:p>
            <w:pPr>
              <w:ind w:left="180"/>
              <w:spacing w:after="0" w:line="186" w:lineRule="exact"/>
              <w:rPr>
                <w:sz w:val="20"/>
                <w:szCs w:val="20"/>
                <w:color w:val="auto"/>
              </w:rPr>
            </w:pPr>
            <w:r>
              <w:rPr>
                <w:rFonts w:ascii="Times New Roman" w:cs="Times New Roman" w:eastAsia="Times New Roman" w:hAnsi="Times New Roman"/>
                <w:sz w:val="18"/>
                <w:szCs w:val="18"/>
                <w:b w:val="1"/>
                <w:bCs w:val="1"/>
                <w:color w:val="auto"/>
              </w:rPr>
              <w:t>(Provision for)</w:t>
            </w:r>
          </w:p>
        </w:tc>
        <w:tc>
          <w:tcPr>
            <w:tcW w:w="1780" w:type="dxa"/>
            <w:vAlign w:val="bottom"/>
            <w:gridSpan w:val="2"/>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Attributable to</w:t>
            </w:r>
          </w:p>
        </w:tc>
        <w:tc>
          <w:tcPr>
            <w:tcW w:w="1560" w:type="dxa"/>
            <w:vAlign w:val="bottom"/>
            <w:gridSpan w:val="2"/>
          </w:tcPr>
          <w:p>
            <w:pPr>
              <w:jc w:val="right"/>
              <w:ind w:right="252"/>
              <w:spacing w:after="0" w:line="186" w:lineRule="exact"/>
              <w:rPr>
                <w:sz w:val="20"/>
                <w:szCs w:val="20"/>
                <w:color w:val="auto"/>
              </w:rPr>
            </w:pPr>
            <w:r>
              <w:rPr>
                <w:rFonts w:ascii="Times New Roman" w:cs="Times New Roman" w:eastAsia="Times New Roman" w:hAnsi="Times New Roman"/>
                <w:sz w:val="18"/>
                <w:szCs w:val="18"/>
                <w:b w:val="1"/>
                <w:bCs w:val="1"/>
                <w:color w:val="auto"/>
              </w:rPr>
              <w:t>Continuing</w:t>
            </w:r>
          </w:p>
        </w:tc>
        <w:tc>
          <w:tcPr>
            <w:tcW w:w="0" w:type="dxa"/>
            <w:vAlign w:val="bottom"/>
          </w:tcPr>
          <w:p>
            <w:pPr>
              <w:spacing w:after="0"/>
              <w:rPr>
                <w:sz w:val="1"/>
                <w:szCs w:val="1"/>
                <w:color w:val="auto"/>
              </w:rPr>
            </w:pPr>
          </w:p>
        </w:tc>
      </w:tr>
      <w:tr>
        <w:trPr>
          <w:trHeight w:val="225"/>
        </w:trPr>
        <w:tc>
          <w:tcPr>
            <w:tcW w:w="40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5"/>
              </w:rPr>
              <w:t>Income Taxes</w:t>
            </w:r>
          </w:p>
        </w:tc>
        <w:tc>
          <w:tcPr>
            <w:tcW w:w="1520" w:type="dxa"/>
            <w:vAlign w:val="bottom"/>
            <w:tcBorders>
              <w:bottom w:val="single" w:sz="8" w:color="auto"/>
            </w:tcBorders>
            <w:gridSpan w:val="2"/>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Paramount</w:t>
            </w:r>
          </w:p>
        </w:tc>
        <w:tc>
          <w:tcPr>
            <w:tcW w:w="1560" w:type="dxa"/>
            <w:vAlign w:val="bottom"/>
            <w:tcBorders>
              <w:bottom w:val="single" w:sz="8" w:color="auto"/>
            </w:tcBorders>
            <w:gridSpan w:val="2"/>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0" w:type="dxa"/>
            <w:vAlign w:val="bottom"/>
          </w:tcPr>
          <w:p>
            <w:pPr>
              <w:spacing w:after="0"/>
              <w:rPr>
                <w:sz w:val="1"/>
                <w:szCs w:val="1"/>
                <w:color w:val="auto"/>
              </w:rPr>
            </w:pPr>
          </w:p>
        </w:tc>
      </w:tr>
      <w:tr>
        <w:trPr>
          <w:trHeight w:val="21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Reported (GAAP)</w:t>
            </w:r>
          </w:p>
        </w:tc>
        <w:tc>
          <w:tcPr>
            <w:tcW w:w="5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(1,253)</w:t>
            </w:r>
          </w:p>
        </w:tc>
        <w:tc>
          <w:tcPr>
            <w:tcW w:w="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2"/>
              <w:spacing w:after="0" w:line="213" w:lineRule="exact"/>
              <w:rPr>
                <w:sz w:val="20"/>
                <w:szCs w:val="20"/>
                <w:color w:val="auto"/>
              </w:rPr>
            </w:pPr>
            <w:r>
              <w:rPr>
                <w:rFonts w:ascii="Times New Roman" w:cs="Times New Roman" w:eastAsia="Times New Roman" w:hAnsi="Times New Roman"/>
                <w:sz w:val="18"/>
                <w:szCs w:val="18"/>
                <w:color w:val="auto"/>
              </w:rPr>
              <w:t xml:space="preserve">361 </w:t>
            </w:r>
            <w:r>
              <w:rPr>
                <w:rFonts w:ascii="Times New Roman" w:cs="Times New Roman" w:eastAsia="Times New Roman" w:hAnsi="Times New Roman"/>
                <w:sz w:val="22"/>
                <w:szCs w:val="22"/>
                <w:color w:val="auto"/>
                <w:vertAlign w:val="superscript"/>
              </w:rPr>
              <w:t>(h)</w:t>
            </w: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(1,284)</w:t>
            </w:r>
          </w:p>
        </w:tc>
        <w:tc>
          <w:tcPr>
            <w:tcW w:w="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2"/>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Items affecting comparability:</w:t>
            </w: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60" w:type="dxa"/>
            <w:vAlign w:val="bottom"/>
          </w:tcPr>
          <w:p>
            <w:pPr>
              <w:ind w:left="220"/>
              <w:spacing w:after="0" w:line="225" w:lineRule="exact"/>
              <w:rPr>
                <w:sz w:val="20"/>
                <w:szCs w:val="20"/>
                <w:color w:val="auto"/>
              </w:rPr>
            </w:pPr>
            <w:r>
              <w:rPr>
                <w:rFonts w:ascii="Times New Roman" w:cs="Times New Roman" w:eastAsia="Times New Roman" w:hAnsi="Times New Roman"/>
                <w:sz w:val="18"/>
                <w:szCs w:val="18"/>
                <w:color w:val="auto"/>
              </w:rPr>
              <w:t xml:space="preserve">Programming charges </w:t>
            </w:r>
            <w:r>
              <w:rPr>
                <w:rFonts w:ascii="Times New Roman" w:cs="Times New Roman" w:eastAsia="Times New Roman" w:hAnsi="Times New Roman"/>
                <w:sz w:val="22"/>
                <w:szCs w:val="22"/>
                <w:color w:val="auto"/>
                <w:vertAlign w:val="superscript"/>
              </w:rPr>
              <w:t>(a)</w:t>
            </w:r>
          </w:p>
        </w:tc>
        <w:tc>
          <w:tcPr>
            <w:tcW w:w="500" w:type="dxa"/>
            <w:vAlign w:val="bottom"/>
          </w:tcPr>
          <w:p>
            <w:pPr>
              <w:spacing w:after="0"/>
              <w:rPr>
                <w:sz w:val="19"/>
                <w:szCs w:val="19"/>
                <w:color w:val="auto"/>
              </w:rPr>
            </w:pPr>
          </w:p>
        </w:tc>
        <w:tc>
          <w:tcPr>
            <w:tcW w:w="11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2,371</w:t>
            </w:r>
          </w:p>
        </w:tc>
        <w:tc>
          <w:tcPr>
            <w:tcW w:w="360" w:type="dxa"/>
            <w:vAlign w:val="bottom"/>
          </w:tcPr>
          <w:p>
            <w:pPr>
              <w:spacing w:after="0"/>
              <w:rPr>
                <w:sz w:val="19"/>
                <w:szCs w:val="19"/>
                <w:color w:val="auto"/>
              </w:rPr>
            </w:pPr>
          </w:p>
        </w:tc>
        <w:tc>
          <w:tcPr>
            <w:tcW w:w="11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(582)</w:t>
            </w:r>
          </w:p>
        </w:tc>
        <w:tc>
          <w:tcPr>
            <w:tcW w:w="700" w:type="dxa"/>
            <w:vAlign w:val="bottom"/>
          </w:tcPr>
          <w:p>
            <w:pPr>
              <w:spacing w:after="0"/>
              <w:rPr>
                <w:sz w:val="19"/>
                <w:szCs w:val="19"/>
                <w:color w:val="auto"/>
              </w:rPr>
            </w:pPr>
          </w:p>
        </w:tc>
        <w:tc>
          <w:tcPr>
            <w:tcW w:w="108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1,789</w:t>
            </w:r>
          </w:p>
        </w:tc>
        <w:tc>
          <w:tcPr>
            <w:tcW w:w="620" w:type="dxa"/>
            <w:vAlign w:val="bottom"/>
          </w:tcPr>
          <w:p>
            <w:pPr>
              <w:spacing w:after="0"/>
              <w:rPr>
                <w:sz w:val="19"/>
                <w:szCs w:val="19"/>
                <w:color w:val="auto"/>
              </w:rPr>
            </w:pPr>
          </w:p>
        </w:tc>
        <w:tc>
          <w:tcPr>
            <w:tcW w:w="9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25"/>
        </w:trPr>
        <w:tc>
          <w:tcPr>
            <w:tcW w:w="4060" w:type="dxa"/>
            <w:vAlign w:val="bottom"/>
          </w:tcPr>
          <w:p>
            <w:pPr>
              <w:ind w:left="220"/>
              <w:spacing w:after="0" w:line="225" w:lineRule="exact"/>
              <w:rPr>
                <w:sz w:val="20"/>
                <w:szCs w:val="20"/>
                <w:color w:val="auto"/>
              </w:rPr>
            </w:pPr>
            <w:r>
              <w:rPr>
                <w:rFonts w:ascii="Times New Roman" w:cs="Times New Roman" w:eastAsia="Times New Roman" w:hAnsi="Times New Roman"/>
                <w:sz w:val="18"/>
                <w:szCs w:val="18"/>
                <w:color w:val="auto"/>
              </w:rPr>
              <w:t xml:space="preserve">Impairment charges </w:t>
            </w:r>
            <w:r>
              <w:rPr>
                <w:rFonts w:ascii="Times New Roman" w:cs="Times New Roman" w:eastAsia="Times New Roman" w:hAnsi="Times New Roman"/>
                <w:sz w:val="22"/>
                <w:szCs w:val="22"/>
                <w:color w:val="auto"/>
                <w:vertAlign w:val="superscript"/>
              </w:rPr>
              <w:t>(b)</w:t>
            </w:r>
          </w:p>
        </w:tc>
        <w:tc>
          <w:tcPr>
            <w:tcW w:w="500" w:type="dxa"/>
            <w:vAlign w:val="bottom"/>
          </w:tcPr>
          <w:p>
            <w:pPr>
              <w:spacing w:after="0"/>
              <w:rPr>
                <w:sz w:val="19"/>
                <w:szCs w:val="19"/>
                <w:color w:val="auto"/>
              </w:rPr>
            </w:pPr>
          </w:p>
        </w:tc>
        <w:tc>
          <w:tcPr>
            <w:tcW w:w="11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83</w:t>
            </w:r>
          </w:p>
        </w:tc>
        <w:tc>
          <w:tcPr>
            <w:tcW w:w="360" w:type="dxa"/>
            <w:vAlign w:val="bottom"/>
          </w:tcPr>
          <w:p>
            <w:pPr>
              <w:spacing w:after="0"/>
              <w:rPr>
                <w:sz w:val="19"/>
                <w:szCs w:val="19"/>
                <w:color w:val="auto"/>
              </w:rPr>
            </w:pPr>
          </w:p>
        </w:tc>
        <w:tc>
          <w:tcPr>
            <w:tcW w:w="11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(20)</w:t>
            </w:r>
          </w:p>
        </w:tc>
        <w:tc>
          <w:tcPr>
            <w:tcW w:w="700" w:type="dxa"/>
            <w:vAlign w:val="bottom"/>
          </w:tcPr>
          <w:p>
            <w:pPr>
              <w:spacing w:after="0"/>
              <w:rPr>
                <w:sz w:val="19"/>
                <w:szCs w:val="19"/>
                <w:color w:val="auto"/>
              </w:rPr>
            </w:pPr>
          </w:p>
        </w:tc>
        <w:tc>
          <w:tcPr>
            <w:tcW w:w="108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63</w:t>
            </w:r>
          </w:p>
        </w:tc>
        <w:tc>
          <w:tcPr>
            <w:tcW w:w="620" w:type="dxa"/>
            <w:vAlign w:val="bottom"/>
          </w:tcPr>
          <w:p>
            <w:pPr>
              <w:spacing w:after="0"/>
              <w:rPr>
                <w:sz w:val="19"/>
                <w:szCs w:val="19"/>
                <w:color w:val="auto"/>
              </w:rPr>
            </w:pPr>
          </w:p>
        </w:tc>
        <w:tc>
          <w:tcPr>
            <w:tcW w:w="9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5"/>
        </w:trPr>
        <w:tc>
          <w:tcPr>
            <w:tcW w:w="4060" w:type="dxa"/>
            <w:vAlign w:val="bottom"/>
          </w:tcPr>
          <w:p>
            <w:pPr>
              <w:ind w:left="220"/>
              <w:spacing w:after="0" w:line="225" w:lineRule="exact"/>
              <w:rPr>
                <w:sz w:val="20"/>
                <w:szCs w:val="20"/>
                <w:color w:val="auto"/>
              </w:rPr>
            </w:pPr>
            <w:r>
              <w:rPr>
                <w:rFonts w:ascii="Times New Roman" w:cs="Times New Roman" w:eastAsia="Times New Roman" w:hAnsi="Times New Roman"/>
                <w:sz w:val="18"/>
                <w:szCs w:val="18"/>
                <w:color w:val="auto"/>
              </w:rPr>
              <w:t xml:space="preserve">Restructuring charges </w:t>
            </w:r>
            <w:r>
              <w:rPr>
                <w:rFonts w:ascii="Times New Roman" w:cs="Times New Roman" w:eastAsia="Times New Roman" w:hAnsi="Times New Roman"/>
                <w:sz w:val="22"/>
                <w:szCs w:val="22"/>
                <w:color w:val="auto"/>
                <w:vertAlign w:val="superscript"/>
              </w:rPr>
              <w:t>(c)</w:t>
            </w:r>
          </w:p>
        </w:tc>
        <w:tc>
          <w:tcPr>
            <w:tcW w:w="500" w:type="dxa"/>
            <w:vAlign w:val="bottom"/>
          </w:tcPr>
          <w:p>
            <w:pPr>
              <w:spacing w:after="0"/>
              <w:rPr>
                <w:sz w:val="19"/>
                <w:szCs w:val="19"/>
                <w:color w:val="auto"/>
              </w:rPr>
            </w:pPr>
          </w:p>
        </w:tc>
        <w:tc>
          <w:tcPr>
            <w:tcW w:w="11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102</w:t>
            </w:r>
          </w:p>
        </w:tc>
        <w:tc>
          <w:tcPr>
            <w:tcW w:w="360" w:type="dxa"/>
            <w:vAlign w:val="bottom"/>
          </w:tcPr>
          <w:p>
            <w:pPr>
              <w:spacing w:after="0"/>
              <w:rPr>
                <w:sz w:val="19"/>
                <w:szCs w:val="19"/>
                <w:color w:val="auto"/>
              </w:rPr>
            </w:pPr>
          </w:p>
        </w:tc>
        <w:tc>
          <w:tcPr>
            <w:tcW w:w="11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(25)</w:t>
            </w:r>
          </w:p>
        </w:tc>
        <w:tc>
          <w:tcPr>
            <w:tcW w:w="700" w:type="dxa"/>
            <w:vAlign w:val="bottom"/>
          </w:tcPr>
          <w:p>
            <w:pPr>
              <w:spacing w:after="0"/>
              <w:rPr>
                <w:sz w:val="19"/>
                <w:szCs w:val="19"/>
                <w:color w:val="auto"/>
              </w:rPr>
            </w:pPr>
          </w:p>
        </w:tc>
        <w:tc>
          <w:tcPr>
            <w:tcW w:w="108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77</w:t>
            </w:r>
          </w:p>
        </w:tc>
        <w:tc>
          <w:tcPr>
            <w:tcW w:w="620" w:type="dxa"/>
            <w:vAlign w:val="bottom"/>
          </w:tcPr>
          <w:p>
            <w:pPr>
              <w:spacing w:after="0"/>
              <w:rPr>
                <w:sz w:val="19"/>
                <w:szCs w:val="19"/>
                <w:color w:val="auto"/>
              </w:rPr>
            </w:pPr>
          </w:p>
        </w:tc>
        <w:tc>
          <w:tcPr>
            <w:tcW w:w="9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5"/>
        </w:trPr>
        <w:tc>
          <w:tcPr>
            <w:tcW w:w="4060" w:type="dxa"/>
            <w:vAlign w:val="bottom"/>
          </w:tcPr>
          <w:p>
            <w:pPr>
              <w:ind w:left="220"/>
              <w:spacing w:after="0" w:line="225" w:lineRule="exact"/>
              <w:rPr>
                <w:sz w:val="20"/>
                <w:szCs w:val="20"/>
                <w:color w:val="auto"/>
              </w:rPr>
            </w:pPr>
            <w:r>
              <w:rPr>
                <w:rFonts w:ascii="Times New Roman" w:cs="Times New Roman" w:eastAsia="Times New Roman" w:hAnsi="Times New Roman"/>
                <w:sz w:val="18"/>
                <w:szCs w:val="18"/>
                <w:color w:val="auto"/>
              </w:rPr>
              <w:t xml:space="preserve">Transaction-related items </w:t>
            </w:r>
            <w:r>
              <w:rPr>
                <w:rFonts w:ascii="Times New Roman" w:cs="Times New Roman" w:eastAsia="Times New Roman" w:hAnsi="Times New Roman"/>
                <w:sz w:val="22"/>
                <w:szCs w:val="22"/>
                <w:color w:val="auto"/>
                <w:vertAlign w:val="superscript"/>
              </w:rPr>
              <w:t>(d)</w:t>
            </w:r>
          </w:p>
        </w:tc>
        <w:tc>
          <w:tcPr>
            <w:tcW w:w="500" w:type="dxa"/>
            <w:vAlign w:val="bottom"/>
          </w:tcPr>
          <w:p>
            <w:pPr>
              <w:spacing w:after="0"/>
              <w:rPr>
                <w:sz w:val="19"/>
                <w:szCs w:val="19"/>
                <w:color w:val="auto"/>
              </w:rPr>
            </w:pPr>
          </w:p>
        </w:tc>
        <w:tc>
          <w:tcPr>
            <w:tcW w:w="11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(156)</w:t>
            </w:r>
          </w:p>
        </w:tc>
        <w:tc>
          <w:tcPr>
            <w:tcW w:w="360" w:type="dxa"/>
            <w:vAlign w:val="bottom"/>
          </w:tcPr>
          <w:p>
            <w:pPr>
              <w:spacing w:after="0"/>
              <w:rPr>
                <w:sz w:val="19"/>
                <w:szCs w:val="19"/>
                <w:color w:val="auto"/>
              </w:rPr>
            </w:pPr>
          </w:p>
        </w:tc>
        <w:tc>
          <w:tcPr>
            <w:tcW w:w="11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27</w:t>
            </w:r>
          </w:p>
        </w:tc>
        <w:tc>
          <w:tcPr>
            <w:tcW w:w="700" w:type="dxa"/>
            <w:vAlign w:val="bottom"/>
          </w:tcPr>
          <w:p>
            <w:pPr>
              <w:spacing w:after="0"/>
              <w:rPr>
                <w:sz w:val="19"/>
                <w:szCs w:val="19"/>
                <w:color w:val="auto"/>
              </w:rPr>
            </w:pP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(129)</w:t>
            </w:r>
          </w:p>
        </w:tc>
        <w:tc>
          <w:tcPr>
            <w:tcW w:w="620" w:type="dxa"/>
            <w:vAlign w:val="bottom"/>
          </w:tcPr>
          <w:p>
            <w:pPr>
              <w:spacing w:after="0"/>
              <w:rPr>
                <w:sz w:val="19"/>
                <w:szCs w:val="19"/>
                <w:color w:val="auto"/>
              </w:rPr>
            </w:pP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5"/>
        </w:trPr>
        <w:tc>
          <w:tcPr>
            <w:tcW w:w="4060" w:type="dxa"/>
            <w:vAlign w:val="bottom"/>
          </w:tcPr>
          <w:p>
            <w:pPr>
              <w:ind w:left="220"/>
              <w:spacing w:after="0" w:line="225" w:lineRule="exact"/>
              <w:rPr>
                <w:sz w:val="20"/>
                <w:szCs w:val="20"/>
                <w:color w:val="auto"/>
              </w:rPr>
            </w:pPr>
            <w:r>
              <w:rPr>
                <w:rFonts w:ascii="Times New Roman" w:cs="Times New Roman" w:eastAsia="Times New Roman" w:hAnsi="Times New Roman"/>
                <w:sz w:val="18"/>
                <w:szCs w:val="18"/>
                <w:color w:val="auto"/>
              </w:rPr>
              <w:t xml:space="preserve">Other corporate matters </w:t>
            </w:r>
            <w:r>
              <w:rPr>
                <w:rFonts w:ascii="Times New Roman" w:cs="Times New Roman" w:eastAsia="Times New Roman" w:hAnsi="Times New Roman"/>
                <w:sz w:val="22"/>
                <w:szCs w:val="22"/>
                <w:color w:val="auto"/>
                <w:vertAlign w:val="superscript"/>
              </w:rPr>
              <w:t>(e)</w:t>
            </w:r>
          </w:p>
        </w:tc>
        <w:tc>
          <w:tcPr>
            <w:tcW w:w="500" w:type="dxa"/>
            <w:vAlign w:val="bottom"/>
          </w:tcPr>
          <w:p>
            <w:pPr>
              <w:spacing w:after="0"/>
              <w:rPr>
                <w:sz w:val="19"/>
                <w:szCs w:val="19"/>
                <w:color w:val="auto"/>
              </w:rPr>
            </w:pPr>
          </w:p>
        </w:tc>
        <w:tc>
          <w:tcPr>
            <w:tcW w:w="11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tcPr>
          <w:p>
            <w:pPr>
              <w:spacing w:after="0"/>
              <w:rPr>
                <w:sz w:val="19"/>
                <w:szCs w:val="19"/>
                <w:color w:val="auto"/>
              </w:rPr>
            </w:pPr>
          </w:p>
        </w:tc>
        <w:tc>
          <w:tcPr>
            <w:tcW w:w="11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6</w:t>
            </w:r>
          </w:p>
        </w:tc>
        <w:tc>
          <w:tcPr>
            <w:tcW w:w="700" w:type="dxa"/>
            <w:vAlign w:val="bottom"/>
          </w:tcPr>
          <w:p>
            <w:pPr>
              <w:spacing w:after="0"/>
              <w:rPr>
                <w:sz w:val="19"/>
                <w:szCs w:val="19"/>
                <w:color w:val="auto"/>
              </w:rPr>
            </w:pPr>
          </w:p>
        </w:tc>
        <w:tc>
          <w:tcPr>
            <w:tcW w:w="108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29</w:t>
            </w:r>
          </w:p>
        </w:tc>
        <w:tc>
          <w:tcPr>
            <w:tcW w:w="620" w:type="dxa"/>
            <w:vAlign w:val="bottom"/>
          </w:tcPr>
          <w:p>
            <w:pPr>
              <w:spacing w:after="0"/>
              <w:rPr>
                <w:sz w:val="19"/>
                <w:szCs w:val="19"/>
                <w:color w:val="auto"/>
              </w:rPr>
            </w:pPr>
          </w:p>
        </w:tc>
        <w:tc>
          <w:tcPr>
            <w:tcW w:w="9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8"/>
        </w:trPr>
        <w:tc>
          <w:tcPr>
            <w:tcW w:w="4060" w:type="dxa"/>
            <w:vAlign w:val="bottom"/>
          </w:tcPr>
          <w:p>
            <w:pPr>
              <w:ind w:left="220"/>
              <w:spacing w:after="0" w:line="228" w:lineRule="exact"/>
              <w:rPr>
                <w:sz w:val="20"/>
                <w:szCs w:val="20"/>
                <w:color w:val="auto"/>
              </w:rPr>
            </w:pPr>
            <w:r>
              <w:rPr>
                <w:rFonts w:ascii="Times New Roman" w:cs="Times New Roman" w:eastAsia="Times New Roman" w:hAnsi="Times New Roman"/>
                <w:sz w:val="18"/>
                <w:szCs w:val="18"/>
                <w:color w:val="auto"/>
              </w:rPr>
              <w:t xml:space="preserve">Gain from investments </w:t>
            </w:r>
            <w:r>
              <w:rPr>
                <w:rFonts w:ascii="Times New Roman" w:cs="Times New Roman" w:eastAsia="Times New Roman" w:hAnsi="Times New Roman"/>
                <w:sz w:val="22"/>
                <w:szCs w:val="22"/>
                <w:color w:val="auto"/>
                <w:vertAlign w:val="superscript"/>
              </w:rPr>
              <w:t>(f)</w:t>
            </w:r>
          </w:p>
        </w:tc>
        <w:tc>
          <w:tcPr>
            <w:tcW w:w="500" w:type="dxa"/>
            <w:vAlign w:val="bottom"/>
          </w:tcPr>
          <w:p>
            <w:pPr>
              <w:spacing w:after="0"/>
              <w:rPr>
                <w:sz w:val="19"/>
                <w:szCs w:val="19"/>
                <w:color w:val="auto"/>
              </w:rPr>
            </w:pPr>
          </w:p>
        </w:tc>
        <w:tc>
          <w:tcPr>
            <w:tcW w:w="11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(168)</w:t>
            </w:r>
          </w:p>
        </w:tc>
        <w:tc>
          <w:tcPr>
            <w:tcW w:w="360" w:type="dxa"/>
            <w:vAlign w:val="bottom"/>
          </w:tcPr>
          <w:p>
            <w:pPr>
              <w:spacing w:after="0"/>
              <w:rPr>
                <w:sz w:val="19"/>
                <w:szCs w:val="19"/>
                <w:color w:val="auto"/>
              </w:rPr>
            </w:pPr>
          </w:p>
        </w:tc>
        <w:tc>
          <w:tcPr>
            <w:tcW w:w="11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60</w:t>
            </w:r>
          </w:p>
        </w:tc>
        <w:tc>
          <w:tcPr>
            <w:tcW w:w="700" w:type="dxa"/>
            <w:vAlign w:val="bottom"/>
          </w:tcPr>
          <w:p>
            <w:pPr>
              <w:spacing w:after="0"/>
              <w:rPr>
                <w:sz w:val="19"/>
                <w:szCs w:val="19"/>
                <w:color w:val="auto"/>
              </w:rPr>
            </w:pP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(108)</w:t>
            </w:r>
          </w:p>
        </w:tc>
        <w:tc>
          <w:tcPr>
            <w:tcW w:w="620" w:type="dxa"/>
            <w:vAlign w:val="bottom"/>
          </w:tcPr>
          <w:p>
            <w:pPr>
              <w:spacing w:after="0"/>
              <w:rPr>
                <w:sz w:val="19"/>
                <w:szCs w:val="19"/>
                <w:color w:val="auto"/>
              </w:rPr>
            </w:pP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2"/>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500" w:type="dxa"/>
            <w:vAlign w:val="bottom"/>
          </w:tcPr>
          <w:p>
            <w:pPr>
              <w:spacing w:after="0"/>
              <w:rPr>
                <w:sz w:val="19"/>
                <w:szCs w:val="19"/>
                <w:color w:val="auto"/>
              </w:rPr>
            </w:pPr>
          </w:p>
        </w:tc>
        <w:tc>
          <w:tcPr>
            <w:tcW w:w="11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(29)</w:t>
            </w:r>
          </w:p>
        </w:tc>
        <w:tc>
          <w:tcPr>
            <w:tcW w:w="360" w:type="dxa"/>
            <w:vAlign w:val="bottom"/>
          </w:tcPr>
          <w:p>
            <w:pPr>
              <w:spacing w:after="0"/>
              <w:rPr>
                <w:sz w:val="19"/>
                <w:szCs w:val="19"/>
                <w:color w:val="auto"/>
              </w:rPr>
            </w:pPr>
          </w:p>
        </w:tc>
        <w:tc>
          <w:tcPr>
            <w:tcW w:w="11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7</w:t>
            </w:r>
          </w:p>
        </w:tc>
        <w:tc>
          <w:tcPr>
            <w:tcW w:w="700" w:type="dxa"/>
            <w:vAlign w:val="bottom"/>
          </w:tcPr>
          <w:p>
            <w:pPr>
              <w:spacing w:after="0"/>
              <w:rPr>
                <w:sz w:val="19"/>
                <w:szCs w:val="19"/>
                <w:color w:val="auto"/>
              </w:rPr>
            </w:pP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(22)</w:t>
            </w:r>
          </w:p>
        </w:tc>
        <w:tc>
          <w:tcPr>
            <w:tcW w:w="620" w:type="dxa"/>
            <w:vAlign w:val="bottom"/>
          </w:tcPr>
          <w:p>
            <w:pPr>
              <w:spacing w:after="0"/>
              <w:rPr>
                <w:sz w:val="19"/>
                <w:szCs w:val="19"/>
                <w:color w:val="auto"/>
              </w:rPr>
            </w:pP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8"/>
        </w:trPr>
        <w:tc>
          <w:tcPr>
            <w:tcW w:w="4060" w:type="dxa"/>
            <w:vAlign w:val="bottom"/>
          </w:tcPr>
          <w:p>
            <w:pPr>
              <w:ind w:left="220"/>
              <w:spacing w:after="0" w:line="228" w:lineRule="exact"/>
              <w:rPr>
                <w:sz w:val="20"/>
                <w:szCs w:val="20"/>
                <w:color w:val="auto"/>
              </w:rPr>
            </w:pPr>
            <w:r>
              <w:rPr>
                <w:rFonts w:ascii="Times New Roman" w:cs="Times New Roman" w:eastAsia="Times New Roman" w:hAnsi="Times New Roman"/>
                <w:sz w:val="18"/>
                <w:szCs w:val="18"/>
                <w:color w:val="auto"/>
              </w:rPr>
              <w:t xml:space="preserve">Discrete tax items </w:t>
            </w:r>
            <w:r>
              <w:rPr>
                <w:rFonts w:ascii="Times New Roman" w:cs="Times New Roman" w:eastAsia="Times New Roman" w:hAnsi="Times New Roman"/>
                <w:sz w:val="22"/>
                <w:szCs w:val="22"/>
                <w:color w:val="auto"/>
                <w:vertAlign w:val="superscript"/>
              </w:rPr>
              <w:t>(g)</w:t>
            </w:r>
          </w:p>
        </w:tc>
        <w:tc>
          <w:tcPr>
            <w:tcW w:w="500" w:type="dxa"/>
            <w:vAlign w:val="bottom"/>
          </w:tcPr>
          <w:p>
            <w:pPr>
              <w:spacing w:after="0"/>
              <w:rPr>
                <w:sz w:val="19"/>
                <w:szCs w:val="19"/>
                <w:color w:val="auto"/>
              </w:rPr>
            </w:pPr>
          </w:p>
        </w:tc>
        <w:tc>
          <w:tcPr>
            <w:tcW w:w="11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(31)</w:t>
            </w:r>
          </w:p>
        </w:tc>
        <w:tc>
          <w:tcPr>
            <w:tcW w:w="700" w:type="dxa"/>
            <w:vAlign w:val="bottom"/>
          </w:tcPr>
          <w:p>
            <w:pPr>
              <w:spacing w:after="0"/>
              <w:rPr>
                <w:sz w:val="19"/>
                <w:szCs w:val="19"/>
                <w:color w:val="auto"/>
              </w:rPr>
            </w:pP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(31)</w:t>
            </w:r>
          </w:p>
        </w:tc>
        <w:tc>
          <w:tcPr>
            <w:tcW w:w="620" w:type="dxa"/>
            <w:vAlign w:val="bottom"/>
          </w:tcPr>
          <w:p>
            <w:pPr>
              <w:spacing w:after="0"/>
              <w:rPr>
                <w:sz w:val="19"/>
                <w:szCs w:val="19"/>
                <w:color w:val="auto"/>
              </w:rPr>
            </w:pP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177"/>
        </w:trPr>
        <w:tc>
          <w:tcPr>
            <w:tcW w:w="4060" w:type="dxa"/>
            <w:vAlign w:val="bottom"/>
          </w:tcPr>
          <w:p>
            <w:pPr>
              <w:ind w:left="220"/>
              <w:spacing w:after="0" w:line="177" w:lineRule="exact"/>
              <w:rPr>
                <w:sz w:val="20"/>
                <w:szCs w:val="20"/>
                <w:color w:val="auto"/>
              </w:rPr>
            </w:pPr>
            <w:r>
              <w:rPr>
                <w:rFonts w:ascii="Times New Roman" w:cs="Times New Roman" w:eastAsia="Times New Roman" w:hAnsi="Times New Roman"/>
                <w:sz w:val="18"/>
                <w:szCs w:val="18"/>
                <w:color w:val="auto"/>
              </w:rPr>
              <w:t>Impairment of equity-method investment,</w:t>
            </w:r>
          </w:p>
        </w:tc>
        <w:tc>
          <w:tcPr>
            <w:tcW w:w="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net of tax</w:t>
            </w:r>
          </w:p>
        </w:tc>
        <w:tc>
          <w:tcPr>
            <w:tcW w:w="5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16</w:t>
            </w:r>
          </w:p>
        </w:tc>
        <w:tc>
          <w:tcPr>
            <w:tcW w:w="6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5"/>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(Non-GAAP)</w:t>
            </w:r>
          </w:p>
        </w:tc>
        <w:tc>
          <w:tcPr>
            <w:tcW w:w="5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973</w:t>
            </w:r>
          </w:p>
        </w:tc>
        <w:tc>
          <w:tcPr>
            <w:tcW w:w="3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92"/>
              <w:spacing w:after="0" w:line="219" w:lineRule="exact"/>
              <w:rPr>
                <w:sz w:val="20"/>
                <w:szCs w:val="20"/>
                <w:color w:val="auto"/>
              </w:rPr>
            </w:pPr>
            <w:r>
              <w:rPr>
                <w:rFonts w:ascii="Times New Roman" w:cs="Times New Roman" w:eastAsia="Times New Roman" w:hAnsi="Times New Roman"/>
                <w:sz w:val="18"/>
                <w:szCs w:val="18"/>
                <w:color w:val="auto"/>
              </w:rPr>
              <w:t xml:space="preserve">(197) </w:t>
            </w:r>
            <w:r>
              <w:rPr>
                <w:rFonts w:ascii="Times New Roman" w:cs="Times New Roman" w:eastAsia="Times New Roman" w:hAnsi="Times New Roman"/>
                <w:sz w:val="22"/>
                <w:szCs w:val="22"/>
                <w:color w:val="auto"/>
                <w:vertAlign w:val="superscript"/>
              </w:rPr>
              <w:t>(h)</w:t>
            </w:r>
          </w:p>
        </w:tc>
        <w:tc>
          <w:tcPr>
            <w:tcW w:w="7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400</w:t>
            </w:r>
          </w:p>
        </w:tc>
        <w:tc>
          <w:tcPr>
            <w:tcW w:w="6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220" w:hanging="215"/>
        <w:spacing w:after="0"/>
        <w:tabs>
          <w:tab w:leader="none" w:pos="2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Reflects programming charges associated with major changes to our content strategy, which are further described under </w:t>
      </w:r>
      <w:r>
        <w:rPr>
          <w:rFonts w:ascii="Times New Roman" w:cs="Times New Roman" w:eastAsia="Times New Roman" w:hAnsi="Times New Roman"/>
          <w:sz w:val="16"/>
          <w:szCs w:val="16"/>
          <w:i w:val="1"/>
          <w:iCs w:val="1"/>
          <w:color w:val="auto"/>
        </w:rPr>
        <w:t>Programming Charges</w:t>
      </w:r>
      <w:r>
        <w:rPr>
          <w:rFonts w:ascii="Times New Roman" w:cs="Times New Roman" w:eastAsia="Times New Roman" w:hAnsi="Times New Roman"/>
          <w:sz w:val="16"/>
          <w:szCs w:val="16"/>
          <w:color w:val="auto"/>
        </w:rPr>
        <w:t>.</w:t>
      </w:r>
    </w:p>
    <w:p>
      <w:pPr>
        <w:spacing w:after="0" w:line="69" w:lineRule="exact"/>
        <w:rPr>
          <w:rFonts w:ascii="Times New Roman" w:cs="Times New Roman" w:eastAsia="Times New Roman" w:hAnsi="Times New Roman"/>
          <w:sz w:val="16"/>
          <w:szCs w:val="16"/>
          <w:color w:val="auto"/>
        </w:rPr>
      </w:pPr>
    </w:p>
    <w:p>
      <w:pPr>
        <w:ind w:left="240" w:hanging="235"/>
        <w:spacing w:after="0"/>
        <w:tabs>
          <w:tab w:leader="none" w:pos="2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charge to reduce the carrying values of FCC licenses in certain markets to their estimated fair values.</w:t>
      </w:r>
    </w:p>
    <w:p>
      <w:pPr>
        <w:spacing w:after="0" w:line="52" w:lineRule="exact"/>
        <w:rPr>
          <w:rFonts w:ascii="Times New Roman" w:cs="Times New Roman" w:eastAsia="Times New Roman" w:hAnsi="Times New Roman"/>
          <w:sz w:val="16"/>
          <w:szCs w:val="16"/>
          <w:color w:val="auto"/>
        </w:rPr>
      </w:pPr>
    </w:p>
    <w:p>
      <w:pPr>
        <w:ind w:left="240" w:hanging="235"/>
        <w:spacing w:after="0" w:line="275" w:lineRule="auto"/>
        <w:tabs>
          <w:tab w:leader="none" w:pos="218"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Consists of $67 million for severance costs and $35 million for the impairment of lease assets, as further described under </w:t>
      </w:r>
      <w:r>
        <w:rPr>
          <w:rFonts w:ascii="Times New Roman" w:cs="Times New Roman" w:eastAsia="Times New Roman" w:hAnsi="Times New Roman"/>
          <w:sz w:val="16"/>
          <w:szCs w:val="16"/>
          <w:i w:val="1"/>
          <w:iCs w:val="1"/>
          <w:color w:val="auto"/>
        </w:rPr>
        <w:t>Restructuring, Transaction-Related Items,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Other Corporate Matters</w:t>
      </w:r>
      <w:r>
        <w:rPr>
          <w:rFonts w:ascii="Times New Roman" w:cs="Times New Roman" w:eastAsia="Times New Roman" w:hAnsi="Times New Roman"/>
          <w:sz w:val="16"/>
          <w:szCs w:val="16"/>
          <w:color w:val="auto"/>
        </w:rPr>
        <w:t>.</w:t>
      </w:r>
    </w:p>
    <w:p>
      <w:pPr>
        <w:spacing w:after="0" w:line="17" w:lineRule="exact"/>
        <w:rPr>
          <w:rFonts w:ascii="Times New Roman" w:cs="Times New Roman" w:eastAsia="Times New Roman" w:hAnsi="Times New Roman"/>
          <w:sz w:val="16"/>
          <w:szCs w:val="16"/>
          <w:color w:val="auto"/>
        </w:rPr>
      </w:pPr>
    </w:p>
    <w:p>
      <w:pPr>
        <w:ind w:left="240" w:hanging="235"/>
        <w:spacing w:after="0" w:line="272" w:lineRule="auto"/>
        <w:tabs>
          <w:tab w:leader="none" w:pos="229"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benefit principally associated with stockholder litigation related to the 2019 merger of Viacom Inc. (“Viacom”) and CBS Corporation (“CBS”), consisting of $120 million from a settlement received in the fourth quarter of 2023, as well as insurance recoveries.</w:t>
      </w:r>
    </w:p>
    <w:p>
      <w:pPr>
        <w:spacing w:after="0" w:line="18" w:lineRule="exact"/>
        <w:rPr>
          <w:rFonts w:ascii="Times New Roman" w:cs="Times New Roman" w:eastAsia="Times New Roman" w:hAnsi="Times New Roman"/>
          <w:sz w:val="16"/>
          <w:szCs w:val="16"/>
          <w:color w:val="auto"/>
        </w:rPr>
      </w:pPr>
    </w:p>
    <w:p>
      <w:pPr>
        <w:ind w:left="220" w:hanging="215"/>
        <w:spacing w:after="0"/>
        <w:tabs>
          <w:tab w:leader="none" w:pos="2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Reflects a charge to increase our accrual for asbestos matters as discussed under </w:t>
      </w:r>
      <w:r>
        <w:rPr>
          <w:rFonts w:ascii="Times New Roman" w:cs="Times New Roman" w:eastAsia="Times New Roman" w:hAnsi="Times New Roman"/>
          <w:sz w:val="16"/>
          <w:szCs w:val="16"/>
          <w:i w:val="1"/>
          <w:iCs w:val="1"/>
          <w:color w:val="auto"/>
        </w:rPr>
        <w:t>Legal Matters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Claims Related to Former Businesses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Asbestos</w:t>
      </w:r>
      <w:r>
        <w:rPr>
          <w:rFonts w:ascii="Times New Roman" w:cs="Times New Roman" w:eastAsia="Times New Roman" w:hAnsi="Times New Roman"/>
          <w:sz w:val="16"/>
          <w:szCs w:val="16"/>
          <w:color w:val="auto"/>
        </w:rPr>
        <w:t>.</w:t>
      </w:r>
    </w:p>
    <w:p>
      <w:pPr>
        <w:spacing w:after="0" w:line="56" w:lineRule="exact"/>
        <w:rPr>
          <w:rFonts w:ascii="Times New Roman" w:cs="Times New Roman" w:eastAsia="Times New Roman" w:hAnsi="Times New Roman"/>
          <w:sz w:val="16"/>
          <w:szCs w:val="16"/>
          <w:color w:val="auto"/>
        </w:rPr>
      </w:pPr>
    </w:p>
    <w:p>
      <w:pPr>
        <w:ind w:left="240" w:hanging="235"/>
        <w:spacing w:after="0" w:line="272" w:lineRule="auto"/>
        <w:tabs>
          <w:tab w:leader="none" w:pos="211"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gain recognized on our retained interest in Viacom18 following the discontinuance of equity method accounting resulting from the dilution of our interest from 49% to 13%.</w:t>
      </w:r>
    </w:p>
    <w:p>
      <w:pPr>
        <w:spacing w:after="0" w:line="20" w:lineRule="exact"/>
        <w:rPr>
          <w:rFonts w:ascii="Times New Roman" w:cs="Times New Roman" w:eastAsia="Times New Roman" w:hAnsi="Times New Roman"/>
          <w:sz w:val="16"/>
          <w:szCs w:val="16"/>
          <w:color w:val="auto"/>
        </w:rPr>
      </w:pPr>
    </w:p>
    <w:p>
      <w:pPr>
        <w:jc w:val="both"/>
        <w:ind w:left="240" w:hanging="235"/>
        <w:spacing w:after="0" w:line="266" w:lineRule="auto"/>
        <w:tabs>
          <w:tab w:leader="none" w:pos="235"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reflects tax benefits from the resolution of an income tax matter in a foreign jurisdiction, guidance issued in 2023 by the Internal Revenue Service (“IRS”) that resulted in additional foreign taxes from 2022 being eligible for a foreign tax credit, and the settlement of income tax audits, partially offset by tax expense relating to the vesting of stock-based compensation.</w:t>
      </w:r>
    </w:p>
    <w:p>
      <w:pPr>
        <w:spacing w:after="0" w:line="10" w:lineRule="exact"/>
        <w:rPr>
          <w:rFonts w:ascii="Times New Roman" w:cs="Times New Roman" w:eastAsia="Times New Roman" w:hAnsi="Times New Roman"/>
          <w:sz w:val="16"/>
          <w:szCs w:val="16"/>
          <w:color w:val="auto"/>
        </w:rPr>
      </w:pPr>
    </w:p>
    <w:p>
      <w:pPr>
        <w:jc w:val="both"/>
        <w:ind w:left="240" w:hanging="235"/>
        <w:spacing w:after="0" w:line="266" w:lineRule="auto"/>
        <w:tabs>
          <w:tab w:leader="none" w:pos="23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reported effective income tax rate for the year ended December 31, 2023 was 28.8% and the adjusted effective income tax rate, which is calculated as the adjusted provision for income taxes of $197 million divided by adjusted earnings from continuing operations before income taxes of $973 million, was 20.2%. These adjusted measures exclude the items affecting comparability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73660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20"/>
          </w:cols>
          <w:pgMar w:left="480" w:top="828" w:right="49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Consolidated Results of Operations - 2024 vs.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Revenues</w:t>
      </w:r>
    </w:p>
    <w:p>
      <w:pPr>
        <w:spacing w:after="0" w:line="197" w:lineRule="exact"/>
        <w:rPr>
          <w:sz w:val="20"/>
          <w:szCs w:val="20"/>
          <w:color w:val="auto"/>
        </w:rPr>
      </w:pPr>
    </w:p>
    <w:tbl>
      <w:tblPr>
        <w:tblLayout w:type="fixed"/>
        <w:tblInd w:w="520" w:type="dxa"/>
        <w:tblCellMar>
          <w:top w:w="0" w:type="dxa"/>
          <w:left w:w="0" w:type="dxa"/>
          <w:bottom w:w="0" w:type="dxa"/>
          <w:right w:w="0" w:type="dxa"/>
        </w:tblCellMar>
      </w:tblPr>
      <w:tr>
        <w:trPr>
          <w:trHeight w:val="245"/>
        </w:trPr>
        <w:tc>
          <w:tcPr>
            <w:tcW w:w="2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by Type</w:t>
            </w:r>
          </w:p>
        </w:tc>
        <w:tc>
          <w:tcPr>
            <w:tcW w:w="6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3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38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gridSpan w:val="2"/>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2"/>
        </w:trPr>
        <w:tc>
          <w:tcPr>
            <w:tcW w:w="2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3"/>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10,295</w:t>
            </w: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35 %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9,989</w:t>
            </w:r>
          </w:p>
        </w:tc>
        <w:tc>
          <w:tcPr>
            <w:tcW w:w="13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33 %</w:t>
            </w:r>
          </w:p>
        </w:tc>
        <w:tc>
          <w:tcPr>
            <w:tcW w:w="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306</w:t>
            </w: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3 %</w:t>
            </w:r>
          </w:p>
        </w:tc>
      </w:tr>
      <w:tr>
        <w:trPr>
          <w:trHeight w:val="225"/>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Affiliate and subscription</w:t>
            </w:r>
          </w:p>
        </w:tc>
        <w:tc>
          <w:tcPr>
            <w:tcW w:w="680" w:type="dxa"/>
            <w:vAlign w:val="bottom"/>
          </w:tcPr>
          <w:p>
            <w:pPr>
              <w:spacing w:after="0"/>
              <w:rPr>
                <w:sz w:val="19"/>
                <w:szCs w:val="19"/>
                <w:color w:val="auto"/>
              </w:rPr>
            </w:pP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13,153</w:t>
            </w:r>
          </w:p>
        </w:tc>
        <w:tc>
          <w:tcPr>
            <w:tcW w:w="13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45</w:t>
            </w:r>
          </w:p>
        </w:tc>
        <w:tc>
          <w:tcPr>
            <w:tcW w:w="340" w:type="dxa"/>
            <w:vAlign w:val="bottom"/>
          </w:tcPr>
          <w:p>
            <w:pPr>
              <w:spacing w:after="0"/>
              <w:rPr>
                <w:sz w:val="19"/>
                <w:szCs w:val="19"/>
                <w:color w:val="auto"/>
              </w:rPr>
            </w:pP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13,018</w:t>
            </w:r>
          </w:p>
        </w:tc>
        <w:tc>
          <w:tcPr>
            <w:tcW w:w="13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44</w:t>
            </w:r>
          </w:p>
        </w:tc>
        <w:tc>
          <w:tcPr>
            <w:tcW w:w="380" w:type="dxa"/>
            <w:vAlign w:val="bottom"/>
          </w:tcPr>
          <w:p>
            <w:pPr>
              <w:spacing w:after="0"/>
              <w:rPr>
                <w:sz w:val="19"/>
                <w:szCs w:val="19"/>
                <w:color w:val="auto"/>
              </w:rPr>
            </w:pPr>
          </w:p>
        </w:tc>
        <w:tc>
          <w:tcPr>
            <w:tcW w:w="9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135</w:t>
            </w:r>
          </w:p>
        </w:tc>
        <w:tc>
          <w:tcPr>
            <w:tcW w:w="10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Theatrical</w:t>
            </w:r>
          </w:p>
        </w:tc>
        <w:tc>
          <w:tcPr>
            <w:tcW w:w="680" w:type="dxa"/>
            <w:vAlign w:val="bottom"/>
          </w:tcPr>
          <w:p>
            <w:pPr>
              <w:spacing w:after="0"/>
              <w:rPr>
                <w:sz w:val="19"/>
                <w:szCs w:val="19"/>
                <w:color w:val="auto"/>
              </w:rPr>
            </w:pP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813</w:t>
            </w:r>
          </w:p>
        </w:tc>
        <w:tc>
          <w:tcPr>
            <w:tcW w:w="13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9"/>
                <w:szCs w:val="19"/>
                <w:color w:val="auto"/>
              </w:rPr>
            </w:pP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813</w:t>
            </w:r>
          </w:p>
        </w:tc>
        <w:tc>
          <w:tcPr>
            <w:tcW w:w="13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Pr>
          <w:p>
            <w:pPr>
              <w:spacing w:after="0"/>
              <w:rPr>
                <w:sz w:val="19"/>
                <w:szCs w:val="19"/>
                <w:color w:val="auto"/>
              </w:rPr>
            </w:pPr>
          </w:p>
        </w:tc>
        <w:tc>
          <w:tcPr>
            <w:tcW w:w="9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Licensing and other</w:t>
            </w:r>
          </w:p>
        </w:tc>
        <w:tc>
          <w:tcPr>
            <w:tcW w:w="6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4,952</w:t>
            </w:r>
          </w:p>
        </w:tc>
        <w:tc>
          <w:tcPr>
            <w:tcW w:w="13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5,832</w:t>
            </w:r>
          </w:p>
        </w:tc>
        <w:tc>
          <w:tcPr>
            <w:tcW w:w="13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(880)</w:t>
            </w:r>
          </w:p>
        </w:tc>
        <w:tc>
          <w:tcPr>
            <w:tcW w:w="10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(15)</w:t>
            </w:r>
          </w:p>
        </w:tc>
      </w:tr>
      <w:tr>
        <w:trPr>
          <w:trHeight w:val="225"/>
        </w:trPr>
        <w:tc>
          <w:tcPr>
            <w:tcW w:w="24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29,213</w:t>
            </w:r>
          </w:p>
        </w:tc>
        <w:tc>
          <w:tcPr>
            <w:tcW w:w="1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100 %</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29,652</w:t>
            </w:r>
          </w:p>
        </w:tc>
        <w:tc>
          <w:tcPr>
            <w:tcW w:w="13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100 %</w:t>
            </w:r>
          </w:p>
        </w:tc>
        <w:tc>
          <w:tcPr>
            <w:tcW w:w="3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(439)</w:t>
            </w:r>
          </w:p>
        </w:tc>
        <w:tc>
          <w:tcPr>
            <w:tcW w:w="10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Advertising</w:t>
      </w:r>
    </w:p>
    <w:p>
      <w:pPr>
        <w:spacing w:after="0" w:line="14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Advertising revenues are generated primarily from the sale of advertising spots on our global broadcast and cable networks, television stations, and streaming services. The 3% increase in advertising revenues primarily reflects growth at our streaming services.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Affiliate and Subscription</w:t>
      </w:r>
    </w:p>
    <w:p>
      <w:pPr>
        <w:spacing w:after="0" w:line="16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Affiliate and subscription revenues are principally comprised of affiliate fees we receive from distributors for their carriage of our cable networks (cable affiliate fees) and television stations (retransmission fees), as well as fees received from third-party television stations for their affiliation with the CBS Television Network (reverse compensation), and subscription fees for our streaming services.</w:t>
      </w:r>
    </w:p>
    <w:p>
      <w:pPr>
        <w:spacing w:after="0" w:line="18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Affiliate and subscription revenues grew 1%, reflecting an increase of approximately 5% from higher streaming subscription fees, driven by subscriber growth and domestic pricing increases for Paramount+, partially offset by decreases of approximately 3% from declines in linear affiliate fees and approximately 2% from the absence of pay-per-view boxing events. Paramount+ subscribers grew to 77.5 million at December 31, 2024 from 67.5 million at December 31,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Theatrical</w:t>
      </w:r>
    </w:p>
    <w:p>
      <w:pPr>
        <w:spacing w:after="0" w:line="1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 xml:space="preserve">Theatrical revenues are principally earned from the worldwide theatrical distribution of films through audience ticket sales, and were $813 million in each of 2024 and 2023. Theatrical releases in 2024 included </w:t>
      </w:r>
      <w:r>
        <w:rPr>
          <w:rFonts w:ascii="Times New Roman" w:cs="Times New Roman" w:eastAsia="Times New Roman" w:hAnsi="Times New Roman"/>
          <w:sz w:val="19"/>
          <w:szCs w:val="19"/>
          <w:i w:val="1"/>
          <w:iCs w:val="1"/>
          <w:color w:val="auto"/>
        </w:rPr>
        <w:t>Gladiator II</w:t>
      </w:r>
      <w:r>
        <w:rPr>
          <w:rFonts w:ascii="Times New Roman" w:cs="Times New Roman" w:eastAsia="Times New Roman" w:hAnsi="Times New Roman"/>
          <w:sz w:val="19"/>
          <w:szCs w:val="19"/>
          <w:color w:val="auto"/>
        </w:rPr>
        <w:t xml:space="preserve">, A </w:t>
      </w:r>
      <w:r>
        <w:rPr>
          <w:rFonts w:ascii="Times New Roman" w:cs="Times New Roman" w:eastAsia="Times New Roman" w:hAnsi="Times New Roman"/>
          <w:sz w:val="19"/>
          <w:szCs w:val="19"/>
          <w:i w:val="1"/>
          <w:iCs w:val="1"/>
          <w:color w:val="auto"/>
        </w:rPr>
        <w:t>Quiet Place: Day One</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Sonic the Hedgehog 3</w:t>
      </w:r>
      <w:r>
        <w:rPr>
          <w:rFonts w:ascii="Times New Roman" w:cs="Times New Roman" w:eastAsia="Times New Roman" w:hAnsi="Times New Roman"/>
          <w:sz w:val="19"/>
          <w:szCs w:val="19"/>
          <w:color w:val="auto"/>
        </w:rPr>
        <w:t xml:space="preserve"> and in 2023 included </w:t>
      </w:r>
      <w:r>
        <w:rPr>
          <w:rFonts w:ascii="Times New Roman" w:cs="Times New Roman" w:eastAsia="Times New Roman" w:hAnsi="Times New Roman"/>
          <w:sz w:val="19"/>
          <w:szCs w:val="19"/>
          <w:i w:val="1"/>
          <w:iCs w:val="1"/>
          <w:color w:val="auto"/>
        </w:rPr>
        <w:t>Mission: Impossible</w:t>
      </w:r>
      <w:r>
        <w:rPr>
          <w:rFonts w:ascii="Times New Roman" w:cs="Times New Roman" w:eastAsia="Times New Roman" w:hAnsi="Times New Roman"/>
          <w:sz w:val="19"/>
          <w:szCs w:val="19"/>
          <w:color w:val="auto"/>
        </w:rPr>
        <w:t xml:space="preserve"> — </w:t>
      </w:r>
      <w:r>
        <w:rPr>
          <w:rFonts w:ascii="Times New Roman" w:cs="Times New Roman" w:eastAsia="Times New Roman" w:hAnsi="Times New Roman"/>
          <w:sz w:val="19"/>
          <w:szCs w:val="19"/>
          <w:i w:val="1"/>
          <w:iCs w:val="1"/>
          <w:color w:val="auto"/>
        </w:rPr>
        <w:t>Dead Reckoning Part One, Transformers: Rise of the Beasts,</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Dungeons &amp; Dragons: Honor Among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Thieves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Licensing and Other</w:t>
      </w:r>
    </w:p>
    <w:p>
      <w:pPr>
        <w:spacing w:after="0" w:line="1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Licensing and other revenues are principally comprised of fees from the licensing of the rights to exhibit our internally-produced television and film programming on various platforms in the secondary market after its initial exhibition on our owned or third-party platforms; license fees from content produced or distributed for third parties; home entertainment revenues, which include the viewing of our content on a transactional basis through transactional video-on-demand (TVOD) and electronic sell-through services and the sale and distribution of our content through DVDs and Blu-ray discs to wholesale and retail partners; fees from the use of our trademarks and brands for consumer products, recreation and live events; and revenues from the rental of production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50"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9"/>
          <w:szCs w:val="19"/>
          <w:color w:val="auto"/>
        </w:rPr>
        <w:t>The 15% decrease in licensing and other revenues reflects lower revenues from secondary market licensing and content produced for third parties. Content available for licensing in 2024 was impacted by temporary production shutdowns due to labor strikes in 2023.</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Operating Expenses</w:t>
      </w:r>
    </w:p>
    <w:p>
      <w:pPr>
        <w:spacing w:after="0" w:line="184" w:lineRule="exact"/>
        <w:rPr>
          <w:sz w:val="20"/>
          <w:szCs w:val="20"/>
          <w:color w:val="auto"/>
        </w:rPr>
      </w:pPr>
    </w:p>
    <w:tbl>
      <w:tblPr>
        <w:tblLayout w:type="fixed"/>
        <w:tblInd w:w="520" w:type="dxa"/>
        <w:tblCellMar>
          <w:top w:w="0" w:type="dxa"/>
          <w:left w:w="0" w:type="dxa"/>
          <w:bottom w:w="0" w:type="dxa"/>
          <w:right w:w="0" w:type="dxa"/>
        </w:tblCellMar>
      </w:tblPr>
      <w:tr>
        <w:trPr>
          <w:trHeight w:val="245"/>
        </w:trPr>
        <w:tc>
          <w:tcPr>
            <w:tcW w:w="26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 of</w:t>
            </w:r>
          </w:p>
        </w:tc>
        <w:tc>
          <w:tcPr>
            <w:tcW w:w="3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of</w:t>
            </w:r>
          </w:p>
        </w:tc>
        <w:tc>
          <w:tcPr>
            <w:tcW w:w="3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r>
      <w:tr>
        <w:trPr>
          <w:trHeight w:val="225"/>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 by Type</w:t>
            </w: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Operating</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380" w:type="dxa"/>
            <w:vAlign w:val="bottom"/>
          </w:tcPr>
          <w:p>
            <w:pPr>
              <w:spacing w:after="0"/>
              <w:rPr>
                <w:sz w:val="19"/>
                <w:szCs w:val="19"/>
                <w:color w:val="auto"/>
              </w:rPr>
            </w:pPr>
          </w:p>
        </w:tc>
        <w:tc>
          <w:tcPr>
            <w:tcW w:w="202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2"/>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Expenses</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Expenses</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3"/>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 costs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14,964</w:t>
            </w: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77 %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15,753</w:t>
            </w:r>
          </w:p>
        </w:tc>
        <w:tc>
          <w:tcPr>
            <w:tcW w:w="13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79 %</w:t>
            </w:r>
          </w:p>
        </w:tc>
        <w:tc>
          <w:tcPr>
            <w:tcW w:w="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(789)</w:t>
            </w: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Distribution and other</w:t>
            </w:r>
          </w:p>
        </w:tc>
        <w:tc>
          <w:tcPr>
            <w:tcW w:w="5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4,473</w:t>
            </w:r>
          </w:p>
        </w:tc>
        <w:tc>
          <w:tcPr>
            <w:tcW w:w="13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4,264</w:t>
            </w:r>
          </w:p>
        </w:tc>
        <w:tc>
          <w:tcPr>
            <w:tcW w:w="13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21</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209</w:t>
            </w:r>
          </w:p>
        </w:tc>
        <w:tc>
          <w:tcPr>
            <w:tcW w:w="10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2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19,437</w:t>
            </w:r>
          </w:p>
        </w:tc>
        <w:tc>
          <w:tcPr>
            <w:tcW w:w="1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100 %</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20,017</w:t>
            </w:r>
          </w:p>
        </w:tc>
        <w:tc>
          <w:tcPr>
            <w:tcW w:w="1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100 %</w:t>
            </w:r>
          </w:p>
        </w:tc>
        <w:tc>
          <w:tcPr>
            <w:tcW w:w="3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(580)</w:t>
            </w:r>
          </w:p>
        </w:tc>
        <w:tc>
          <w:tcPr>
            <w:tcW w:w="10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w:t>
            </w: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Content Costs</w:t>
      </w:r>
    </w:p>
    <w:p>
      <w:pPr>
        <w:spacing w:after="0" w:line="1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Content costs include the amortization of costs of internally-produced television and theatrical film content; amortization of acquired program rights; other television production costs, including on-air talent; and participation and residuals expenses, which reflect amounts owed to talent and other participants in our content pursuant to contractual and collective bargaining arrangements.</w:t>
      </w:r>
    </w:p>
    <w:p>
      <w:pPr>
        <w:spacing w:after="0" w:line="19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 xml:space="preserve">Content costs decreased 5%, driven by lower costs associated with the decrease in licensing revenues and cost reductions following the combination of Paramount+ and Showtime, partially offset by costs in 2024 for CBS’ broadcast of </w:t>
      </w:r>
      <w:r>
        <w:rPr>
          <w:rFonts w:ascii="Times New Roman" w:cs="Times New Roman" w:eastAsia="Times New Roman" w:hAnsi="Times New Roman"/>
          <w:sz w:val="19"/>
          <w:szCs w:val="19"/>
          <w:i w:val="1"/>
          <w:iCs w:val="1"/>
          <w:color w:val="auto"/>
        </w:rPr>
        <w:t>Super Bowl LVIII</w:t>
      </w:r>
      <w:r>
        <w:rPr>
          <w:rFonts w:ascii="Times New Roman" w:cs="Times New Roman" w:eastAsia="Times New Roman" w:hAnsi="Times New Roman"/>
          <w:sz w:val="19"/>
          <w:szCs w:val="19"/>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Distribution and Other</w:t>
      </w:r>
    </w:p>
    <w:p>
      <w:pPr>
        <w:spacing w:after="0" w:line="1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Distribution and other operating expenses primarily include costs relating to the distribution of our content, including marketing for theatrical releases; revenue-sharing costs, including for third-party distribution and to television stations affiliated with the CBS Television Network; compensation; and other costs associated with our operations.</w:t>
      </w:r>
    </w:p>
    <w:p>
      <w:pPr>
        <w:spacing w:after="0" w:line="19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Distribution and other operating expenses increased 5%, reflecting higher revenue-sharing costs for our streaming services, mainly for third-party distribution, which were driven by higher subscription revenue.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Programming Charges</w:t>
      </w:r>
    </w:p>
    <w:p>
      <w:pPr>
        <w:spacing w:after="0" w:line="1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During 2023 and 2024, we implemented major strategic changes to our content strategy that resulted in the removal of significant levels of content from our platforms, abandonment of development projects and termination of certain programming agreements. In 2023, we combined Paramount+ and Showtime into a single integrated product offering across both the linear and streaming services and began a strategic review of our international content portfolio in order to rationalize our international product offerings as we shifted to a global programming strategy. Leading up to these changes, we performed a comprehensive review of the combined content portfolio of Showtime and Paramount+ and our international content portfolio. As a result of this review, we identified content that did not align with the strategy for our newly combined product offering and content that was not aligned with the type of programming being utilized across our various platforms in accordance with a global programming strategy, which led to content being removed from our platforms, the abandonment of development projects, and the termination of programming agreements. This review continued in the first quarter of 2024 and resulted in the removal of a significant volume of additional content from our platforms, the abandonment of development projects, and the termination of programming agreements, particularly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internationally, including locally-produced content and domestic titles that no longer aligned with our shift to a global programming strategy.</w:t>
      </w:r>
    </w:p>
    <w:p>
      <w:pPr>
        <w:spacing w:after="0" w:line="2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The removal of this content from our platforms was a triggering event that required us to assess whether the affected programming assets were impaired. Our impairment review compared the current carrying value of each title with its fair value, which considered (1) that the titles were no longer being utilized on our platforms and we had no intention to use the titles on our platforms in the future and (2) the estimated future cash flows associated with any anticipated licensing of the titles to third parties, which was minimal. As a result, we recorded programming charges in the applicable periods to write down the carrying value of the impacted titles to their estimated fair value. Programming charges totaled $1.12 billion in 2024, and were comprised of $909 million for the impairment of content to its estimated fair value, as well as $209 million for development cost write-offs and contract termination costs. Programming charges in 2023 totaled $2.37 billion, and were comprised of $1.97 billion for the impairment of content to its estimated fair value and $402 million for development cost write-offs and contract termination costs.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Selling, General and Administrative Expenses</w:t>
      </w:r>
    </w:p>
    <w:p>
      <w:pPr>
        <w:spacing w:after="0" w:line="131" w:lineRule="exact"/>
        <w:rPr>
          <w:sz w:val="20"/>
          <w:szCs w:val="20"/>
          <w:color w:val="auto"/>
        </w:rPr>
      </w:pPr>
    </w:p>
    <w:tbl>
      <w:tblPr>
        <w:tblLayout w:type="fixed"/>
        <w:tblInd w:w="540" w:type="dxa"/>
        <w:tblCellMar>
          <w:top w:w="0" w:type="dxa"/>
          <w:left w:w="0" w:type="dxa"/>
          <w:bottom w:w="0" w:type="dxa"/>
          <w:right w:w="0" w:type="dxa"/>
        </w:tblCellMar>
      </w:tblPr>
      <w:tr>
        <w:trPr>
          <w:trHeight w:val="245"/>
        </w:trPr>
        <w:tc>
          <w:tcPr>
            <w:tcW w:w="4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140" w:type="dxa"/>
            <w:vAlign w:val="bottom"/>
            <w:tcBorders>
              <w:top w:val="single" w:sz="8" w:color="auto"/>
            </w:tcBorders>
            <w:gridSpan w:val="2"/>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2"/>
        </w:trPr>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5"/>
        </w:trPr>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6,658</w:t>
            </w:r>
          </w:p>
        </w:tc>
        <w:tc>
          <w:tcPr>
            <w:tcW w:w="3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7,245</w:t>
            </w:r>
          </w:p>
        </w:tc>
        <w:tc>
          <w:tcPr>
            <w:tcW w:w="4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(587)</w:t>
            </w:r>
          </w:p>
        </w:tc>
        <w:tc>
          <w:tcPr>
            <w:tcW w:w="10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(8)%</w:t>
            </w:r>
          </w:p>
        </w:tc>
      </w:tr>
    </w:tbl>
    <w:p>
      <w:pPr>
        <w:spacing w:after="0" w:line="2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Selling, general and administrative (“SG&amp;A”) expenses include costs incurred for advertising and marketing for our linear networks and streaming services, research, occupancy, professional service fees, and back office support, including employee compensation and technology. The 8% decrease in SG&amp;A expenses principally reflects lower marketing and compensation costs.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Depreciation and Amortization</w:t>
      </w:r>
    </w:p>
    <w:p>
      <w:pPr>
        <w:spacing w:after="0" w:line="144" w:lineRule="exact"/>
        <w:rPr>
          <w:sz w:val="20"/>
          <w:szCs w:val="20"/>
          <w:color w:val="auto"/>
        </w:rPr>
      </w:pPr>
    </w:p>
    <w:tbl>
      <w:tblPr>
        <w:tblLayout w:type="fixed"/>
        <w:tblInd w:w="540" w:type="dxa"/>
        <w:tblCellMar>
          <w:top w:w="0" w:type="dxa"/>
          <w:left w:w="0" w:type="dxa"/>
          <w:bottom w:w="0" w:type="dxa"/>
          <w:right w:w="0" w:type="dxa"/>
        </w:tblCellMar>
      </w:tblPr>
      <w:tr>
        <w:trPr>
          <w:trHeight w:val="245"/>
        </w:trPr>
        <w:tc>
          <w:tcPr>
            <w:tcW w:w="372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2"/>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2"/>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5"/>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392</w:t>
            </w:r>
          </w:p>
        </w:tc>
        <w:tc>
          <w:tcPr>
            <w:tcW w:w="3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418</w:t>
            </w: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(26)</w:t>
            </w:r>
          </w:p>
        </w:tc>
        <w:tc>
          <w:tcPr>
            <w:tcW w:w="10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(6)%</w:t>
            </w:r>
          </w:p>
        </w:tc>
      </w:tr>
    </w:tbl>
    <w:p>
      <w:pPr>
        <w:spacing w:after="0" w:line="18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Depreciation and amortization expense reflects depreciation of fixed assets and amortization of finite-lived intangible assets. The decrease in depreciation and amortization expense primarily reflects lower depreciation of leasehold improvements and lower amortization as a result of intangible assets that became fully amortized.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Impairment Charges</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During 2024, we recorded a goodwill impairment charge for our Cable Networks reporting unit of $5.98 billion, as well as impairment charges totaling $149 million to write down the carrying values of FCC licenses in certain markets and our Australian broadcast licenses to their estimated fair values. See </w:t>
      </w:r>
      <w:r>
        <w:rPr>
          <w:rFonts w:ascii="Times New Roman" w:cs="Times New Roman" w:eastAsia="Times New Roman" w:hAnsi="Times New Roman"/>
          <w:sz w:val="19"/>
          <w:szCs w:val="19"/>
          <w:i w:val="1"/>
          <w:iCs w:val="1"/>
          <w:color w:val="auto"/>
        </w:rPr>
        <w:t>Critical Accounting Estimates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Goodwill and Intangible Assets Impairment Tests</w:t>
      </w:r>
      <w:r>
        <w:rPr>
          <w:rFonts w:ascii="Times New Roman" w:cs="Times New Roman" w:eastAsia="Times New Roman" w:hAnsi="Times New Roman"/>
          <w:sz w:val="19"/>
          <w:szCs w:val="19"/>
          <w:color w:val="auto"/>
        </w:rPr>
        <w:t>. For 2023, we recorded impairment charges of $83 million to write down the carrying values of FCC licenses in certain markets to their estimated fair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Restructuring, Transaction-Related Items, and Other Corporate Matters</w:t>
      </w:r>
    </w:p>
    <w:p>
      <w:pPr>
        <w:spacing w:after="0" w:line="15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During the years ended December 31, 2024 and 2023, we recorded the following restructuring charges, transaction-related items, and other corporate matters.</w:t>
      </w:r>
    </w:p>
    <w:p>
      <w:pPr>
        <w:spacing w:after="0" w:line="40" w:lineRule="exact"/>
        <w:rPr>
          <w:sz w:val="20"/>
          <w:szCs w:val="20"/>
          <w:color w:val="auto"/>
        </w:rPr>
      </w:pPr>
    </w:p>
    <w:tbl>
      <w:tblPr>
        <w:tblLayout w:type="fixed"/>
        <w:tblInd w:w="1440" w:type="dxa"/>
        <w:tblCellMar>
          <w:top w:w="0" w:type="dxa"/>
          <w:left w:w="0" w:type="dxa"/>
          <w:bottom w:w="0" w:type="dxa"/>
          <w:right w:w="0" w:type="dxa"/>
        </w:tblCellMar>
      </w:tblPr>
      <w:tr>
        <w:trPr>
          <w:trHeight w:val="252"/>
        </w:trPr>
        <w:tc>
          <w:tcPr>
            <w:tcW w:w="47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3"/>
        </w:trPr>
        <w:tc>
          <w:tcPr>
            <w:tcW w:w="4700" w:type="dxa"/>
            <w:vAlign w:val="bottom"/>
          </w:tcPr>
          <w:p>
            <w:pPr>
              <w:ind w:left="20"/>
              <w:spacing w:after="0" w:line="213" w:lineRule="exact"/>
              <w:rPr>
                <w:sz w:val="20"/>
                <w:szCs w:val="20"/>
                <w:color w:val="auto"/>
              </w:rPr>
            </w:pPr>
            <w:r>
              <w:rPr>
                <w:rFonts w:ascii="Times New Roman" w:cs="Times New Roman" w:eastAsia="Times New Roman" w:hAnsi="Times New Roman"/>
                <w:sz w:val="18"/>
                <w:szCs w:val="18"/>
                <w:color w:val="auto"/>
              </w:rPr>
              <w:t xml:space="preserve">Severance </w:t>
            </w:r>
            <w:r>
              <w:rPr>
                <w:rFonts w:ascii="Times New Roman" w:cs="Times New Roman" w:eastAsia="Times New Roman" w:hAnsi="Times New Roman"/>
                <w:sz w:val="22"/>
                <w:szCs w:val="22"/>
                <w:color w:val="auto"/>
                <w:vertAlign w:val="superscript"/>
              </w:rPr>
              <w:t>(a)</w:t>
            </w:r>
          </w:p>
        </w:tc>
        <w:tc>
          <w:tcPr>
            <w:tcW w:w="1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523</w:t>
            </w: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Exit costs</w:t>
            </w:r>
          </w:p>
        </w:tc>
        <w:tc>
          <w:tcPr>
            <w:tcW w:w="1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31</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3"/>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1280" w:type="dxa"/>
            <w:vAlign w:val="bottom"/>
          </w:tcPr>
          <w:p>
            <w:pPr>
              <w:spacing w:after="0"/>
              <w:rPr>
                <w:sz w:val="18"/>
                <w:szCs w:val="18"/>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554</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5"/>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Transaction-related items</w:t>
            </w:r>
          </w:p>
        </w:tc>
        <w:tc>
          <w:tcPr>
            <w:tcW w:w="128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62</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30"/>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corporate matters</w:t>
            </w:r>
          </w:p>
        </w:tc>
        <w:tc>
          <w:tcPr>
            <w:tcW w:w="1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131</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166"/>
        </w:trPr>
        <w:tc>
          <w:tcPr>
            <w:tcW w:w="4700" w:type="dxa"/>
            <w:vAlign w:val="bottom"/>
          </w:tcPr>
          <w:p>
            <w:pPr>
              <w:ind w:left="140"/>
              <w:spacing w:after="0" w:line="165" w:lineRule="exact"/>
              <w:rPr>
                <w:sz w:val="20"/>
                <w:szCs w:val="20"/>
                <w:color w:val="auto"/>
              </w:rPr>
            </w:pPr>
            <w:r>
              <w:rPr>
                <w:rFonts w:ascii="Times New Roman" w:cs="Times New Roman" w:eastAsia="Times New Roman" w:hAnsi="Times New Roman"/>
                <w:sz w:val="18"/>
                <w:szCs w:val="18"/>
                <w:color w:val="auto"/>
              </w:rPr>
              <w:t>Restructuring, transaction-related items, and other</w:t>
            </w: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45"/>
        </w:trPr>
        <w:tc>
          <w:tcPr>
            <w:tcW w:w="47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corporate matters</w:t>
            </w:r>
          </w:p>
        </w:tc>
        <w:tc>
          <w:tcPr>
            <w:tcW w:w="1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747</w:t>
            </w:r>
          </w:p>
        </w:tc>
        <w:tc>
          <w:tcPr>
            <w:tcW w:w="4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bl>
    <w:p>
      <w:pPr>
        <w:spacing w:after="0" w:line="14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6"/>
          <w:szCs w:val="16"/>
          <w:color w:val="auto"/>
        </w:rPr>
        <w:t>(a) Severance costs include the accelerated vesting of stock-based compensation.</w:t>
      </w:r>
    </w:p>
    <w:p>
      <w:pPr>
        <w:spacing w:after="0" w:line="20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Restructuring Charges</w:t>
      </w:r>
    </w:p>
    <w:p>
      <w:pPr>
        <w:spacing w:after="0" w:line="1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In 2024 and 2023, we recorded severance charges of $523 million and $67 million, respectively, associated with a series of strategic initiatives designed to streamline and transform our organization. 2024 included amounts related to restructuring our global workforce and the exit of our former CEO. For 2023, the initiatives were implemented following our 2022 operating segment realignment and as we integrated Showtime into Paramount+. In addition, during 2023, certain eligible employees voluntarily elected to participate in a plan under which they are receiving one-time severance benefits, resulting in $13 million of severance costs.</w:t>
      </w:r>
    </w:p>
    <w:p>
      <w:pPr>
        <w:spacing w:after="0" w:line="20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We also recorded charges of $31 million and $35 million in 2024 and 2023, respectively, for the impairment of lease assets that we ceased use of in connection with initiatives in recent years to reduce our real estate footprint and create cost synergies.</w:t>
      </w:r>
    </w:p>
    <w:p>
      <w:pPr>
        <w:spacing w:after="0" w:line="1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Transaction-Related Items</w:t>
      </w:r>
    </w:p>
    <w:p>
      <w:pPr>
        <w:spacing w:after="0" w:line="14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In 2024, we recorded costs for transaction-related items of $62 million associated with legal and advisory services related to the Transactions. In 2023, we recorded a benefit of $156 million, principally associated with stockholder litigation related to the 2019 merger of Viacom and CBS, consisting of $120 million from a settlement received in the fourth quarter of 2023, as well as insurance recoveries.</w:t>
      </w:r>
    </w:p>
    <w:p>
      <w:pPr>
        <w:spacing w:after="0" w:line="1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Other Corporate Matters</w:t>
      </w:r>
    </w:p>
    <w:p>
      <w:pPr>
        <w:spacing w:after="0" w:line="1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 xml:space="preserve">In 2024, we recorded charges for other corporate matters of $131 million, comprised of $74 million associated with the abandonment of developed technology and $57 million to increase our accrual for asbestos matters as discussed under </w:t>
      </w:r>
      <w:r>
        <w:rPr>
          <w:rFonts w:ascii="Times New Roman" w:cs="Times New Roman" w:eastAsia="Times New Roman" w:hAnsi="Times New Roman"/>
          <w:sz w:val="19"/>
          <w:szCs w:val="19"/>
          <w:i w:val="1"/>
          <w:iCs w:val="1"/>
          <w:color w:val="auto"/>
        </w:rPr>
        <w:t>Legal Matters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Claims Related to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Former Businesses—Asbestos</w:t>
      </w:r>
      <w:r>
        <w:rPr>
          <w:rFonts w:ascii="Times New Roman" w:cs="Times New Roman" w:eastAsia="Times New Roman" w:hAnsi="Times New Roman"/>
          <w:sz w:val="19"/>
          <w:szCs w:val="19"/>
          <w:color w:val="auto"/>
        </w:rPr>
        <w:t>. In 2023, we recorded a charge to increase our accrual for asbestos matters by $23 million.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Interest Expense and Interest Income</w:t>
      </w:r>
    </w:p>
    <w:p>
      <w:pPr>
        <w:spacing w:after="0" w:line="171" w:lineRule="exact"/>
        <w:rPr>
          <w:sz w:val="20"/>
          <w:szCs w:val="20"/>
          <w:color w:val="auto"/>
        </w:rPr>
      </w:pPr>
    </w:p>
    <w:tbl>
      <w:tblPr>
        <w:tblLayout w:type="fixed"/>
        <w:tblInd w:w="540" w:type="dxa"/>
        <w:tblCellMar>
          <w:top w:w="0" w:type="dxa"/>
          <w:left w:w="0" w:type="dxa"/>
          <w:bottom w:w="0" w:type="dxa"/>
          <w:right w:w="0" w:type="dxa"/>
        </w:tblCellMar>
      </w:tblPr>
      <w:tr>
        <w:trPr>
          <w:trHeight w:val="245"/>
        </w:trPr>
        <w:tc>
          <w:tcPr>
            <w:tcW w:w="362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2"/>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2"/>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860</w:t>
            </w:r>
          </w:p>
        </w:tc>
        <w:tc>
          <w:tcPr>
            <w:tcW w:w="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920</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(60)</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w:t>
            </w:r>
          </w:p>
        </w:tc>
      </w:tr>
      <w:tr>
        <w:trPr>
          <w:trHeight w:val="237"/>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151</w:t>
            </w:r>
          </w:p>
        </w:tc>
        <w:tc>
          <w:tcPr>
            <w:tcW w:w="3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137</w:t>
            </w: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14</w:t>
            </w:r>
          </w:p>
        </w:tc>
        <w:tc>
          <w:tcPr>
            <w:tcW w:w="10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50"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9"/>
          <w:szCs w:val="19"/>
          <w:color w:val="auto"/>
        </w:rPr>
        <w:t>The following table presents our outstanding debt balances, excluding finance leases, and the weighted average interest rate as of December 31, 2024 and 2023:</w:t>
      </w:r>
    </w:p>
    <w:p>
      <w:pPr>
        <w:spacing w:after="0" w:line="93"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2620" w:type="dxa"/>
            <w:vAlign w:val="bottom"/>
            <w:tcBorders>
              <w:top w:val="single" w:sz="8" w:color="auto"/>
            </w:tcBorders>
          </w:tcPr>
          <w:p>
            <w:pPr>
              <w:spacing w:after="0"/>
              <w:rPr>
                <w:sz w:val="21"/>
                <w:szCs w:val="21"/>
                <w:color w:val="auto"/>
              </w:rPr>
            </w:pPr>
          </w:p>
        </w:tc>
        <w:tc>
          <w:tcPr>
            <w:tcW w:w="224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128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5"/>
              </w:rPr>
              <w:t>Weighted Average</w:t>
            </w:r>
          </w:p>
        </w:tc>
      </w:tr>
      <w:tr>
        <w:trPr>
          <w:trHeight w:val="232"/>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22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Interest Rate</w:t>
            </w:r>
          </w:p>
        </w:tc>
        <w:tc>
          <w:tcPr>
            <w:tcW w:w="12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r>
      <w:tr>
        <w:trPr>
          <w:trHeight w:val="225"/>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2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   14,501</w:t>
            </w:r>
          </w:p>
        </w:tc>
        <w:tc>
          <w:tcPr>
            <w:tcW w:w="19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5.17 %</w:t>
            </w:r>
          </w:p>
        </w:tc>
        <w:tc>
          <w:tcPr>
            <w:tcW w:w="12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   14,601</w:t>
            </w:r>
          </w:p>
        </w:tc>
        <w:tc>
          <w:tcPr>
            <w:tcW w:w="20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color w:val="auto"/>
              </w:rPr>
              <w:t>5.17 %</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Gain (Loss) from Investments</w:t>
      </w:r>
    </w:p>
    <w:p>
      <w:pPr>
        <w:spacing w:after="0" w:line="184" w:lineRule="exact"/>
        <w:rPr>
          <w:sz w:val="20"/>
          <w:szCs w:val="20"/>
          <w:color w:val="auto"/>
        </w:rPr>
      </w:pPr>
    </w:p>
    <w:tbl>
      <w:tblPr>
        <w:tblLayout w:type="fixed"/>
        <w:tblInd w:w="540" w:type="dxa"/>
        <w:tblCellMar>
          <w:top w:w="0" w:type="dxa"/>
          <w:left w:w="0" w:type="dxa"/>
          <w:bottom w:w="0" w:type="dxa"/>
          <w:right w:w="0" w:type="dxa"/>
        </w:tblCellMar>
      </w:tblPr>
      <w:tr>
        <w:trPr>
          <w:trHeight w:val="245"/>
        </w:trPr>
        <w:tc>
          <w:tcPr>
            <w:tcW w:w="3740" w:type="dxa"/>
            <w:vAlign w:val="bottom"/>
            <w:tcBorders>
              <w:top w:val="single" w:sz="8" w:color="auto"/>
            </w:tcBorders>
          </w:tcPr>
          <w:p>
            <w:pPr>
              <w:spacing w:after="0"/>
              <w:rPr>
                <w:sz w:val="21"/>
                <w:szCs w:val="21"/>
                <w:color w:val="auto"/>
              </w:rPr>
            </w:pPr>
          </w:p>
        </w:tc>
        <w:tc>
          <w:tcPr>
            <w:tcW w:w="23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040" w:type="dxa"/>
            <w:vAlign w:val="bottom"/>
            <w:tcBorders>
              <w:top w:val="single" w:sz="8" w:color="auto"/>
            </w:tcBorders>
            <w:gridSpan w:val="2"/>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2"/>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5"/>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Gain (loss) from investments</w:t>
            </w:r>
          </w:p>
        </w:tc>
        <w:tc>
          <w:tcPr>
            <w:tcW w:w="23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93"/>
              </w:rPr>
              <w:t>(17)</w:t>
            </w:r>
          </w:p>
        </w:tc>
        <w:tc>
          <w:tcPr>
            <w:tcW w:w="3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168</w:t>
            </w:r>
          </w:p>
        </w:tc>
        <w:tc>
          <w:tcPr>
            <w:tcW w:w="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(185)</w:t>
            </w:r>
          </w:p>
        </w:tc>
        <w:tc>
          <w:tcPr>
            <w:tcW w:w="9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n/m</w:t>
            </w:r>
          </w:p>
        </w:tc>
      </w:tr>
    </w:tbl>
    <w:p>
      <w:pPr>
        <w:spacing w:after="0" w:line="1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13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During 2023, we recorded a gain of $168 million on our retained interest in Viacom18 following the discontinuance of equity method accounting resulting from the dilution of our interest from 49% to 13%. During 2024, we recorded losses totaling $17 million associated with the sales of investments, including a $13 million loss on the sale of our remaining 13% interest in Viacom18.</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Gain on Extinguishment of Debt</w:t>
      </w:r>
    </w:p>
    <w:p>
      <w:pPr>
        <w:spacing w:after="0" w:line="15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In the fourth quarter of 2023, we recorded a gain on extinguishment of debt of $29 million associated with the early repurchase of long-term debt of $1.04 billion.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 Items, Net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presents the components of “Other items, net.”</w:t>
      </w:r>
    </w:p>
    <w:p>
      <w:pPr>
        <w:spacing w:after="0" w:line="129" w:lineRule="exact"/>
        <w:rPr>
          <w:sz w:val="20"/>
          <w:szCs w:val="20"/>
          <w:color w:val="auto"/>
        </w:rPr>
      </w:pPr>
    </w:p>
    <w:tbl>
      <w:tblPr>
        <w:tblLayout w:type="fixed"/>
        <w:tblInd w:w="1620" w:type="dxa"/>
        <w:tblCellMar>
          <w:top w:w="0" w:type="dxa"/>
          <w:left w:w="0" w:type="dxa"/>
          <w:bottom w:w="0" w:type="dxa"/>
          <w:right w:w="0" w:type="dxa"/>
        </w:tblCellMar>
      </w:tblPr>
      <w:tr>
        <w:trPr>
          <w:trHeight w:val="252"/>
        </w:trPr>
        <w:tc>
          <w:tcPr>
            <w:tcW w:w="4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 costs</w:t>
            </w:r>
          </w:p>
        </w:tc>
        <w:tc>
          <w:tcPr>
            <w:tcW w:w="1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(139)</w:t>
            </w:r>
          </w:p>
        </w:tc>
        <w:tc>
          <w:tcPr>
            <w:tcW w:w="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5"/>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losses</w:t>
            </w:r>
          </w:p>
        </w:tc>
        <w:tc>
          <w:tcPr>
            <w:tcW w:w="164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16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(182)</w:t>
            </w:r>
          </w:p>
        </w:tc>
        <w:tc>
          <w:tcPr>
            <w:tcW w:w="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Provision for/Benefit from Income Taxes</w:t>
      </w:r>
    </w:p>
    <w:p>
      <w:pPr>
        <w:spacing w:after="0" w:line="1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 xml:space="preserve">The provision for/benefit from income taxes represents federal, state and local, and foreign taxes on earnings (loss) from continuing operations before income taxes and equity in loss of investee companies. For 2024, we recorded a net benefit from income taxes of $305 million, reflecting an effective income tax rate of 4.9%. The tax benefit included tax benefits of $380 million on pretax impairment charges for goodwill and FCC licenses of $6.13 billion, $275 million on pretax programming charges of $1.12 billion, and $155 million on pretax restructuring charges, transaction-related items, and other corporate matters of $747 million. Our adjusted effective income tax rate, which excludes the impact from these items, as well as the other items impacting comparability described under </w:t>
      </w:r>
      <w:r>
        <w:rPr>
          <w:rFonts w:ascii="Times New Roman" w:cs="Times New Roman" w:eastAsia="Times New Roman" w:hAnsi="Times New Roman"/>
          <w:sz w:val="19"/>
          <w:szCs w:val="19"/>
          <w:i w:val="1"/>
          <w:iCs w:val="1"/>
          <w:color w:val="auto"/>
        </w:rPr>
        <w:t>Reconciliation of Non-GAAP Measures</w:t>
      </w:r>
      <w:r>
        <w:rPr>
          <w:rFonts w:ascii="Times New Roman" w:cs="Times New Roman" w:eastAsia="Times New Roman" w:hAnsi="Times New Roman"/>
          <w:sz w:val="19"/>
          <w:szCs w:val="19"/>
          <w:color w:val="auto"/>
        </w:rPr>
        <w:t>, was 25.2%.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 xml:space="preserve">For 2023, we recorded a net benefit from income taxes of $361 million, reflecting an effective income tax rate of 28.8%. The tax benefit for 2023 was primarily the result of a benefit of $582 million on pretax programming charges of $2.37 billion. Our adjusted effective income tax rate, which excludes the impacts from these programming charges, as well as the other items impacting comparability described under </w:t>
      </w:r>
      <w:r>
        <w:rPr>
          <w:rFonts w:ascii="Times New Roman" w:cs="Times New Roman" w:eastAsia="Times New Roman" w:hAnsi="Times New Roman"/>
          <w:sz w:val="19"/>
          <w:szCs w:val="19"/>
          <w:i w:val="1"/>
          <w:iCs w:val="1"/>
          <w:color w:val="auto"/>
        </w:rPr>
        <w:t>Reconciliation of Non-GAAP Measures</w:t>
      </w:r>
      <w:r>
        <w:rPr>
          <w:rFonts w:ascii="Times New Roman" w:cs="Times New Roman" w:eastAsia="Times New Roman" w:hAnsi="Times New Roman"/>
          <w:sz w:val="19"/>
          <w:szCs w:val="19"/>
          <w:color w:val="auto"/>
        </w:rPr>
        <w:t>, was 20.2%.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Equity in Loss of Investee Companies, Net of Tax</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presents equity in loss of investee companies for our equity-method investments.</w:t>
      </w:r>
    </w:p>
    <w:p>
      <w:pPr>
        <w:spacing w:after="0" w:line="129" w:lineRule="exact"/>
        <w:rPr>
          <w:sz w:val="20"/>
          <w:szCs w:val="20"/>
          <w:color w:val="auto"/>
        </w:rPr>
      </w:pPr>
    </w:p>
    <w:tbl>
      <w:tblPr>
        <w:tblLayout w:type="fixed"/>
        <w:tblInd w:w="540" w:type="dxa"/>
        <w:tblCellMar>
          <w:top w:w="0" w:type="dxa"/>
          <w:left w:w="0" w:type="dxa"/>
          <w:bottom w:w="0" w:type="dxa"/>
          <w:right w:w="0" w:type="dxa"/>
        </w:tblCellMar>
      </w:tblPr>
      <w:tr>
        <w:trPr>
          <w:trHeight w:val="245"/>
        </w:trPr>
        <w:tc>
          <w:tcPr>
            <w:tcW w:w="43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2"/>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2"/>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 of investee companies</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(292)</w:t>
            </w:r>
          </w:p>
        </w:tc>
        <w:tc>
          <w:tcPr>
            <w:tcW w:w="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(370)</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78</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21 %</w:t>
            </w:r>
          </w:p>
        </w:tc>
      </w:tr>
      <w:tr>
        <w:trPr>
          <w:trHeight w:val="230"/>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1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(9)</w:t>
            </w:r>
          </w:p>
        </w:tc>
        <w:tc>
          <w:tcPr>
            <w:tcW w:w="10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(90)</w:t>
            </w:r>
          </w:p>
        </w:tc>
      </w:tr>
      <w:tr>
        <w:trPr>
          <w:trHeight w:val="225"/>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Equity in loss of investee companies, net of tax</w:t>
            </w: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(291)</w:t>
            </w:r>
          </w:p>
        </w:tc>
        <w:tc>
          <w:tcPr>
            <w:tcW w:w="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(360)</w:t>
            </w:r>
          </w:p>
        </w:tc>
        <w:tc>
          <w:tcPr>
            <w:tcW w:w="4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69</w:t>
            </w:r>
          </w:p>
        </w:tc>
        <w:tc>
          <w:tcPr>
            <w:tcW w:w="10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19 %</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2023, equity in loss of investee companies includes an impairment of an international television joint venture of $16 million.</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Net Loss from Continuing Operations Attributable to Paramount and Diluted EPS from Continuing Operations</w:t>
      </w:r>
    </w:p>
    <w:p>
      <w:pPr>
        <w:spacing w:after="0" w:line="131" w:lineRule="exact"/>
        <w:rPr>
          <w:sz w:val="20"/>
          <w:szCs w:val="20"/>
          <w:color w:val="auto"/>
        </w:rPr>
      </w:pPr>
    </w:p>
    <w:tbl>
      <w:tblPr>
        <w:tblLayout w:type="fixed"/>
        <w:tblInd w:w="540" w:type="dxa"/>
        <w:tblCellMar>
          <w:top w:w="0" w:type="dxa"/>
          <w:left w:w="0" w:type="dxa"/>
          <w:bottom w:w="0" w:type="dxa"/>
          <w:right w:w="0" w:type="dxa"/>
        </w:tblCellMar>
      </w:tblPr>
      <w:tr>
        <w:trPr>
          <w:trHeight w:val="245"/>
        </w:trPr>
        <w:tc>
          <w:tcPr>
            <w:tcW w:w="44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2040" w:type="dxa"/>
            <w:vAlign w:val="bottom"/>
            <w:tcBorders>
              <w:top w:val="single" w:sz="8" w:color="auto"/>
            </w:tcBorders>
            <w:gridSpan w:val="2"/>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2"/>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74"/>
        </w:trPr>
        <w:tc>
          <w:tcPr>
            <w:tcW w:w="440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Net loss from continuing operations attributable</w:t>
            </w:r>
          </w:p>
        </w:tc>
        <w:tc>
          <w:tcPr>
            <w:tcW w:w="1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5"/>
        </w:trPr>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Paramount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(6,204)</w:t>
            </w:r>
          </w:p>
        </w:tc>
        <w:tc>
          <w:tcPr>
            <w:tcW w:w="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(1,284)</w:t>
            </w:r>
          </w:p>
        </w:tc>
        <w:tc>
          <w:tcPr>
            <w:tcW w:w="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(4,920)</w:t>
            </w:r>
          </w:p>
        </w:tc>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n/m</w:t>
            </w:r>
          </w:p>
        </w:tc>
      </w:tr>
      <w:tr>
        <w:trPr>
          <w:trHeight w:val="237"/>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EPS from continuing operations</w:t>
            </w: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(9.36)</w:t>
            </w:r>
          </w:p>
        </w:tc>
        <w:tc>
          <w:tcPr>
            <w:tcW w:w="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(2.06)</w:t>
            </w:r>
          </w:p>
        </w:tc>
        <w:tc>
          <w:tcPr>
            <w:tcW w:w="4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(7.30)</w:t>
            </w:r>
          </w:p>
        </w:tc>
        <w:tc>
          <w:tcPr>
            <w:tcW w:w="9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n/m</w:t>
            </w:r>
          </w:p>
        </w:tc>
      </w:tr>
    </w:tbl>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For 2024, we recorded a net loss from continuing operations attributable to Paramount of $6.20 billion, or $9.36 per diluted share, compared with a net loss from continuing operations attributable to Paramount of $1.28 billion, or $2.06 per diluted share, for the prior year, primarily reflecting the lower tax-effected operating income. The loss in 2024 includes impairment charges totaling $6.13 billion; programming charges of $1.12 billion; and costs for restructuring, transaction-related items, and other corporate matters totaling $747 million and in 2023 includes programming charges of $2.37 billion and a gain on Viacom18 of $168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Net Earnings from Discontinued Operations</w:t>
      </w:r>
    </w:p>
    <w:p>
      <w:pPr>
        <w:spacing w:after="0" w:line="15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The following table sets forth details of net earnings from discontinued operations for the year ended December 31, 2023, which primarily reflects the results of Simon &amp; Schuster prior to its sale on October 30, 2023 for $1.62 billion. The sale resulted in a pretax gain of $695 million during the fourth quarter of 2023. During 2024, as a result of working capital adjustments we recorded additional pretax gains on the sale totaling $19 million ($14 million, net of tax).</w:t>
      </w:r>
    </w:p>
    <w:p>
      <w:pPr>
        <w:spacing w:after="0" w:line="123" w:lineRule="exact"/>
        <w:rPr>
          <w:sz w:val="20"/>
          <w:szCs w:val="20"/>
          <w:color w:val="auto"/>
        </w:rPr>
      </w:pPr>
    </w:p>
    <w:tbl>
      <w:tblPr>
        <w:tblLayout w:type="fixed"/>
        <w:tblInd w:w="620" w:type="dxa"/>
        <w:tblCellMar>
          <w:top w:w="0" w:type="dxa"/>
          <w:left w:w="0" w:type="dxa"/>
          <w:bottom w:w="0" w:type="dxa"/>
          <w:right w:w="0" w:type="dxa"/>
        </w:tblCellMar>
      </w:tblPr>
      <w:tr>
        <w:trPr>
          <w:trHeight w:val="252"/>
        </w:trPr>
        <w:tc>
          <w:tcPr>
            <w:tcW w:w="48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2660" w:type="dxa"/>
            <w:vAlign w:val="bottom"/>
            <w:tcBorders>
              <w:top w:val="single" w:sz="8" w:color="auto"/>
              <w:bottom w:val="single" w:sz="8" w:color="auto"/>
            </w:tcBorders>
            <w:gridSpan w:val="2"/>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Simon &amp; Schuster</w:t>
            </w:r>
          </w:p>
        </w:tc>
        <w:tc>
          <w:tcPr>
            <w:tcW w:w="4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12"/>
              <w:spacing w:after="0" w:line="251" w:lineRule="exact"/>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22"/>
                <w:szCs w:val="22"/>
                <w:b w:val="1"/>
                <w:bCs w:val="1"/>
                <w:color w:val="auto"/>
                <w:vertAlign w:val="superscript"/>
              </w:rPr>
              <w:t>(a)</w:t>
            </w:r>
          </w:p>
        </w:tc>
        <w:tc>
          <w:tcPr>
            <w:tcW w:w="5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Revenues</w:t>
            </w:r>
          </w:p>
        </w:tc>
        <w:tc>
          <w:tcPr>
            <w:tcW w:w="16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958</w:t>
            </w:r>
          </w:p>
        </w:tc>
        <w:tc>
          <w:tcPr>
            <w:tcW w:w="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213"/>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5"/>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1620" w:type="dxa"/>
            <w:vAlign w:val="bottom"/>
          </w:tcPr>
          <w:p>
            <w:pPr>
              <w:spacing w:after="0"/>
              <w:rPr>
                <w:sz w:val="19"/>
                <w:szCs w:val="19"/>
                <w:color w:val="auto"/>
              </w:rPr>
            </w:pPr>
          </w:p>
        </w:tc>
        <w:tc>
          <w:tcPr>
            <w:tcW w:w="10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580</w:t>
            </w:r>
          </w:p>
        </w:tc>
        <w:tc>
          <w:tcPr>
            <w:tcW w:w="460" w:type="dxa"/>
            <w:vAlign w:val="bottom"/>
          </w:tcPr>
          <w:p>
            <w:pPr>
              <w:spacing w:after="0"/>
              <w:rPr>
                <w:sz w:val="19"/>
                <w:szCs w:val="19"/>
                <w:color w:val="auto"/>
              </w:rPr>
            </w:pP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25"/>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20" w:type="dxa"/>
            <w:vAlign w:val="bottom"/>
          </w:tcPr>
          <w:p>
            <w:pPr>
              <w:spacing w:after="0"/>
              <w:rPr>
                <w:sz w:val="19"/>
                <w:szCs w:val="19"/>
                <w:color w:val="auto"/>
              </w:rPr>
            </w:pPr>
          </w:p>
        </w:tc>
        <w:tc>
          <w:tcPr>
            <w:tcW w:w="10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149</w:t>
            </w:r>
          </w:p>
        </w:tc>
        <w:tc>
          <w:tcPr>
            <w:tcW w:w="460" w:type="dxa"/>
            <w:vAlign w:val="bottom"/>
          </w:tcPr>
          <w:p>
            <w:pPr>
              <w:spacing w:after="0"/>
              <w:rPr>
                <w:sz w:val="19"/>
                <w:szCs w:val="19"/>
                <w:color w:val="auto"/>
              </w:rPr>
            </w:pPr>
          </w:p>
        </w:tc>
        <w:tc>
          <w:tcPr>
            <w:tcW w:w="10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30"/>
        </w:trPr>
        <w:tc>
          <w:tcPr>
            <w:tcW w:w="4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16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3"/>
        </w:trPr>
        <w:tc>
          <w:tcPr>
            <w:tcW w:w="4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620" w:type="dxa"/>
            <w:vAlign w:val="bottom"/>
          </w:tcPr>
          <w:p>
            <w:pPr>
              <w:spacing w:after="0"/>
              <w:rPr>
                <w:sz w:val="18"/>
                <w:szCs w:val="18"/>
                <w:color w:val="auto"/>
              </w:rPr>
            </w:pPr>
          </w:p>
        </w:tc>
        <w:tc>
          <w:tcPr>
            <w:tcW w:w="10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731</w:t>
            </w:r>
          </w:p>
        </w:tc>
        <w:tc>
          <w:tcPr>
            <w:tcW w:w="46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25"/>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20" w:type="dxa"/>
            <w:vAlign w:val="bottom"/>
          </w:tcPr>
          <w:p>
            <w:pPr>
              <w:spacing w:after="0"/>
              <w:rPr>
                <w:sz w:val="19"/>
                <w:szCs w:val="19"/>
                <w:color w:val="auto"/>
              </w:rPr>
            </w:pPr>
          </w:p>
        </w:tc>
        <w:tc>
          <w:tcPr>
            <w:tcW w:w="10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227</w:t>
            </w:r>
          </w:p>
        </w:tc>
        <w:tc>
          <w:tcPr>
            <w:tcW w:w="460" w:type="dxa"/>
            <w:vAlign w:val="bottom"/>
          </w:tcPr>
          <w:p>
            <w:pPr>
              <w:spacing w:after="0"/>
              <w:rPr>
                <w:sz w:val="19"/>
                <w:szCs w:val="19"/>
                <w:color w:val="auto"/>
              </w:rPr>
            </w:pPr>
          </w:p>
        </w:tc>
        <w:tc>
          <w:tcPr>
            <w:tcW w:w="10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30"/>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items, net</w:t>
            </w:r>
          </w:p>
        </w:tc>
        <w:tc>
          <w:tcPr>
            <w:tcW w:w="16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(9)</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3"/>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discontinued operations</w:t>
            </w:r>
          </w:p>
        </w:tc>
        <w:tc>
          <w:tcPr>
            <w:tcW w:w="1620" w:type="dxa"/>
            <w:vAlign w:val="bottom"/>
          </w:tcPr>
          <w:p>
            <w:pPr>
              <w:spacing w:after="0"/>
              <w:rPr>
                <w:sz w:val="18"/>
                <w:szCs w:val="18"/>
                <w:color w:val="auto"/>
              </w:rPr>
            </w:pPr>
          </w:p>
        </w:tc>
        <w:tc>
          <w:tcPr>
            <w:tcW w:w="10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218</w:t>
            </w:r>
          </w:p>
        </w:tc>
        <w:tc>
          <w:tcPr>
            <w:tcW w:w="460" w:type="dxa"/>
            <w:vAlign w:val="bottom"/>
          </w:tcPr>
          <w:p>
            <w:pPr>
              <w:spacing w:after="0"/>
              <w:rPr>
                <w:sz w:val="18"/>
                <w:szCs w:val="18"/>
                <w:color w:val="auto"/>
              </w:rPr>
            </w:pPr>
          </w:p>
        </w:tc>
        <w:tc>
          <w:tcPr>
            <w:tcW w:w="10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30"/>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6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12</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3"/>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discontinued operations, net of tax</w:t>
            </w:r>
          </w:p>
        </w:tc>
        <w:tc>
          <w:tcPr>
            <w:tcW w:w="1620" w:type="dxa"/>
            <w:vAlign w:val="bottom"/>
          </w:tcPr>
          <w:p>
            <w:pPr>
              <w:spacing w:after="0"/>
              <w:rPr>
                <w:sz w:val="18"/>
                <w:szCs w:val="18"/>
                <w:color w:val="auto"/>
              </w:rPr>
            </w:pPr>
          </w:p>
        </w:tc>
        <w:tc>
          <w:tcPr>
            <w:tcW w:w="10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230</w:t>
            </w:r>
          </w:p>
        </w:tc>
        <w:tc>
          <w:tcPr>
            <w:tcW w:w="460" w:type="dxa"/>
            <w:vAlign w:val="bottom"/>
          </w:tcPr>
          <w:p>
            <w:pPr>
              <w:spacing w:after="0"/>
              <w:rPr>
                <w:sz w:val="18"/>
                <w:szCs w:val="18"/>
                <w:color w:val="auto"/>
              </w:rPr>
            </w:pPr>
          </w:p>
        </w:tc>
        <w:tc>
          <w:tcPr>
            <w:tcW w:w="10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9</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30"/>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Gain on sale (net of tax of $258 million)</w:t>
            </w:r>
          </w:p>
        </w:tc>
        <w:tc>
          <w:tcPr>
            <w:tcW w:w="16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437</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25"/>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earnings from discontinued operations, net of tax</w:t>
            </w:r>
          </w:p>
        </w:tc>
        <w:tc>
          <w:tcPr>
            <w:tcW w:w="16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667</w:t>
            </w:r>
          </w:p>
        </w:tc>
        <w:tc>
          <w:tcPr>
            <w:tcW w:w="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9</w:t>
            </w:r>
          </w:p>
        </w:tc>
        <w:tc>
          <w:tcPr>
            <w:tcW w:w="5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r>
    </w:tbl>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 Primarily relates to indemnification obligations for leases associated with the previously discontinued operations of Famous Players Inc.</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Segments</w:t>
      </w:r>
    </w:p>
    <w:p>
      <w:pPr>
        <w:spacing w:after="0" w:line="170"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9"/>
          <w:szCs w:val="19"/>
          <w:color w:val="auto"/>
        </w:rPr>
        <w:t>We are a global media, streaming and entertainment company that creates premium content and experiences for audiences worldwide, and are comprised of the following segments:</w:t>
      </w:r>
    </w:p>
    <w:p>
      <w:pPr>
        <w:spacing w:after="0" w:line="181" w:lineRule="exact"/>
        <w:rPr>
          <w:sz w:val="20"/>
          <w:szCs w:val="20"/>
          <w:color w:val="auto"/>
        </w:rPr>
      </w:pPr>
    </w:p>
    <w:p>
      <w:pPr>
        <w:jc w:val="both"/>
        <w:ind w:left="640" w:hanging="316"/>
        <w:spacing w:after="0" w:line="261" w:lineRule="auto"/>
        <w:tabs>
          <w:tab w:leader="none" w:pos="633" w:val="left"/>
        </w:tabs>
        <w:numPr>
          <w:ilvl w:val="0"/>
          <w:numId w:val="26"/>
        </w:numPr>
        <w:rPr>
          <w:rFonts w:ascii="Calibri" w:cs="Calibri" w:eastAsia="Calibri" w:hAnsi="Calibri"/>
          <w:sz w:val="19"/>
          <w:szCs w:val="19"/>
          <w:b w:val="1"/>
          <w:bCs w:val="1"/>
          <w:i w:val="1"/>
          <w:iCs w:val="1"/>
          <w:color w:val="auto"/>
        </w:rPr>
      </w:pP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Our</w:t>
      </w:r>
      <w:r>
        <w:rPr>
          <w:rFonts w:ascii="Times New Roman" w:cs="Times New Roman" w:eastAsia="Times New Roman" w:hAnsi="Times New Roman"/>
          <w:sz w:val="19"/>
          <w:szCs w:val="19"/>
          <w:i w:val="1"/>
          <w:iCs w:val="1"/>
          <w:color w:val="auto"/>
        </w:rPr>
        <w:t xml:space="preserve"> TV Media </w:t>
      </w:r>
      <w:r>
        <w:rPr>
          <w:rFonts w:ascii="Times New Roman" w:cs="Times New Roman" w:eastAsia="Times New Roman" w:hAnsi="Times New Roman"/>
          <w:sz w:val="19"/>
          <w:szCs w:val="19"/>
          <w:color w:val="auto"/>
        </w:rPr>
        <w:t>segment consists of our (1) broadcast operations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the CBS Television Network, our domestic broadcast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television network; CBS Stations, our owned television stations; and our international free-to-air networks, Network 10, Channel 5, Telefe, and Chilevisión; (2) domestic premium and basic cable networks, including Paramount+ with Showtime, MTV, Comedy Central, Paramount Network, The Smithsonian Channel, Nickelodeon, BET Media Group, CBS Sports Network, and international extensions of certain of these brands; and (3) domestic and international television studio operations, including CBS Studios and Showtime/MTV Entertainment Studios, as well as CBS Media Ventures, which produces and distributes first-run syndicated programming.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also includes a number of digital properties such as CBS News Streaming for 24-hour news and CBS Sports HQ for sports news and analysis.</w:t>
      </w:r>
    </w:p>
    <w:p>
      <w:pPr>
        <w:spacing w:after="0" w:line="200" w:lineRule="exact"/>
        <w:rPr>
          <w:rFonts w:ascii="Calibri" w:cs="Calibri" w:eastAsia="Calibri" w:hAnsi="Calibri"/>
          <w:sz w:val="19"/>
          <w:szCs w:val="19"/>
          <w:b w:val="1"/>
          <w:bCs w:val="1"/>
          <w:i w:val="1"/>
          <w:iCs w:val="1"/>
          <w:color w:val="auto"/>
        </w:rPr>
      </w:pPr>
    </w:p>
    <w:p>
      <w:pPr>
        <w:spacing w:after="0" w:line="242" w:lineRule="exact"/>
        <w:rPr>
          <w:rFonts w:ascii="Calibri" w:cs="Calibri" w:eastAsia="Calibri" w:hAnsi="Calibri"/>
          <w:sz w:val="19"/>
          <w:szCs w:val="19"/>
          <w:b w:val="1"/>
          <w:bCs w:val="1"/>
          <w:i w:val="1"/>
          <w:iCs w:val="1"/>
          <w:color w:val="auto"/>
        </w:rPr>
      </w:pPr>
    </w:p>
    <w:p>
      <w:pPr>
        <w:jc w:val="both"/>
        <w:ind w:left="640" w:hanging="316"/>
        <w:spacing w:after="0" w:line="274" w:lineRule="auto"/>
        <w:tabs>
          <w:tab w:leader="none" w:pos="628" w:val="left"/>
        </w:tabs>
        <w:numPr>
          <w:ilvl w:val="0"/>
          <w:numId w:val="26"/>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Our</w:t>
      </w:r>
      <w:r>
        <w:rPr>
          <w:rFonts w:ascii="Times New Roman" w:cs="Times New Roman" w:eastAsia="Times New Roman" w:hAnsi="Times New Roman"/>
          <w:sz w:val="19"/>
          <w:szCs w:val="19"/>
          <w:i w:val="1"/>
          <w:iCs w:val="1"/>
          <w:color w:val="auto"/>
        </w:rPr>
        <w:t xml:space="preserve"> Direct-to-Consumer </w:t>
      </w:r>
      <w:r>
        <w:rPr>
          <w:rFonts w:ascii="Times New Roman" w:cs="Times New Roman" w:eastAsia="Times New Roman" w:hAnsi="Times New Roman"/>
          <w:sz w:val="19"/>
          <w:szCs w:val="19"/>
          <w:color w:val="auto"/>
        </w:rPr>
        <w:t>segment includes our portfolio of domestic and international pay and free streaming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services, including Paramount+, Pluto TV, and BET+. Effective April 30, 2024, Showtime Networks’ domestic premium subscription streaming service was no longer available.</w:t>
      </w:r>
    </w:p>
    <w:p>
      <w:pPr>
        <w:spacing w:after="0" w:line="179" w:lineRule="exact"/>
        <w:rPr>
          <w:rFonts w:ascii="Times New Roman" w:cs="Times New Roman" w:eastAsia="Times New Roman" w:hAnsi="Times New Roman"/>
          <w:sz w:val="19"/>
          <w:szCs w:val="19"/>
          <w:b w:val="1"/>
          <w:bCs w:val="1"/>
          <w:i w:val="1"/>
          <w:iCs w:val="1"/>
          <w:color w:val="auto"/>
        </w:rPr>
      </w:pPr>
    </w:p>
    <w:p>
      <w:pPr>
        <w:ind w:left="640" w:right="100" w:hanging="316"/>
        <w:spacing w:after="0" w:line="302" w:lineRule="auto"/>
        <w:tabs>
          <w:tab w:leader="none" w:pos="628" w:val="left"/>
        </w:tabs>
        <w:numPr>
          <w:ilvl w:val="0"/>
          <w:numId w:val="26"/>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Our</w:t>
      </w:r>
      <w:r>
        <w:rPr>
          <w:rFonts w:ascii="Times New Roman" w:cs="Times New Roman" w:eastAsia="Times New Roman" w:hAnsi="Times New Roman"/>
          <w:sz w:val="19"/>
          <w:szCs w:val="19"/>
          <w:i w:val="1"/>
          <w:iCs w:val="1"/>
          <w:color w:val="auto"/>
        </w:rPr>
        <w:t xml:space="preserve"> Filmed Entertainment </w:t>
      </w:r>
      <w:r>
        <w:rPr>
          <w:rFonts w:ascii="Times New Roman" w:cs="Times New Roman" w:eastAsia="Times New Roman" w:hAnsi="Times New Roman"/>
          <w:sz w:val="19"/>
          <w:szCs w:val="19"/>
          <w:color w:val="auto"/>
        </w:rPr>
        <w:t>segment consists of Paramount Pictures, Paramount Players, Paramount Animation,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Nickelodeon Studio, Awesomeness, and Miramax.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 xml:space="preserve">Our operating segments, which are the same as our reportable segments, have been determined in accordance with our internal management structure, which is organized based upon products and services. The tables below set forth our financial information by reportable segment that is regularly reviewed by the Office of the CEO, which is the Company’s chief operating decision maker (“CODM”). We present operating income excluding depreciation and amortization, stock-based compensation, restructuring charges, transaction-related items, other corporate matters, programming charges, impairment charges and gains or losses on dispositions, each where applicable (“Adjusted OIBDA”), as the primary measure of profit and loss for our operating segments in accordance with FASB guidance for segment reporting. Programming charges consist only of charges related to major strategic changes, which are further described under </w:t>
      </w:r>
      <w:r>
        <w:rPr>
          <w:rFonts w:ascii="Times New Roman" w:cs="Times New Roman" w:eastAsia="Times New Roman" w:hAnsi="Times New Roman"/>
          <w:sz w:val="19"/>
          <w:szCs w:val="19"/>
          <w:i w:val="1"/>
          <w:iCs w:val="1"/>
          <w:color w:val="auto"/>
        </w:rPr>
        <w:t>Programming Charges</w:t>
      </w:r>
      <w:r>
        <w:rPr>
          <w:rFonts w:ascii="Times New Roman" w:cs="Times New Roman" w:eastAsia="Times New Roman" w:hAnsi="Times New Roman"/>
          <w:sz w:val="19"/>
          <w:szCs w:val="19"/>
          <w:color w:val="auto"/>
        </w:rPr>
        <w:t xml:space="preserve">, and do not include impairment charges that occur as part of our normal operations, which are recorded within content costs in the tables below, where applicable, and are not excluded in Adjusted OIBDA. Adjusted OIBDA is the primary method used by our management, including the CODM, for planning and forecasting of future periods, evaluating the operating performance of our segments, and making decisions about resource allocation. Stock-based compensation is excluded from our segment measure of profit and loss because it is set and approved by our Board of Directors in consultation with corporate executive management. See </w:t>
      </w:r>
      <w:r>
        <w:rPr>
          <w:rFonts w:ascii="Times New Roman" w:cs="Times New Roman" w:eastAsia="Times New Roman" w:hAnsi="Times New Roman"/>
          <w:sz w:val="19"/>
          <w:szCs w:val="19"/>
          <w:i w:val="1"/>
          <w:iCs w:val="1"/>
          <w:color w:val="auto"/>
        </w:rPr>
        <w:t>Reconciliation of Non-GAAP Measures</w:t>
      </w:r>
      <w:r>
        <w:rPr>
          <w:rFonts w:ascii="Times New Roman" w:cs="Times New Roman" w:eastAsia="Times New Roman" w:hAnsi="Times New Roman"/>
          <w:sz w:val="19"/>
          <w:szCs w:val="19"/>
          <w:color w:val="auto"/>
        </w:rPr>
        <w:t xml:space="preserve"> for a reconciliation of total Adjusted OIBDA to Operating Income, the most directly comparable financial measure in accordance with GAAP.</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Segment Results of Operations - 2024 vs. 2023</w:t>
      </w:r>
    </w:p>
    <w:p>
      <w:pPr>
        <w:spacing w:after="0" w:line="186" w:lineRule="exact"/>
        <w:rPr>
          <w:sz w:val="20"/>
          <w:szCs w:val="20"/>
          <w:color w:val="auto"/>
        </w:rPr>
      </w:pPr>
    </w:p>
    <w:tbl>
      <w:tblPr>
        <w:tblLayout w:type="fixed"/>
        <w:tblInd w:w="280" w:type="dxa"/>
        <w:tblCellMar>
          <w:top w:w="0" w:type="dxa"/>
          <w:left w:w="0" w:type="dxa"/>
          <w:bottom w:w="0" w:type="dxa"/>
          <w:right w:w="0" w:type="dxa"/>
        </w:tblCellMar>
      </w:tblPr>
      <w:tr>
        <w:trPr>
          <w:trHeight w:val="245"/>
        </w:trPr>
        <w:tc>
          <w:tcPr>
            <w:tcW w:w="26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4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480" w:type="dxa"/>
            <w:vAlign w:val="bottom"/>
            <w:tcBorders>
              <w:top w:val="single" w:sz="8" w:color="auto"/>
            </w:tcBorders>
          </w:tcPr>
          <w:p>
            <w:pPr>
              <w:spacing w:after="0"/>
              <w:rPr>
                <w:sz w:val="21"/>
                <w:szCs w:val="21"/>
                <w:color w:val="auto"/>
              </w:rPr>
            </w:pPr>
          </w:p>
        </w:tc>
        <w:tc>
          <w:tcPr>
            <w:tcW w:w="21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2"/>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5"/>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TV Media</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18,779</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65 %</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20,085</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68 %</w:t>
            </w: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(1,306)</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r>
      <w:tr>
        <w:trPr>
          <w:trHeight w:val="225"/>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Direct-to-Consumer</w:t>
            </w:r>
          </w:p>
        </w:tc>
        <w:tc>
          <w:tcPr>
            <w:tcW w:w="800" w:type="dxa"/>
            <w:vAlign w:val="bottom"/>
          </w:tcPr>
          <w:p>
            <w:pPr>
              <w:spacing w:after="0"/>
              <w:rPr>
                <w:sz w:val="19"/>
                <w:szCs w:val="19"/>
                <w:color w:val="auto"/>
              </w:rPr>
            </w:pP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7,632</w:t>
            </w: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26</w:t>
            </w:r>
          </w:p>
        </w:tc>
        <w:tc>
          <w:tcPr>
            <w:tcW w:w="400" w:type="dxa"/>
            <w:vAlign w:val="bottom"/>
          </w:tcPr>
          <w:p>
            <w:pPr>
              <w:spacing w:after="0"/>
              <w:rPr>
                <w:sz w:val="19"/>
                <w:szCs w:val="19"/>
                <w:color w:val="auto"/>
              </w:rPr>
            </w:pP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6,736</w:t>
            </w:r>
          </w:p>
        </w:tc>
        <w:tc>
          <w:tcPr>
            <w:tcW w:w="12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22</w:t>
            </w:r>
          </w:p>
        </w:tc>
        <w:tc>
          <w:tcPr>
            <w:tcW w:w="480" w:type="dxa"/>
            <w:vAlign w:val="bottom"/>
          </w:tcPr>
          <w:p>
            <w:pPr>
              <w:spacing w:after="0"/>
              <w:rPr>
                <w:sz w:val="19"/>
                <w:szCs w:val="19"/>
                <w:color w:val="auto"/>
              </w:rPr>
            </w:pPr>
          </w:p>
        </w:tc>
        <w:tc>
          <w:tcPr>
            <w:tcW w:w="10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896</w:t>
            </w:r>
          </w:p>
        </w:tc>
        <w:tc>
          <w:tcPr>
            <w:tcW w:w="11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13</w:t>
            </w:r>
          </w:p>
        </w:tc>
      </w:tr>
      <w:tr>
        <w:trPr>
          <w:trHeight w:val="225"/>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Filmed Entertainment</w:t>
            </w:r>
          </w:p>
        </w:tc>
        <w:tc>
          <w:tcPr>
            <w:tcW w:w="800" w:type="dxa"/>
            <w:vAlign w:val="bottom"/>
          </w:tcPr>
          <w:p>
            <w:pPr>
              <w:spacing w:after="0"/>
              <w:rPr>
                <w:sz w:val="19"/>
                <w:szCs w:val="19"/>
                <w:color w:val="auto"/>
              </w:rPr>
            </w:pP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2,955</w:t>
            </w: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tcPr>
          <w:p>
            <w:pPr>
              <w:spacing w:after="0"/>
              <w:rPr>
                <w:sz w:val="19"/>
                <w:szCs w:val="19"/>
                <w:color w:val="auto"/>
              </w:rPr>
            </w:pP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2,957</w:t>
            </w:r>
          </w:p>
        </w:tc>
        <w:tc>
          <w:tcPr>
            <w:tcW w:w="12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10</w:t>
            </w:r>
          </w:p>
        </w:tc>
        <w:tc>
          <w:tcPr>
            <w:tcW w:w="480" w:type="dxa"/>
            <w:vAlign w:val="bottom"/>
          </w:tcPr>
          <w:p>
            <w:pPr>
              <w:spacing w:after="0"/>
              <w:rPr>
                <w:sz w:val="19"/>
                <w:szCs w:val="19"/>
                <w:color w:val="auto"/>
              </w:rPr>
            </w:pPr>
          </w:p>
        </w:tc>
        <w:tc>
          <w:tcPr>
            <w:tcW w:w="10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Eliminations</w:t>
            </w:r>
          </w:p>
        </w:tc>
        <w:tc>
          <w:tcPr>
            <w:tcW w:w="8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(153)</w:t>
            </w:r>
          </w:p>
        </w:tc>
        <w:tc>
          <w:tcPr>
            <w:tcW w:w="12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(126)</w:t>
            </w:r>
          </w:p>
        </w:tc>
        <w:tc>
          <w:tcPr>
            <w:tcW w:w="12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(27)</w:t>
            </w:r>
          </w:p>
        </w:tc>
        <w:tc>
          <w:tcPr>
            <w:tcW w:w="11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(21)</w:t>
            </w:r>
          </w:p>
        </w:tc>
      </w:tr>
      <w:tr>
        <w:trPr>
          <w:trHeight w:val="225"/>
        </w:trPr>
        <w:tc>
          <w:tcPr>
            <w:tcW w:w="26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29,213</w:t>
            </w: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100 %</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29,652</w:t>
            </w: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100 %</w:t>
            </w:r>
          </w:p>
        </w:tc>
        <w:tc>
          <w:tcPr>
            <w:tcW w:w="4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(439)</w:t>
            </w: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r>
    </w:tbl>
    <w:p>
      <w:pPr>
        <w:spacing w:after="0" w:line="232" w:lineRule="exact"/>
        <w:rPr>
          <w:sz w:val="20"/>
          <w:szCs w:val="20"/>
          <w:color w:val="auto"/>
        </w:rPr>
      </w:pPr>
    </w:p>
    <w:tbl>
      <w:tblPr>
        <w:tblLayout w:type="fixed"/>
        <w:tblInd w:w="280" w:type="dxa"/>
        <w:tblCellMar>
          <w:top w:w="0" w:type="dxa"/>
          <w:left w:w="0" w:type="dxa"/>
          <w:bottom w:w="0" w:type="dxa"/>
          <w:right w:w="0" w:type="dxa"/>
        </w:tblCellMar>
      </w:tblPr>
      <w:tr>
        <w:trPr>
          <w:trHeight w:val="245"/>
        </w:trPr>
        <w:tc>
          <w:tcPr>
            <w:tcW w:w="49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2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2"/>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OIBDA</w:t>
            </w: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5"/>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TV Media</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4,348</w:t>
            </w:r>
          </w:p>
        </w:tc>
        <w:tc>
          <w:tcPr>
            <w:tcW w:w="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4,791</w:t>
            </w: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(443)</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w:t>
            </w:r>
          </w:p>
        </w:tc>
      </w:tr>
      <w:tr>
        <w:trPr>
          <w:trHeight w:val="225"/>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Direct-to-Consumer</w:t>
            </w:r>
          </w:p>
        </w:tc>
        <w:tc>
          <w:tcPr>
            <w:tcW w:w="86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(497)</w:t>
            </w:r>
          </w:p>
        </w:tc>
        <w:tc>
          <w:tcPr>
            <w:tcW w:w="340" w:type="dxa"/>
            <w:vAlign w:val="bottom"/>
          </w:tcPr>
          <w:p>
            <w:pPr>
              <w:spacing w:after="0"/>
              <w:rPr>
                <w:sz w:val="19"/>
                <w:szCs w:val="19"/>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(1,663)</w:t>
            </w:r>
          </w:p>
        </w:tc>
        <w:tc>
          <w:tcPr>
            <w:tcW w:w="460" w:type="dxa"/>
            <w:vAlign w:val="bottom"/>
          </w:tcPr>
          <w:p>
            <w:pPr>
              <w:spacing w:after="0"/>
              <w:rPr>
                <w:sz w:val="19"/>
                <w:szCs w:val="19"/>
                <w:color w:val="auto"/>
              </w:rPr>
            </w:pPr>
          </w:p>
        </w:tc>
        <w:tc>
          <w:tcPr>
            <w:tcW w:w="11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1,166</w:t>
            </w:r>
          </w:p>
        </w:tc>
        <w:tc>
          <w:tcPr>
            <w:tcW w:w="11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70</w:t>
            </w:r>
          </w:p>
        </w:tc>
      </w:tr>
      <w:tr>
        <w:trPr>
          <w:trHeight w:val="225"/>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Filmed Entertainment</w:t>
            </w:r>
          </w:p>
        </w:tc>
        <w:tc>
          <w:tcPr>
            <w:tcW w:w="86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(96)</w:t>
            </w:r>
          </w:p>
        </w:tc>
        <w:tc>
          <w:tcPr>
            <w:tcW w:w="340" w:type="dxa"/>
            <w:vAlign w:val="bottom"/>
          </w:tcPr>
          <w:p>
            <w:pPr>
              <w:spacing w:after="0"/>
              <w:rPr>
                <w:sz w:val="19"/>
                <w:szCs w:val="19"/>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(119)</w:t>
            </w:r>
          </w:p>
        </w:tc>
        <w:tc>
          <w:tcPr>
            <w:tcW w:w="460" w:type="dxa"/>
            <w:vAlign w:val="bottom"/>
          </w:tcPr>
          <w:p>
            <w:pPr>
              <w:spacing w:after="0"/>
              <w:rPr>
                <w:sz w:val="19"/>
                <w:szCs w:val="19"/>
                <w:color w:val="auto"/>
              </w:rPr>
            </w:pPr>
          </w:p>
        </w:tc>
        <w:tc>
          <w:tcPr>
            <w:tcW w:w="11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23</w:t>
            </w:r>
          </w:p>
        </w:tc>
        <w:tc>
          <w:tcPr>
            <w:tcW w:w="11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19</w:t>
            </w:r>
          </w:p>
        </w:tc>
      </w:tr>
      <w:tr>
        <w:trPr>
          <w:trHeight w:val="225"/>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Corporate/Eliminations</w:t>
            </w:r>
          </w:p>
        </w:tc>
        <w:tc>
          <w:tcPr>
            <w:tcW w:w="86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(427)</w:t>
            </w:r>
          </w:p>
        </w:tc>
        <w:tc>
          <w:tcPr>
            <w:tcW w:w="340" w:type="dxa"/>
            <w:vAlign w:val="bottom"/>
          </w:tcPr>
          <w:p>
            <w:pPr>
              <w:spacing w:after="0"/>
              <w:rPr>
                <w:sz w:val="19"/>
                <w:szCs w:val="19"/>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(447)</w:t>
            </w:r>
          </w:p>
        </w:tc>
        <w:tc>
          <w:tcPr>
            <w:tcW w:w="460" w:type="dxa"/>
            <w:vAlign w:val="bottom"/>
          </w:tcPr>
          <w:p>
            <w:pPr>
              <w:spacing w:after="0"/>
              <w:rPr>
                <w:sz w:val="19"/>
                <w:szCs w:val="19"/>
                <w:color w:val="auto"/>
              </w:rPr>
            </w:pPr>
          </w:p>
        </w:tc>
        <w:tc>
          <w:tcPr>
            <w:tcW w:w="11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20</w:t>
            </w:r>
          </w:p>
        </w:tc>
        <w:tc>
          <w:tcPr>
            <w:tcW w:w="11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496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w:t>
            </w:r>
            <w:r>
              <w:rPr>
                <w:rFonts w:ascii="Times New Roman" w:cs="Times New Roman" w:eastAsia="Times New Roman" w:hAnsi="Times New Roman"/>
                <w:sz w:val="22"/>
                <w:szCs w:val="22"/>
                <w:color w:val="auto"/>
                <w:vertAlign w:val="superscript"/>
              </w:rPr>
              <w:t>(a)</w:t>
            </w:r>
          </w:p>
        </w:tc>
        <w:tc>
          <w:tcPr>
            <w:tcW w:w="8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(210)</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(172)</w:t>
            </w: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(38)</w:t>
            </w:r>
          </w:p>
        </w:tc>
        <w:tc>
          <w:tcPr>
            <w:tcW w:w="11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(22)</w:t>
            </w:r>
          </w:p>
        </w:tc>
      </w:tr>
      <w:tr>
        <w:trPr>
          <w:trHeight w:val="213"/>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Adjusted OIBDA</w:t>
            </w:r>
          </w:p>
        </w:tc>
        <w:tc>
          <w:tcPr>
            <w:tcW w:w="860" w:type="dxa"/>
            <w:vAlign w:val="bottom"/>
          </w:tcPr>
          <w:p>
            <w:pPr>
              <w:spacing w:after="0"/>
              <w:rPr>
                <w:sz w:val="18"/>
                <w:szCs w:val="18"/>
                <w:color w:val="auto"/>
              </w:rPr>
            </w:pP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3,118</w:t>
            </w:r>
          </w:p>
        </w:tc>
        <w:tc>
          <w:tcPr>
            <w:tcW w:w="340" w:type="dxa"/>
            <w:vAlign w:val="bottom"/>
          </w:tcPr>
          <w:p>
            <w:pPr>
              <w:spacing w:after="0"/>
              <w:rPr>
                <w:sz w:val="18"/>
                <w:szCs w:val="18"/>
                <w:color w:val="auto"/>
              </w:rPr>
            </w:pP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2,390</w:t>
            </w:r>
          </w:p>
        </w:tc>
        <w:tc>
          <w:tcPr>
            <w:tcW w:w="460" w:type="dxa"/>
            <w:vAlign w:val="bottom"/>
          </w:tcPr>
          <w:p>
            <w:pPr>
              <w:spacing w:after="0"/>
              <w:rPr>
                <w:sz w:val="18"/>
                <w:szCs w:val="18"/>
                <w:color w:val="auto"/>
              </w:rPr>
            </w:pPr>
          </w:p>
        </w:tc>
        <w:tc>
          <w:tcPr>
            <w:tcW w:w="11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728</w:t>
            </w:r>
          </w:p>
        </w:tc>
        <w:tc>
          <w:tcPr>
            <w:tcW w:w="11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30</w:t>
            </w:r>
          </w:p>
        </w:tc>
      </w:tr>
      <w:tr>
        <w:trPr>
          <w:trHeight w:val="225"/>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(392)</w:t>
            </w:r>
          </w:p>
        </w:tc>
        <w:tc>
          <w:tcPr>
            <w:tcW w:w="340" w:type="dxa"/>
            <w:vAlign w:val="bottom"/>
          </w:tcPr>
          <w:p>
            <w:pPr>
              <w:spacing w:after="0"/>
              <w:rPr>
                <w:sz w:val="19"/>
                <w:szCs w:val="19"/>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(418)</w:t>
            </w:r>
          </w:p>
        </w:tc>
        <w:tc>
          <w:tcPr>
            <w:tcW w:w="460" w:type="dxa"/>
            <w:vAlign w:val="bottom"/>
          </w:tcPr>
          <w:p>
            <w:pPr>
              <w:spacing w:after="0"/>
              <w:rPr>
                <w:sz w:val="19"/>
                <w:szCs w:val="19"/>
                <w:color w:val="auto"/>
              </w:rPr>
            </w:pPr>
          </w:p>
        </w:tc>
        <w:tc>
          <w:tcPr>
            <w:tcW w:w="11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26</w:t>
            </w:r>
          </w:p>
        </w:tc>
        <w:tc>
          <w:tcPr>
            <w:tcW w:w="11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6</w:t>
            </w:r>
          </w:p>
        </w:tc>
      </w:tr>
      <w:tr>
        <w:trPr>
          <w:trHeight w:val="225"/>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Programming charges</w:t>
            </w:r>
          </w:p>
        </w:tc>
        <w:tc>
          <w:tcPr>
            <w:tcW w:w="86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(1,118)</w:t>
            </w:r>
          </w:p>
        </w:tc>
        <w:tc>
          <w:tcPr>
            <w:tcW w:w="340" w:type="dxa"/>
            <w:vAlign w:val="bottom"/>
          </w:tcPr>
          <w:p>
            <w:pPr>
              <w:spacing w:after="0"/>
              <w:rPr>
                <w:sz w:val="19"/>
                <w:szCs w:val="19"/>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(2,371)</w:t>
            </w:r>
          </w:p>
        </w:tc>
        <w:tc>
          <w:tcPr>
            <w:tcW w:w="460" w:type="dxa"/>
            <w:vAlign w:val="bottom"/>
          </w:tcPr>
          <w:p>
            <w:pPr>
              <w:spacing w:after="0"/>
              <w:rPr>
                <w:sz w:val="19"/>
                <w:szCs w:val="19"/>
                <w:color w:val="auto"/>
              </w:rPr>
            </w:pPr>
          </w:p>
        </w:tc>
        <w:tc>
          <w:tcPr>
            <w:tcW w:w="11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1,253</w:t>
            </w:r>
          </w:p>
        </w:tc>
        <w:tc>
          <w:tcPr>
            <w:tcW w:w="11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53</w:t>
            </w:r>
          </w:p>
        </w:tc>
      </w:tr>
      <w:tr>
        <w:trPr>
          <w:trHeight w:val="225"/>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86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(6,130)</w:t>
            </w:r>
          </w:p>
        </w:tc>
        <w:tc>
          <w:tcPr>
            <w:tcW w:w="340" w:type="dxa"/>
            <w:vAlign w:val="bottom"/>
          </w:tcPr>
          <w:p>
            <w:pPr>
              <w:spacing w:after="0"/>
              <w:rPr>
                <w:sz w:val="19"/>
                <w:szCs w:val="19"/>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(83)</w:t>
            </w:r>
          </w:p>
        </w:tc>
        <w:tc>
          <w:tcPr>
            <w:tcW w:w="460" w:type="dxa"/>
            <w:vAlign w:val="bottom"/>
          </w:tcPr>
          <w:p>
            <w:pPr>
              <w:spacing w:after="0"/>
              <w:rPr>
                <w:sz w:val="19"/>
                <w:szCs w:val="19"/>
                <w:color w:val="auto"/>
              </w:rPr>
            </w:pPr>
          </w:p>
        </w:tc>
        <w:tc>
          <w:tcPr>
            <w:tcW w:w="11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(6,047)</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n/m</w:t>
            </w:r>
          </w:p>
        </w:tc>
      </w:tr>
      <w:tr>
        <w:trPr>
          <w:trHeight w:val="185"/>
        </w:trPr>
        <w:tc>
          <w:tcPr>
            <w:tcW w:w="496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Restructuring, transaction-related items, and other corporate</w:t>
            </w: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0"/>
        </w:trPr>
        <w:tc>
          <w:tcPr>
            <w:tcW w:w="4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matters</w:t>
            </w:r>
          </w:p>
        </w:tc>
        <w:tc>
          <w:tcPr>
            <w:tcW w:w="8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(747)</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31</w:t>
            </w: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(778)</w:t>
            </w:r>
          </w:p>
        </w:tc>
        <w:tc>
          <w:tcPr>
            <w:tcW w:w="11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n/m</w:t>
            </w:r>
          </w:p>
        </w:tc>
      </w:tr>
      <w:tr>
        <w:trPr>
          <w:trHeight w:val="225"/>
        </w:trPr>
        <w:tc>
          <w:tcPr>
            <w:tcW w:w="4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Operating Loss</w:t>
            </w:r>
          </w:p>
        </w:tc>
        <w:tc>
          <w:tcPr>
            <w:tcW w:w="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(5,269)</w:t>
            </w:r>
          </w:p>
        </w:tc>
        <w:tc>
          <w:tcPr>
            <w:tcW w:w="3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(451)</w:t>
            </w:r>
          </w:p>
        </w:tc>
        <w:tc>
          <w:tcPr>
            <w:tcW w:w="4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(4,818)</w:t>
            </w:r>
          </w:p>
        </w:tc>
        <w:tc>
          <w:tcPr>
            <w:tcW w:w="11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n/m</w:t>
            </w:r>
          </w:p>
        </w:tc>
      </w:tr>
    </w:tbl>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81" w:lineRule="exact"/>
        <w:rPr>
          <w:sz w:val="20"/>
          <w:szCs w:val="20"/>
          <w:color w:val="auto"/>
        </w:rPr>
      </w:pPr>
    </w:p>
    <w:p>
      <w:pPr>
        <w:ind w:left="480" w:right="280" w:hanging="236"/>
        <w:spacing w:after="0" w:line="272" w:lineRule="auto"/>
        <w:tabs>
          <w:tab w:leader="none" w:pos="458"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2024 and 2023, stock-based compensation expense of $35 million and $5 million, respectively, is included in “Restructuring, transaction-related items, and other corporate matters.”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TV Media</w:t>
      </w:r>
    </w:p>
    <w:p>
      <w:pPr>
        <w:spacing w:after="0" w:line="133" w:lineRule="exact"/>
        <w:rPr>
          <w:sz w:val="20"/>
          <w:szCs w:val="20"/>
          <w:color w:val="auto"/>
        </w:rPr>
      </w:pPr>
    </w:p>
    <w:tbl>
      <w:tblPr>
        <w:tblLayout w:type="fixed"/>
        <w:tblInd w:w="460" w:type="dxa"/>
        <w:tblCellMar>
          <w:top w:w="0" w:type="dxa"/>
          <w:left w:w="0" w:type="dxa"/>
          <w:bottom w:w="0" w:type="dxa"/>
          <w:right w:w="0" w:type="dxa"/>
        </w:tblCellMar>
      </w:tblPr>
      <w:tr>
        <w:trPr>
          <w:trHeight w:val="245"/>
        </w:trPr>
        <w:tc>
          <w:tcPr>
            <w:tcW w:w="3680" w:type="dxa"/>
            <w:vAlign w:val="bottom"/>
            <w:tcBorders>
              <w:top w:val="single" w:sz="8" w:color="auto"/>
            </w:tcBorders>
          </w:tcPr>
          <w:p>
            <w:pPr>
              <w:spacing w:after="0"/>
              <w:rPr>
                <w:sz w:val="21"/>
                <w:szCs w:val="21"/>
                <w:color w:val="auto"/>
              </w:rPr>
            </w:pPr>
          </w:p>
        </w:tc>
        <w:tc>
          <w:tcPr>
            <w:tcW w:w="18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2"/>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20"/>
                <w:szCs w:val="20"/>
                <w:color w:val="auto"/>
              </w:rPr>
            </w:pPr>
          </w:p>
        </w:tc>
      </w:tr>
      <w:tr>
        <w:trPr>
          <w:trHeight w:val="213"/>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1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8,180</w:t>
            </w:r>
          </w:p>
        </w:tc>
        <w:tc>
          <w:tcPr>
            <w:tcW w:w="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8,188</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(8)</w:t>
            </w:r>
          </w:p>
        </w:tc>
        <w:tc>
          <w:tcPr>
            <w:tcW w:w="1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r>
      <w:tr>
        <w:trPr>
          <w:trHeight w:val="225"/>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Affiliate and subscription</w:t>
            </w:r>
          </w:p>
        </w:tc>
        <w:tc>
          <w:tcPr>
            <w:tcW w:w="1880" w:type="dxa"/>
            <w:vAlign w:val="bottom"/>
          </w:tcPr>
          <w:p>
            <w:pPr>
              <w:spacing w:after="0"/>
              <w:rPr>
                <w:sz w:val="19"/>
                <w:szCs w:val="19"/>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7,647</w:t>
            </w:r>
          </w:p>
        </w:tc>
        <w:tc>
          <w:tcPr>
            <w:tcW w:w="380" w:type="dxa"/>
            <w:vAlign w:val="bottom"/>
          </w:tcPr>
          <w:p>
            <w:pPr>
              <w:spacing w:after="0"/>
              <w:rPr>
                <w:sz w:val="19"/>
                <w:szCs w:val="19"/>
                <w:color w:val="auto"/>
              </w:rPr>
            </w:pP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8,085</w:t>
            </w:r>
          </w:p>
        </w:tc>
        <w:tc>
          <w:tcPr>
            <w:tcW w:w="460" w:type="dxa"/>
            <w:vAlign w:val="bottom"/>
          </w:tcPr>
          <w:p>
            <w:pPr>
              <w:spacing w:after="0"/>
              <w:rPr>
                <w:sz w:val="19"/>
                <w:szCs w:val="19"/>
                <w:color w:val="auto"/>
              </w:rPr>
            </w:pPr>
          </w:p>
        </w:tc>
        <w:tc>
          <w:tcPr>
            <w:tcW w:w="10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(438)</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r>
      <w:tr>
        <w:trPr>
          <w:trHeight w:val="230"/>
        </w:trPr>
        <w:tc>
          <w:tcPr>
            <w:tcW w:w="3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Licensing and other</w:t>
            </w:r>
          </w:p>
        </w:tc>
        <w:tc>
          <w:tcPr>
            <w:tcW w:w="18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2,952</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3,812</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(860)</w:t>
            </w:r>
          </w:p>
        </w:tc>
        <w:tc>
          <w:tcPr>
            <w:tcW w:w="9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auto"/>
            </w:tcBorders>
          </w:tcPr>
          <w:p>
            <w:pPr>
              <w:spacing w:after="0"/>
              <w:rPr>
                <w:sz w:val="20"/>
                <w:szCs w:val="20"/>
                <w:color w:val="auto"/>
              </w:rPr>
            </w:pPr>
          </w:p>
        </w:tc>
      </w:tr>
      <w:tr>
        <w:trPr>
          <w:trHeight w:val="225"/>
        </w:trPr>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Revenues</w:t>
            </w:r>
          </w:p>
        </w:tc>
        <w:tc>
          <w:tcPr>
            <w:tcW w:w="1880" w:type="dxa"/>
            <w:vAlign w:val="bottom"/>
          </w:tcPr>
          <w:p>
            <w:pPr>
              <w:spacing w:after="0"/>
              <w:rPr>
                <w:sz w:val="19"/>
                <w:szCs w:val="19"/>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18,779</w:t>
            </w:r>
          </w:p>
        </w:tc>
        <w:tc>
          <w:tcPr>
            <w:tcW w:w="380" w:type="dxa"/>
            <w:vAlign w:val="bottom"/>
          </w:tcPr>
          <w:p>
            <w:pPr>
              <w:spacing w:after="0"/>
              <w:rPr>
                <w:sz w:val="19"/>
                <w:szCs w:val="19"/>
                <w:color w:val="auto"/>
              </w:rPr>
            </w:pP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20,085</w:t>
            </w:r>
          </w:p>
        </w:tc>
        <w:tc>
          <w:tcPr>
            <w:tcW w:w="460" w:type="dxa"/>
            <w:vAlign w:val="bottom"/>
          </w:tcPr>
          <w:p>
            <w:pPr>
              <w:spacing w:after="0"/>
              <w:rPr>
                <w:sz w:val="19"/>
                <w:szCs w:val="19"/>
                <w:color w:val="auto"/>
              </w:rPr>
            </w:pPr>
          </w:p>
        </w:tc>
        <w:tc>
          <w:tcPr>
            <w:tcW w:w="10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(1,306)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r>
      <w:tr>
        <w:trPr>
          <w:trHeight w:val="267"/>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 costs</w:t>
            </w:r>
          </w:p>
        </w:tc>
        <w:tc>
          <w:tcPr>
            <w:tcW w:w="188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9,199</w:t>
            </w:r>
          </w:p>
        </w:tc>
        <w:tc>
          <w:tcPr>
            <w:tcW w:w="380" w:type="dxa"/>
            <w:vAlign w:val="bottom"/>
          </w:tcPr>
          <w:p>
            <w:pPr>
              <w:spacing w:after="0"/>
              <w:rPr>
                <w:sz w:val="23"/>
                <w:szCs w:val="23"/>
                <w:color w:val="auto"/>
              </w:rPr>
            </w:pP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9,861</w:t>
            </w:r>
          </w:p>
        </w:tc>
        <w:tc>
          <w:tcPr>
            <w:tcW w:w="460" w:type="dxa"/>
            <w:vAlign w:val="bottom"/>
          </w:tcPr>
          <w:p>
            <w:pPr>
              <w:spacing w:after="0"/>
              <w:rPr>
                <w:sz w:val="23"/>
                <w:szCs w:val="23"/>
                <w:color w:val="auto"/>
              </w:rPr>
            </w:pPr>
          </w:p>
        </w:tc>
        <w:tc>
          <w:tcPr>
            <w:tcW w:w="10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(662)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3"/>
                <w:szCs w:val="23"/>
                <w:color w:val="auto"/>
              </w:rPr>
            </w:pPr>
          </w:p>
        </w:tc>
      </w:tr>
      <w:tr>
        <w:trPr>
          <w:trHeight w:val="222"/>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and marketing</w:t>
            </w:r>
          </w:p>
        </w:tc>
        <w:tc>
          <w:tcPr>
            <w:tcW w:w="1880" w:type="dxa"/>
            <w:vAlign w:val="bottom"/>
          </w:tcPr>
          <w:p>
            <w:pPr>
              <w:spacing w:after="0"/>
              <w:rPr>
                <w:sz w:val="19"/>
                <w:szCs w:val="19"/>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689</w:t>
            </w:r>
          </w:p>
        </w:tc>
        <w:tc>
          <w:tcPr>
            <w:tcW w:w="380" w:type="dxa"/>
            <w:vAlign w:val="bottom"/>
          </w:tcPr>
          <w:p>
            <w:pPr>
              <w:spacing w:after="0"/>
              <w:rPr>
                <w:sz w:val="19"/>
                <w:szCs w:val="19"/>
                <w:color w:val="auto"/>
              </w:rPr>
            </w:pP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761</w:t>
            </w:r>
          </w:p>
        </w:tc>
        <w:tc>
          <w:tcPr>
            <w:tcW w:w="460" w:type="dxa"/>
            <w:vAlign w:val="bottom"/>
          </w:tcPr>
          <w:p>
            <w:pPr>
              <w:spacing w:after="0"/>
              <w:rPr>
                <w:sz w:val="19"/>
                <w:szCs w:val="19"/>
                <w:color w:val="auto"/>
              </w:rPr>
            </w:pPr>
          </w:p>
        </w:tc>
        <w:tc>
          <w:tcPr>
            <w:tcW w:w="10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(72)</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r>
      <w:tr>
        <w:trPr>
          <w:trHeight w:val="233"/>
        </w:trPr>
        <w:tc>
          <w:tcPr>
            <w:tcW w:w="3680" w:type="dxa"/>
            <w:vAlign w:val="bottom"/>
            <w:tcBorders>
              <w:bottom w:val="single" w:sz="8" w:color="auto"/>
            </w:tcBorders>
          </w:tcPr>
          <w:p>
            <w:pPr>
              <w:ind w:left="20"/>
              <w:spacing w:after="0" w:line="233"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2"/>
                <w:szCs w:val="22"/>
                <w:color w:val="auto"/>
                <w:vertAlign w:val="superscript"/>
              </w:rPr>
              <w:t>(a)</w:t>
            </w:r>
          </w:p>
        </w:tc>
        <w:tc>
          <w:tcPr>
            <w:tcW w:w="18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4,543</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4,672</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(129)</w:t>
            </w:r>
          </w:p>
        </w:tc>
        <w:tc>
          <w:tcPr>
            <w:tcW w:w="9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25"/>
        </w:trPr>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Expenses</w:t>
            </w:r>
          </w:p>
        </w:tc>
        <w:tc>
          <w:tcPr>
            <w:tcW w:w="1880" w:type="dxa"/>
            <w:vAlign w:val="bottom"/>
          </w:tcPr>
          <w:p>
            <w:pPr>
              <w:spacing w:after="0"/>
              <w:rPr>
                <w:sz w:val="19"/>
                <w:szCs w:val="19"/>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14,431</w:t>
            </w:r>
          </w:p>
        </w:tc>
        <w:tc>
          <w:tcPr>
            <w:tcW w:w="380" w:type="dxa"/>
            <w:vAlign w:val="bottom"/>
          </w:tcPr>
          <w:p>
            <w:pPr>
              <w:spacing w:after="0"/>
              <w:rPr>
                <w:sz w:val="19"/>
                <w:szCs w:val="19"/>
                <w:color w:val="auto"/>
              </w:rPr>
            </w:pP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15,294</w:t>
            </w:r>
          </w:p>
        </w:tc>
        <w:tc>
          <w:tcPr>
            <w:tcW w:w="460" w:type="dxa"/>
            <w:vAlign w:val="bottom"/>
          </w:tcPr>
          <w:p>
            <w:pPr>
              <w:spacing w:after="0"/>
              <w:rPr>
                <w:sz w:val="19"/>
                <w:szCs w:val="19"/>
                <w:color w:val="auto"/>
              </w:rPr>
            </w:pPr>
          </w:p>
        </w:tc>
        <w:tc>
          <w:tcPr>
            <w:tcW w:w="10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(863)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r>
      <w:tr>
        <w:trPr>
          <w:trHeight w:val="279"/>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OIBDA</w:t>
            </w:r>
          </w:p>
        </w:tc>
        <w:tc>
          <w:tcPr>
            <w:tcW w:w="1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4,348</w:t>
            </w:r>
          </w:p>
        </w:tc>
        <w:tc>
          <w:tcPr>
            <w:tcW w:w="3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4,791</w:t>
            </w:r>
          </w:p>
        </w:tc>
        <w:tc>
          <w:tcPr>
            <w:tcW w:w="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(443)</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auto"/>
            </w:tcBorders>
          </w:tcPr>
          <w:p>
            <w:pPr>
              <w:spacing w:after="0"/>
              <w:rPr>
                <w:sz w:val="24"/>
                <w:szCs w:val="24"/>
                <w:color w:val="auto"/>
              </w:rPr>
            </w:pPr>
          </w:p>
        </w:tc>
      </w:tr>
    </w:tbl>
    <w:p>
      <w:pPr>
        <w:spacing w:after="0" w:line="156" w:lineRule="exact"/>
        <w:rPr>
          <w:sz w:val="20"/>
          <w:szCs w:val="20"/>
          <w:color w:val="auto"/>
        </w:rPr>
      </w:pPr>
    </w:p>
    <w:p>
      <w:pPr>
        <w:jc w:val="both"/>
        <w:ind w:left="640" w:right="480" w:hanging="237"/>
        <w:spacing w:after="0" w:line="267" w:lineRule="auto"/>
        <w:tabs>
          <w:tab w:leader="none" w:pos="6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segment expenses for our </w:t>
      </w:r>
      <w:r>
        <w:rPr>
          <w:rFonts w:ascii="Times New Roman" w:cs="Times New Roman" w:eastAsia="Times New Roman" w:hAnsi="Times New Roman"/>
          <w:sz w:val="16"/>
          <w:szCs w:val="16"/>
          <w:i w:val="1"/>
          <w:iCs w:val="1"/>
          <w:color w:val="auto"/>
        </w:rPr>
        <w:t>TV Media</w:t>
      </w:r>
      <w:r>
        <w:rPr>
          <w:rFonts w:ascii="Times New Roman" w:cs="Times New Roman" w:eastAsia="Times New Roman" w:hAnsi="Times New Roman"/>
          <w:sz w:val="16"/>
          <w:szCs w:val="16"/>
          <w:color w:val="auto"/>
        </w:rPr>
        <w:t xml:space="preserve"> segment include employee compensation; revenue-sharing costs to television stations affiliated with the CBS Television Network; costs relating to the distribution of our content; costs for research, occupancy, technology, and professional services; and other costs associated with our operations.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Revenues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Revenues decreased 7% to $18.78 billion.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Advertising</w:t>
      </w:r>
    </w:p>
    <w:p>
      <w:pPr>
        <w:spacing w:after="0" w:line="13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 xml:space="preserve">Advertising revenues of $8.18 billion for 2024 were substantially flat compared with 2023. The comparison reflects increases of 7% from CBS’ broadcast of </w:t>
      </w:r>
      <w:r>
        <w:rPr>
          <w:rFonts w:ascii="Times New Roman" w:cs="Times New Roman" w:eastAsia="Times New Roman" w:hAnsi="Times New Roman"/>
          <w:sz w:val="19"/>
          <w:szCs w:val="19"/>
          <w:i w:val="1"/>
          <w:iCs w:val="1"/>
          <w:color w:val="auto"/>
        </w:rPr>
        <w:t>Super Bowl LVIII</w:t>
      </w:r>
      <w:r>
        <w:rPr>
          <w:rFonts w:ascii="Times New Roman" w:cs="Times New Roman" w:eastAsia="Times New Roman" w:hAnsi="Times New Roman"/>
          <w:sz w:val="19"/>
          <w:szCs w:val="19"/>
          <w:color w:val="auto"/>
        </w:rPr>
        <w:t xml:space="preserve"> in the first quarter of 2024; 3% from higher political advertising as a result of the 2024 U.S. Presidential election; and 2% from amounts recognized during 2024 relating to the underreporting of revenue by an international sales partner in prior periods, offset by declines in the linear advertising market and a decrease of 3% from fewer broadcasts of other sporting events on CBS. We have the rights to broadcast the Super Bowl on a rotational basis with other networks, and therefore did not have a comparable broadcast in 2023. Domestic advertising revenues declined 1% to $6.98 billion. International advertising revenues increased 5% to $1.20 billion.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Affiliate and Subscription</w:t>
      </w:r>
    </w:p>
    <w:p>
      <w:pPr>
        <w:spacing w:after="0" w:line="15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color w:val="auto"/>
        </w:rPr>
        <w:t xml:space="preserve">Affiliate and subscription revenues decreased 5%, reflecting decreases of 6% from linear subscriber declines and 1% from the absence of pay-per-view boxing events, which we no longer broadcast beginning in 2024, partially offset by an increase of 2% from contractual pricing. </w:t>
      </w:r>
      <w:r>
        <w:rPr>
          <w:rFonts w:ascii="Times New Roman" w:cs="Times New Roman" w:eastAsia="Times New Roman" w:hAnsi="Times New Roman"/>
          <w:sz w:val="19"/>
          <w:szCs w:val="19"/>
          <w:i w:val="1"/>
          <w:iCs w:val="1"/>
          <w:color w:val="auto"/>
        </w:rPr>
        <w:t>Licensing and Other</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Licensing and other revenues decreased 23%, reflecting lower revenues from secondary market licensing and content produced for third parties.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Content available for licensing was impacted by temporary production shutdowns due to labor strikes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Expenses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Content Costs</w:t>
      </w:r>
    </w:p>
    <w:p>
      <w:pPr>
        <w:spacing w:after="0" w:line="168"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9"/>
          <w:szCs w:val="19"/>
          <w:color w:val="auto"/>
        </w:rPr>
        <w:t xml:space="preserve">The 7% decrease in content costs principally reflects lower costs associated with the decline in licensing revenues, partially offset by an increase of 2% from costs associated with CBS’s broadcast of </w:t>
      </w:r>
      <w:r>
        <w:rPr>
          <w:rFonts w:ascii="Times New Roman" w:cs="Times New Roman" w:eastAsia="Times New Roman" w:hAnsi="Times New Roman"/>
          <w:sz w:val="19"/>
          <w:szCs w:val="19"/>
          <w:i w:val="1"/>
          <w:iCs w:val="1"/>
          <w:color w:val="auto"/>
        </w:rPr>
        <w:t>Super Bowl LVIII</w:t>
      </w:r>
      <w:r>
        <w:rPr>
          <w:rFonts w:ascii="Times New Roman" w:cs="Times New Roman" w:eastAsia="Times New Roman" w:hAnsi="Times New Roman"/>
          <w:sz w:val="19"/>
          <w:szCs w:val="19"/>
          <w:color w:val="auto"/>
        </w:rPr>
        <w:t xml:space="preserve"> in the first quarter of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Advertising and Marketing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Advertising and marketing expenses decreased 9%, driven by cost savings associated with the combination of Paramount+ and Showtime.</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w:t>
      </w:r>
    </w:p>
    <w:p>
      <w:pPr>
        <w:spacing w:after="0" w:line="155"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9"/>
          <w:szCs w:val="19"/>
          <w:color w:val="auto"/>
        </w:rPr>
        <w:t>Other expenses decreased 3%, primarily reflecting the benefit of cost savings initiatives, including for compensation, occupancy, and outside services.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Adjusted OIBDA</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Adjusted OIBDA decreased 9%, reflecting the decline in revenues, partially offset by the lower costs discussed above.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Direct-to-Consumer</w:t>
      </w:r>
    </w:p>
    <w:p>
      <w:pPr>
        <w:spacing w:after="0" w:line="133" w:lineRule="exact"/>
        <w:rPr>
          <w:sz w:val="20"/>
          <w:szCs w:val="20"/>
          <w:color w:val="auto"/>
        </w:rPr>
      </w:pPr>
    </w:p>
    <w:tbl>
      <w:tblPr>
        <w:tblLayout w:type="fixed"/>
        <w:tblInd w:w="460" w:type="dxa"/>
        <w:tblCellMar>
          <w:top w:w="0" w:type="dxa"/>
          <w:left w:w="0" w:type="dxa"/>
          <w:bottom w:w="0" w:type="dxa"/>
          <w:right w:w="0" w:type="dxa"/>
        </w:tblCellMar>
      </w:tblPr>
      <w:tr>
        <w:trPr>
          <w:trHeight w:val="252"/>
        </w:trPr>
        <w:tc>
          <w:tcPr>
            <w:tcW w:w="36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9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top w:val="single" w:sz="8" w:color="auto"/>
              <w:bottom w:val="single" w:sz="8" w:color="auto"/>
            </w:tcBorders>
          </w:tcPr>
          <w:p>
            <w:pPr>
              <w:spacing w:after="0"/>
              <w:rPr>
                <w:sz w:val="21"/>
                <w:szCs w:val="21"/>
                <w:color w:val="auto"/>
              </w:rPr>
            </w:pPr>
          </w:p>
        </w:tc>
        <w:tc>
          <w:tcPr>
            <w:tcW w:w="2060" w:type="dxa"/>
            <w:vAlign w:val="bottom"/>
            <w:tcBorders>
              <w:top w:val="single" w:sz="8" w:color="auto"/>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13"/>
        </w:trPr>
        <w:tc>
          <w:tcPr>
            <w:tcW w:w="3680" w:type="dxa"/>
            <w:vAlign w:val="bottom"/>
          </w:tcPr>
          <w:p>
            <w:pPr>
              <w:jc w:val="center"/>
              <w:ind w:right="2472"/>
              <w:spacing w:after="0"/>
              <w:rPr>
                <w:sz w:val="20"/>
                <w:szCs w:val="20"/>
                <w:color w:val="auto"/>
              </w:rPr>
            </w:pPr>
            <w:r>
              <w:rPr>
                <w:rFonts w:ascii="Times New Roman" w:cs="Times New Roman" w:eastAsia="Times New Roman" w:hAnsi="Times New Roman"/>
                <w:sz w:val="18"/>
                <w:szCs w:val="18"/>
                <w:color w:val="auto"/>
                <w:w w:val="98"/>
              </w:rPr>
              <w:t>Advertising</w:t>
            </w:r>
          </w:p>
        </w:tc>
        <w:tc>
          <w:tcPr>
            <w:tcW w:w="1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2,114</w:t>
            </w:r>
          </w:p>
        </w:tc>
        <w:tc>
          <w:tcPr>
            <w:tcW w:w="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1,795</w:t>
            </w:r>
          </w:p>
        </w:tc>
        <w:tc>
          <w:tcPr>
            <w:tcW w:w="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319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18"/>
                <w:szCs w:val="18"/>
                <w:color w:val="auto"/>
              </w:rPr>
            </w:pPr>
          </w:p>
        </w:tc>
      </w:tr>
      <w:tr>
        <w:trPr>
          <w:trHeight w:val="222"/>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w:t>
            </w:r>
          </w:p>
        </w:tc>
        <w:tc>
          <w:tcPr>
            <w:tcW w:w="1900" w:type="dxa"/>
            <w:vAlign w:val="bottom"/>
          </w:tcPr>
          <w:p>
            <w:pPr>
              <w:spacing w:after="0"/>
              <w:rPr>
                <w:sz w:val="19"/>
                <w:szCs w:val="19"/>
                <w:color w:val="auto"/>
              </w:rPr>
            </w:pP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5,506</w:t>
            </w:r>
          </w:p>
        </w:tc>
        <w:tc>
          <w:tcPr>
            <w:tcW w:w="340" w:type="dxa"/>
            <w:vAlign w:val="bottom"/>
          </w:tcPr>
          <w:p>
            <w:pPr>
              <w:spacing w:after="0"/>
              <w:rPr>
                <w:sz w:val="19"/>
                <w:szCs w:val="19"/>
                <w:color w:val="auto"/>
              </w:rPr>
            </w:pP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4,933</w:t>
            </w:r>
          </w:p>
        </w:tc>
        <w:tc>
          <w:tcPr>
            <w:tcW w:w="440" w:type="dxa"/>
            <w:vAlign w:val="bottom"/>
          </w:tcPr>
          <w:p>
            <w:pPr>
              <w:spacing w:after="0"/>
              <w:rPr>
                <w:sz w:val="19"/>
                <w:szCs w:val="19"/>
                <w:color w:val="auto"/>
              </w:rPr>
            </w:pPr>
          </w:p>
        </w:tc>
        <w:tc>
          <w:tcPr>
            <w:tcW w:w="10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573</w:t>
            </w: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r>
      <w:tr>
        <w:trPr>
          <w:trHeight w:val="233"/>
        </w:trPr>
        <w:tc>
          <w:tcPr>
            <w:tcW w:w="3680" w:type="dxa"/>
            <w:vAlign w:val="bottom"/>
            <w:tcBorders>
              <w:bottom w:val="single" w:sz="8" w:color="auto"/>
            </w:tcBorders>
          </w:tcPr>
          <w:p>
            <w:pPr>
              <w:jc w:val="center"/>
              <w:ind w:right="2432"/>
              <w:spacing w:after="0" w:line="233" w:lineRule="exact"/>
              <w:rPr>
                <w:sz w:val="20"/>
                <w:szCs w:val="20"/>
                <w:color w:val="auto"/>
              </w:rPr>
            </w:pPr>
            <w:r>
              <w:rPr>
                <w:rFonts w:ascii="Times New Roman" w:cs="Times New Roman" w:eastAsia="Times New Roman" w:hAnsi="Times New Roman"/>
                <w:sz w:val="18"/>
                <w:szCs w:val="18"/>
                <w:color w:val="auto"/>
                <w:w w:val="95"/>
              </w:rPr>
              <w:t xml:space="preserve">Licensing </w:t>
            </w:r>
            <w:r>
              <w:rPr>
                <w:rFonts w:ascii="Times New Roman" w:cs="Times New Roman" w:eastAsia="Times New Roman" w:hAnsi="Times New Roman"/>
                <w:sz w:val="22"/>
                <w:szCs w:val="22"/>
                <w:color w:val="auto"/>
                <w:w w:val="95"/>
                <w:vertAlign w:val="superscript"/>
              </w:rPr>
              <w:t>(a)</w:t>
            </w:r>
          </w:p>
        </w:tc>
        <w:tc>
          <w:tcPr>
            <w:tcW w:w="19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4</w:t>
            </w:r>
          </w:p>
        </w:tc>
        <w:tc>
          <w:tcPr>
            <w:tcW w:w="9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auto"/>
            </w:tcBorders>
          </w:tcPr>
          <w:p>
            <w:pPr>
              <w:spacing w:after="0"/>
              <w:rPr>
                <w:sz w:val="20"/>
                <w:szCs w:val="20"/>
                <w:color w:val="auto"/>
              </w:rPr>
            </w:pPr>
          </w:p>
        </w:tc>
      </w:tr>
      <w:tr>
        <w:trPr>
          <w:trHeight w:val="225"/>
        </w:trPr>
        <w:tc>
          <w:tcPr>
            <w:tcW w:w="3680" w:type="dxa"/>
            <w:vAlign w:val="bottom"/>
          </w:tcPr>
          <w:p>
            <w:pPr>
              <w:jc w:val="center"/>
              <w:ind w:right="2432"/>
              <w:spacing w:after="0"/>
              <w:rPr>
                <w:sz w:val="20"/>
                <w:szCs w:val="20"/>
                <w:color w:val="auto"/>
              </w:rPr>
            </w:pPr>
            <w:r>
              <w:rPr>
                <w:rFonts w:ascii="Times New Roman" w:cs="Times New Roman" w:eastAsia="Times New Roman" w:hAnsi="Times New Roman"/>
                <w:sz w:val="18"/>
                <w:szCs w:val="18"/>
                <w:color w:val="auto"/>
                <w:w w:val="97"/>
              </w:rPr>
              <w:t>Revenues</w:t>
            </w:r>
          </w:p>
        </w:tc>
        <w:tc>
          <w:tcPr>
            <w:tcW w:w="1900" w:type="dxa"/>
            <w:vAlign w:val="bottom"/>
          </w:tcPr>
          <w:p>
            <w:pPr>
              <w:spacing w:after="0"/>
              <w:rPr>
                <w:sz w:val="19"/>
                <w:szCs w:val="19"/>
                <w:color w:val="auto"/>
              </w:rPr>
            </w:pP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7,632</w:t>
            </w:r>
          </w:p>
        </w:tc>
        <w:tc>
          <w:tcPr>
            <w:tcW w:w="340" w:type="dxa"/>
            <w:vAlign w:val="bottom"/>
          </w:tcPr>
          <w:p>
            <w:pPr>
              <w:spacing w:after="0"/>
              <w:rPr>
                <w:sz w:val="19"/>
                <w:szCs w:val="19"/>
                <w:color w:val="auto"/>
              </w:rPr>
            </w:pP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6,736</w:t>
            </w:r>
          </w:p>
        </w:tc>
        <w:tc>
          <w:tcPr>
            <w:tcW w:w="440" w:type="dxa"/>
            <w:vAlign w:val="bottom"/>
          </w:tcPr>
          <w:p>
            <w:pPr>
              <w:spacing w:after="0"/>
              <w:rPr>
                <w:sz w:val="19"/>
                <w:szCs w:val="19"/>
                <w:color w:val="auto"/>
              </w:rPr>
            </w:pPr>
          </w:p>
        </w:tc>
        <w:tc>
          <w:tcPr>
            <w:tcW w:w="10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896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9"/>
                <w:szCs w:val="19"/>
                <w:color w:val="auto"/>
              </w:rPr>
            </w:pPr>
          </w:p>
        </w:tc>
      </w:tr>
      <w:tr>
        <w:trPr>
          <w:trHeight w:val="267"/>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 costs</w:t>
            </w:r>
          </w:p>
        </w:tc>
        <w:tc>
          <w:tcPr>
            <w:tcW w:w="1900" w:type="dxa"/>
            <w:vAlign w:val="bottom"/>
          </w:tcPr>
          <w:p>
            <w:pPr>
              <w:spacing w:after="0"/>
              <w:rPr>
                <w:sz w:val="23"/>
                <w:szCs w:val="23"/>
                <w:color w:val="auto"/>
              </w:rPr>
            </w:pP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4,415</w:t>
            </w:r>
          </w:p>
        </w:tc>
        <w:tc>
          <w:tcPr>
            <w:tcW w:w="340" w:type="dxa"/>
            <w:vAlign w:val="bottom"/>
          </w:tcPr>
          <w:p>
            <w:pPr>
              <w:spacing w:after="0"/>
              <w:rPr>
                <w:sz w:val="23"/>
                <w:szCs w:val="23"/>
                <w:color w:val="auto"/>
              </w:rPr>
            </w:pP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4,459</w:t>
            </w:r>
          </w:p>
        </w:tc>
        <w:tc>
          <w:tcPr>
            <w:tcW w:w="440" w:type="dxa"/>
            <w:vAlign w:val="bottom"/>
          </w:tcPr>
          <w:p>
            <w:pPr>
              <w:spacing w:after="0"/>
              <w:rPr>
                <w:sz w:val="23"/>
                <w:szCs w:val="23"/>
                <w:color w:val="auto"/>
              </w:rPr>
            </w:pPr>
          </w:p>
        </w:tc>
        <w:tc>
          <w:tcPr>
            <w:tcW w:w="10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(44)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r>
      <w:tr>
        <w:trPr>
          <w:trHeight w:val="222"/>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and marketing</w:t>
            </w:r>
          </w:p>
        </w:tc>
        <w:tc>
          <w:tcPr>
            <w:tcW w:w="1900" w:type="dxa"/>
            <w:vAlign w:val="bottom"/>
          </w:tcPr>
          <w:p>
            <w:pPr>
              <w:spacing w:after="0"/>
              <w:rPr>
                <w:sz w:val="19"/>
                <w:szCs w:val="19"/>
                <w:color w:val="auto"/>
              </w:rPr>
            </w:pP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1,341</w:t>
            </w:r>
          </w:p>
        </w:tc>
        <w:tc>
          <w:tcPr>
            <w:tcW w:w="340" w:type="dxa"/>
            <w:vAlign w:val="bottom"/>
          </w:tcPr>
          <w:p>
            <w:pPr>
              <w:spacing w:after="0"/>
              <w:rPr>
                <w:sz w:val="19"/>
                <w:szCs w:val="19"/>
                <w:color w:val="auto"/>
              </w:rPr>
            </w:pP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1,751</w:t>
            </w:r>
          </w:p>
        </w:tc>
        <w:tc>
          <w:tcPr>
            <w:tcW w:w="440" w:type="dxa"/>
            <w:vAlign w:val="bottom"/>
          </w:tcPr>
          <w:p>
            <w:pPr>
              <w:spacing w:after="0"/>
              <w:rPr>
                <w:sz w:val="19"/>
                <w:szCs w:val="19"/>
                <w:color w:val="auto"/>
              </w:rPr>
            </w:pPr>
          </w:p>
        </w:tc>
        <w:tc>
          <w:tcPr>
            <w:tcW w:w="10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(410)</w:t>
            </w: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r>
      <w:tr>
        <w:trPr>
          <w:trHeight w:val="233"/>
        </w:trPr>
        <w:tc>
          <w:tcPr>
            <w:tcW w:w="3680" w:type="dxa"/>
            <w:vAlign w:val="bottom"/>
            <w:tcBorders>
              <w:bottom w:val="single" w:sz="8" w:color="auto"/>
            </w:tcBorders>
          </w:tcPr>
          <w:p>
            <w:pPr>
              <w:ind w:left="20"/>
              <w:spacing w:after="0" w:line="233"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2"/>
                <w:szCs w:val="22"/>
                <w:color w:val="auto"/>
                <w:vertAlign w:val="superscript"/>
              </w:rPr>
              <w:t>(b)</w:t>
            </w:r>
          </w:p>
        </w:tc>
        <w:tc>
          <w:tcPr>
            <w:tcW w:w="19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2,373</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2,189</w:t>
            </w: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184</w:t>
            </w:r>
          </w:p>
        </w:tc>
        <w:tc>
          <w:tcPr>
            <w:tcW w:w="9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r>
      <w:tr>
        <w:trPr>
          <w:trHeight w:val="225"/>
        </w:trPr>
        <w:tc>
          <w:tcPr>
            <w:tcW w:w="3680" w:type="dxa"/>
            <w:vAlign w:val="bottom"/>
          </w:tcPr>
          <w:p>
            <w:pPr>
              <w:jc w:val="center"/>
              <w:ind w:right="2452"/>
              <w:spacing w:after="0"/>
              <w:rPr>
                <w:sz w:val="20"/>
                <w:szCs w:val="20"/>
                <w:color w:val="auto"/>
              </w:rPr>
            </w:pPr>
            <w:r>
              <w:rPr>
                <w:rFonts w:ascii="Times New Roman" w:cs="Times New Roman" w:eastAsia="Times New Roman" w:hAnsi="Times New Roman"/>
                <w:sz w:val="18"/>
                <w:szCs w:val="18"/>
                <w:color w:val="auto"/>
                <w:w w:val="97"/>
              </w:rPr>
              <w:t>Expenses</w:t>
            </w:r>
          </w:p>
        </w:tc>
        <w:tc>
          <w:tcPr>
            <w:tcW w:w="1900" w:type="dxa"/>
            <w:vAlign w:val="bottom"/>
          </w:tcPr>
          <w:p>
            <w:pPr>
              <w:spacing w:after="0"/>
              <w:rPr>
                <w:sz w:val="19"/>
                <w:szCs w:val="19"/>
                <w:color w:val="auto"/>
              </w:rPr>
            </w:pP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8,129</w:t>
            </w:r>
          </w:p>
        </w:tc>
        <w:tc>
          <w:tcPr>
            <w:tcW w:w="340" w:type="dxa"/>
            <w:vAlign w:val="bottom"/>
          </w:tcPr>
          <w:p>
            <w:pPr>
              <w:spacing w:after="0"/>
              <w:rPr>
                <w:sz w:val="19"/>
                <w:szCs w:val="19"/>
                <w:color w:val="auto"/>
              </w:rPr>
            </w:pP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8,399</w:t>
            </w:r>
          </w:p>
        </w:tc>
        <w:tc>
          <w:tcPr>
            <w:tcW w:w="440" w:type="dxa"/>
            <w:vAlign w:val="bottom"/>
          </w:tcPr>
          <w:p>
            <w:pPr>
              <w:spacing w:after="0"/>
              <w:rPr>
                <w:sz w:val="19"/>
                <w:szCs w:val="19"/>
                <w:color w:val="auto"/>
              </w:rPr>
            </w:pPr>
          </w:p>
        </w:tc>
        <w:tc>
          <w:tcPr>
            <w:tcW w:w="10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(270)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r>
      <w:tr>
        <w:trPr>
          <w:trHeight w:val="279"/>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OIBDA</w:t>
            </w:r>
          </w:p>
        </w:tc>
        <w:tc>
          <w:tcPr>
            <w:tcW w:w="1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(497)</w:t>
            </w:r>
          </w:p>
        </w:tc>
        <w:tc>
          <w:tcPr>
            <w:tcW w:w="3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(1,663)</w:t>
            </w:r>
          </w:p>
        </w:tc>
        <w:tc>
          <w:tcPr>
            <w:tcW w:w="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1,166</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tcBorders>
              <w:bottom w:val="single" w:sz="8" w:color="auto"/>
            </w:tcBorders>
          </w:tcPr>
          <w:p>
            <w:pPr>
              <w:spacing w:after="0"/>
              <w:rPr>
                <w:sz w:val="24"/>
                <w:szCs w:val="24"/>
                <w:color w:val="auto"/>
              </w:rPr>
            </w:pPr>
          </w:p>
        </w:tc>
      </w:tr>
    </w:tbl>
    <w:p>
      <w:pPr>
        <w:spacing w:after="0" w:line="158" w:lineRule="exact"/>
        <w:rPr>
          <w:sz w:val="20"/>
          <w:szCs w:val="20"/>
          <w:color w:val="auto"/>
        </w:rPr>
      </w:pPr>
    </w:p>
    <w:p>
      <w:pPr>
        <w:ind w:left="620" w:hanging="217"/>
        <w:spacing w:after="0"/>
        <w:tabs>
          <w:tab w:leader="none" w:pos="6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reflects revenues from the licensing of content rights owned by BET+.</w:t>
      </w:r>
    </w:p>
    <w:p>
      <w:pPr>
        <w:spacing w:after="0" w:line="92" w:lineRule="exact"/>
        <w:rPr>
          <w:rFonts w:ascii="Times New Roman" w:cs="Times New Roman" w:eastAsia="Times New Roman" w:hAnsi="Times New Roman"/>
          <w:sz w:val="16"/>
          <w:szCs w:val="16"/>
          <w:color w:val="auto"/>
        </w:rPr>
      </w:pPr>
    </w:p>
    <w:p>
      <w:pPr>
        <w:ind w:left="640" w:right="400" w:hanging="237"/>
        <w:spacing w:after="0" w:line="292" w:lineRule="auto"/>
        <w:tabs>
          <w:tab w:leader="none" w:pos="644"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segment expenses for our </w:t>
      </w:r>
      <w:r>
        <w:rPr>
          <w:rFonts w:ascii="Times New Roman" w:cs="Times New Roman" w:eastAsia="Times New Roman" w:hAnsi="Times New Roman"/>
          <w:sz w:val="16"/>
          <w:szCs w:val="16"/>
          <w:i w:val="1"/>
          <w:iCs w:val="1"/>
          <w:color w:val="auto"/>
        </w:rPr>
        <w:t>Direct-to-Consumer</w:t>
      </w:r>
      <w:r>
        <w:rPr>
          <w:rFonts w:ascii="Times New Roman" w:cs="Times New Roman" w:eastAsia="Times New Roman" w:hAnsi="Times New Roman"/>
          <w:sz w:val="16"/>
          <w:szCs w:val="16"/>
          <w:color w:val="auto"/>
        </w:rPr>
        <w:t xml:space="preserve"> segment include employee compensation; revenue-sharing costs, including for third-party distribution; costs for occupancy, technology, and professional services; and other costs associated with our operations.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2" w:lineRule="exact"/>
        <w:rPr>
          <w:sz w:val="20"/>
          <w:szCs w:val="20"/>
          <w:color w:val="auto"/>
        </w:rPr>
      </w:pPr>
    </w:p>
    <w:tbl>
      <w:tblPr>
        <w:tblLayout w:type="fixed"/>
        <w:tblInd w:w="820" w:type="dxa"/>
        <w:tblCellMar>
          <w:top w:w="0" w:type="dxa"/>
          <w:left w:w="0" w:type="dxa"/>
          <w:bottom w:w="0" w:type="dxa"/>
          <w:right w:w="0" w:type="dxa"/>
        </w:tblCellMar>
      </w:tblPr>
      <w:tr>
        <w:trPr>
          <w:trHeight w:val="245"/>
        </w:trPr>
        <w:tc>
          <w:tcPr>
            <w:tcW w:w="20" w:type="dxa"/>
            <w:vAlign w:val="bottom"/>
            <w:tcBorders>
              <w:top w:val="single" w:sz="8" w:color="auto"/>
            </w:tcBorders>
          </w:tcPr>
          <w:p>
            <w:pPr>
              <w:spacing w:after="0"/>
              <w:rPr>
                <w:sz w:val="21"/>
                <w:szCs w:val="21"/>
                <w:color w:val="auto"/>
              </w:rPr>
            </w:pPr>
          </w:p>
        </w:tc>
        <w:tc>
          <w:tcPr>
            <w:tcW w:w="3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6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r>
      <w:tr>
        <w:trPr>
          <w:trHeight w:val="232"/>
        </w:trPr>
        <w:tc>
          <w:tcPr>
            <w:tcW w:w="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2340" w:type="dxa"/>
            <w:vAlign w:val="bottom"/>
            <w:tcBorders>
              <w:bottom w:val="single" w:sz="8" w:color="auto"/>
            </w:tcBorders>
            <w:gridSpan w:val="2"/>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179"/>
        </w:trPr>
        <w:tc>
          <w:tcPr>
            <w:tcW w:w="20" w:type="dxa"/>
            <w:vAlign w:val="bottom"/>
          </w:tcPr>
          <w:p>
            <w:pPr>
              <w:spacing w:after="0"/>
              <w:rPr>
                <w:sz w:val="15"/>
                <w:szCs w:val="15"/>
                <w:color w:val="auto"/>
              </w:rPr>
            </w:pPr>
          </w:p>
        </w:tc>
        <w:tc>
          <w:tcPr>
            <w:tcW w:w="1640" w:type="dxa"/>
            <w:vAlign w:val="bottom"/>
            <w:tcBorders>
              <w:bottom w:val="single" w:sz="8" w:color="auto"/>
            </w:tcBorders>
          </w:tcPr>
          <w:p>
            <w:pPr>
              <w:spacing w:after="0" w:line="179" w:lineRule="exact"/>
              <w:rPr>
                <w:sz w:val="20"/>
                <w:szCs w:val="20"/>
                <w:color w:val="auto"/>
              </w:rPr>
            </w:pPr>
            <w:r>
              <w:rPr>
                <w:rFonts w:ascii="Times New Roman" w:cs="Times New Roman" w:eastAsia="Times New Roman" w:hAnsi="Times New Roman"/>
                <w:sz w:val="18"/>
                <w:szCs w:val="18"/>
                <w:b w:val="1"/>
                <w:bCs w:val="1"/>
                <w:color w:val="auto"/>
                <w:w w:val="97"/>
              </w:rPr>
              <w:t>Paramount+ (Global)</w:t>
            </w:r>
          </w:p>
        </w:tc>
        <w:tc>
          <w:tcPr>
            <w:tcW w:w="17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313"/>
        </w:trPr>
        <w:tc>
          <w:tcPr>
            <w:tcW w:w="20" w:type="dxa"/>
            <w:vAlign w:val="bottom"/>
          </w:tcPr>
          <w:p>
            <w:pPr>
              <w:spacing w:after="0"/>
              <w:rPr>
                <w:sz w:val="24"/>
                <w:szCs w:val="24"/>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Subscribers </w:t>
            </w:r>
            <w:r>
              <w:rPr>
                <w:rFonts w:ascii="Times New Roman" w:cs="Times New Roman" w:eastAsia="Times New Roman" w:hAnsi="Times New Roman"/>
                <w:sz w:val="22"/>
                <w:szCs w:val="22"/>
                <w:color w:val="auto"/>
                <w:vertAlign w:val="superscript"/>
              </w:rPr>
              <w:t>(a)</w:t>
            </w:r>
          </w:p>
        </w:tc>
        <w:tc>
          <w:tcPr>
            <w:tcW w:w="1600" w:type="dxa"/>
            <w:vAlign w:val="bottom"/>
          </w:tcPr>
          <w:p>
            <w:pPr>
              <w:spacing w:after="0"/>
              <w:rPr>
                <w:sz w:val="24"/>
                <w:szCs w:val="24"/>
                <w:color w:val="auto"/>
              </w:rPr>
            </w:pP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77.5</w:t>
            </w:r>
          </w:p>
        </w:tc>
        <w:tc>
          <w:tcPr>
            <w:tcW w:w="340" w:type="dxa"/>
            <w:vAlign w:val="bottom"/>
          </w:tcPr>
          <w:p>
            <w:pPr>
              <w:spacing w:after="0"/>
              <w:rPr>
                <w:sz w:val="24"/>
                <w:szCs w:val="24"/>
                <w:color w:val="auto"/>
              </w:rPr>
            </w:pP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67.5</w:t>
            </w:r>
          </w:p>
        </w:tc>
        <w:tc>
          <w:tcPr>
            <w:tcW w:w="14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10.0</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15 %</w:t>
            </w:r>
          </w:p>
        </w:tc>
      </w:tr>
      <w:tr>
        <w:trPr>
          <w:trHeight w:val="256"/>
        </w:trPr>
        <w:tc>
          <w:tcPr>
            <w:tcW w:w="20" w:type="dxa"/>
            <w:vAlign w:val="bottom"/>
            <w:tcBorders>
              <w:bottom w:val="single" w:sz="8" w:color="auto"/>
            </w:tcBorders>
          </w:tcPr>
          <w:p>
            <w:pPr>
              <w:spacing w:after="0"/>
              <w:rPr>
                <w:sz w:val="22"/>
                <w:szCs w:val="22"/>
                <w:color w:val="auto"/>
              </w:rPr>
            </w:pPr>
          </w:p>
        </w:tc>
        <w:tc>
          <w:tcPr>
            <w:tcW w:w="3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5,896</w:t>
            </w:r>
          </w:p>
        </w:tc>
        <w:tc>
          <w:tcPr>
            <w:tcW w:w="3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4,446</w:t>
            </w:r>
          </w:p>
        </w:tc>
        <w:tc>
          <w:tcPr>
            <w:tcW w:w="14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   1,450</w:t>
            </w: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33 %</w:t>
            </w:r>
          </w:p>
        </w:tc>
      </w:tr>
    </w:tbl>
    <w:p>
      <w:pPr>
        <w:spacing w:after="0" w:line="158" w:lineRule="exact"/>
        <w:rPr>
          <w:sz w:val="20"/>
          <w:szCs w:val="20"/>
          <w:color w:val="auto"/>
        </w:rPr>
      </w:pPr>
    </w:p>
    <w:p>
      <w:pPr>
        <w:jc w:val="both"/>
        <w:ind w:left="640" w:right="400" w:hanging="237"/>
        <w:spacing w:after="0" w:line="258" w:lineRule="auto"/>
        <w:tabs>
          <w:tab w:leader="none" w:pos="632"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Subscribers include customers who are registered for Paramount+, either directly through our owned and operated apps and websites, or through third-party distributors. Subscribers also include customers who are provided with access through a subscription bundle with a domestic linear video streaming service (vMVPD) or an international third-party distributor. Our subscribers include paid subscriptions and those customers registered in a free trial. For the periods above, subscriber counts reflect the number of subscribers as of the applicable period-end date.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Revenues</w:t>
      </w:r>
    </w:p>
    <w:p>
      <w:pPr>
        <w:spacing w:after="0" w:line="157"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9"/>
          <w:szCs w:val="19"/>
          <w:color w:val="auto"/>
        </w:rPr>
        <w:t>Revenues increased 13%, driven primarily by growth at Paramount+ including the impact from the migration of certain subscribers from Showtime’s premium subscription streaming service, which was no longer available as of April 30,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Advertising</w:t>
      </w:r>
    </w:p>
    <w:p>
      <w:pPr>
        <w:sectPr>
          <w:pgSz w:w="11900" w:h="16838" w:orient="portrait"/>
          <w:cols w:equalWidth="0" w:num="1">
            <w:col w:w="11240"/>
          </w:cols>
          <w:pgMar w:left="320" w:top="828" w:right="339" w:bottom="1440" w:gutter="0" w:footer="0" w:header="0"/>
        </w:sectPr>
      </w:pP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18% increase in advertising revenues was driven by growth in impressions from Pluto TV and Paramount+.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sales and revenue from </w:t>
      </w:r>
      <w:r>
        <w:rPr>
          <w:rFonts w:ascii="Times New Roman" w:cs="Times New Roman" w:eastAsia="Times New Roman" w:hAnsi="Times New Roman"/>
          <w:sz w:val="19"/>
          <w:szCs w:val="19"/>
          <w:i w:val="1"/>
          <w:iCs w:val="1"/>
          <w:color w:val="auto"/>
        </w:rPr>
        <w:t>Super Bowl LVIII</w:t>
      </w:r>
      <w:r>
        <w:rPr>
          <w:rFonts w:ascii="Times New Roman" w:cs="Times New Roman" w:eastAsia="Times New Roman" w:hAnsi="Times New Roman"/>
          <w:sz w:val="19"/>
          <w:szCs w:val="19"/>
          <w:color w:val="auto"/>
        </w:rPr>
        <w:t xml:space="preserve"> in 2024 benefited the comparison.</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Higher political advertising</w:t>
      </w:r>
    </w:p>
    <w:p>
      <w:pPr>
        <w:spacing w:after="0" w:line="447" w:lineRule="exact"/>
        <w:rPr>
          <w:sz w:val="20"/>
          <w:szCs w:val="20"/>
          <w:color w:val="auto"/>
        </w:rPr>
      </w:pPr>
    </w:p>
    <w:p>
      <w:pPr>
        <w:sectPr>
          <w:pgSz w:w="11900" w:h="16838" w:orient="portrait"/>
          <w:cols w:equalWidth="0" w:num="2">
            <w:col w:w="8780" w:space="320"/>
            <w:col w:w="2140"/>
          </w:cols>
          <w:pgMar w:left="320" w:top="828" w:right="3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Subscription</w:t>
      </w:r>
    </w:p>
    <w:p>
      <w:pPr>
        <w:spacing w:after="0" w:line="15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The 12% increase in subscription revenues was driven by growth in Paramount+ subscribers, including the migration of certain subscribers from Showtime’s premium subscription streaming service, and the June 2023 domestic pricing increases that we began to benefit from during the third quarter of 2023. Paramount+ subscribers increased 10.0 million, or 15%, compared with December 31, 2023, reflecting growth in both domestic and international subscribers. These revenue increases were partially offset by a decrease of 3% from the absence of pay-per-view boxing events.</w:t>
      </w:r>
    </w:p>
    <w:p>
      <w:pPr>
        <w:spacing w:after="0" w:line="200" w:lineRule="exact"/>
        <w:rPr>
          <w:sz w:val="20"/>
          <w:szCs w:val="20"/>
          <w:color w:val="auto"/>
        </w:rPr>
      </w:pP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9"/>
          <w:szCs w:val="19"/>
          <w:color w:val="auto"/>
        </w:rPr>
        <w:t xml:space="preserve">During the fourth quarter, global Paramount+ subscribers increased 5.6 million, or 8%, to 77.5 million, compared with 71.9 million at September 30, 2024. The growth reflects the benefit from the NFL season and the premieres of </w:t>
      </w:r>
      <w:r>
        <w:rPr>
          <w:rFonts w:ascii="Times New Roman" w:cs="Times New Roman" w:eastAsia="Times New Roman" w:hAnsi="Times New Roman"/>
          <w:sz w:val="19"/>
          <w:szCs w:val="19"/>
          <w:i w:val="1"/>
          <w:iCs w:val="1"/>
          <w:color w:val="auto"/>
        </w:rPr>
        <w:t>Landman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Lioness</w:t>
      </w:r>
      <w:r>
        <w:rPr>
          <w:rFonts w:ascii="Times New Roman" w:cs="Times New Roman" w:eastAsia="Times New Roman" w:hAnsi="Times New Roman"/>
          <w:sz w:val="19"/>
          <w:szCs w:val="19"/>
          <w:color w:val="auto"/>
        </w:rPr>
        <w:t xml:space="preserve"> Season 2 and </w:t>
      </w:r>
      <w:r>
        <w:rPr>
          <w:rFonts w:ascii="Times New Roman" w:cs="Times New Roman" w:eastAsia="Times New Roman" w:hAnsi="Times New Roman"/>
          <w:sz w:val="19"/>
          <w:szCs w:val="19"/>
          <w:i w:val="1"/>
          <w:iCs w:val="1"/>
          <w:color w:val="auto"/>
        </w:rPr>
        <w:t>Tulsa King</w:t>
      </w:r>
      <w:r>
        <w:rPr>
          <w:rFonts w:ascii="Times New Roman" w:cs="Times New Roman" w:eastAsia="Times New Roman" w:hAnsi="Times New Roman"/>
          <w:sz w:val="19"/>
          <w:szCs w:val="19"/>
          <w:color w:val="auto"/>
        </w:rPr>
        <w:t xml:space="preserve"> Season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Expenses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Content Costs</w:t>
      </w:r>
    </w:p>
    <w:p>
      <w:pPr>
        <w:spacing w:after="0" w:line="16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 xml:space="preserve">The 1% decrease in content costs reflects cost savings associated with the combination of Paramount+ and Showtime, partially offset by higher costs from CBS’ broadcast of </w:t>
      </w:r>
      <w:r>
        <w:rPr>
          <w:rFonts w:ascii="Times New Roman" w:cs="Times New Roman" w:eastAsia="Times New Roman" w:hAnsi="Times New Roman"/>
          <w:sz w:val="19"/>
          <w:szCs w:val="19"/>
          <w:i w:val="1"/>
          <w:iCs w:val="1"/>
          <w:color w:val="auto"/>
        </w:rPr>
        <w:t>Super Bowl LVIII</w:t>
      </w:r>
      <w:r>
        <w:rPr>
          <w:rFonts w:ascii="Times New Roman" w:cs="Times New Roman" w:eastAsia="Times New Roman" w:hAnsi="Times New Roman"/>
          <w:sz w:val="19"/>
          <w:szCs w:val="19"/>
          <w:color w:val="auto"/>
        </w:rPr>
        <w:t xml:space="preserve"> in the first quarter of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Advertising and Marketing</w:t>
      </w:r>
    </w:p>
    <w:p>
      <w:pPr>
        <w:spacing w:after="0" w:line="15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The 23% decrease in advertising and marketing expenses was primarily due to cost savings initiatives implemented in international markets and the integration of Showtime into Paramount+.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type w:val="continuous"/>
        </w:sectPr>
      </w:pPr>
    </w:p>
    <w:bookmarkStart w:id="64" w:name="page65"/>
    <w:bookmarkEnd w:id="64"/>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w:t>
      </w:r>
    </w:p>
    <w:p>
      <w:pPr>
        <w:spacing w:after="0" w:line="155"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9"/>
          <w:szCs w:val="19"/>
          <w:color w:val="auto"/>
        </w:rPr>
        <w:t>The 8% increase in other expenses primarily reflects higher revenue sharing costs, mainly for third-party distribution, as a result of the revenue growth.</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Adjusted OIBDA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Adjusted OIBDA improved by $1.17 billion, reflecting the higher revenues and lower costs described above.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Filmed Entertainment</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245"/>
        </w:trPr>
        <w:tc>
          <w:tcPr>
            <w:tcW w:w="368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2"/>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9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20"/>
                <w:szCs w:val="20"/>
                <w:color w:val="auto"/>
              </w:rPr>
            </w:pPr>
          </w:p>
        </w:tc>
      </w:tr>
      <w:tr>
        <w:trPr>
          <w:trHeight w:val="213"/>
        </w:trPr>
        <w:tc>
          <w:tcPr>
            <w:tcW w:w="3680" w:type="dxa"/>
            <w:vAlign w:val="bottom"/>
          </w:tcPr>
          <w:p>
            <w:pPr>
              <w:ind w:left="140"/>
              <w:spacing w:after="0" w:line="213" w:lineRule="exact"/>
              <w:rPr>
                <w:sz w:val="20"/>
                <w:szCs w:val="20"/>
                <w:color w:val="auto"/>
              </w:rPr>
            </w:pPr>
            <w:r>
              <w:rPr>
                <w:rFonts w:ascii="Times New Roman" w:cs="Times New Roman" w:eastAsia="Times New Roman" w:hAnsi="Times New Roman"/>
                <w:sz w:val="18"/>
                <w:szCs w:val="18"/>
                <w:color w:val="auto"/>
              </w:rPr>
              <w:t xml:space="preserve">Advertising </w:t>
            </w:r>
            <w:r>
              <w:rPr>
                <w:rFonts w:ascii="Times New Roman" w:cs="Times New Roman" w:eastAsia="Times New Roman" w:hAnsi="Times New Roman"/>
                <w:sz w:val="22"/>
                <w:szCs w:val="22"/>
                <w:color w:val="auto"/>
                <w:vertAlign w:val="superscript"/>
              </w:rPr>
              <w:t>(a)</w:t>
            </w:r>
          </w:p>
        </w:tc>
        <w:tc>
          <w:tcPr>
            <w:tcW w:w="1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24</w:t>
            </w:r>
          </w:p>
        </w:tc>
        <w:tc>
          <w:tcPr>
            <w:tcW w:w="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r>
      <w:tr>
        <w:trPr>
          <w:trHeight w:val="225"/>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Theatrical</w:t>
            </w:r>
          </w:p>
        </w:tc>
        <w:tc>
          <w:tcPr>
            <w:tcW w:w="190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813</w:t>
            </w:r>
          </w:p>
        </w:tc>
        <w:tc>
          <w:tcPr>
            <w:tcW w:w="340" w:type="dxa"/>
            <w:vAlign w:val="bottom"/>
          </w:tcPr>
          <w:p>
            <w:pPr>
              <w:spacing w:after="0"/>
              <w:rPr>
                <w:sz w:val="19"/>
                <w:szCs w:val="19"/>
                <w:color w:val="auto"/>
              </w:rPr>
            </w:pP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813</w:t>
            </w:r>
          </w:p>
        </w:tc>
        <w:tc>
          <w:tcPr>
            <w:tcW w:w="440" w:type="dxa"/>
            <w:vAlign w:val="bottom"/>
          </w:tcPr>
          <w:p>
            <w:pPr>
              <w:spacing w:after="0"/>
              <w:rPr>
                <w:sz w:val="19"/>
                <w:szCs w:val="19"/>
                <w:color w:val="auto"/>
              </w:rPr>
            </w:pPr>
          </w:p>
        </w:tc>
        <w:tc>
          <w:tcPr>
            <w:tcW w:w="10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Licensing and other</w:t>
            </w:r>
          </w:p>
        </w:tc>
        <w:tc>
          <w:tcPr>
            <w:tcW w:w="19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2,126</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2,120</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6</w:t>
            </w:r>
          </w:p>
        </w:tc>
        <w:tc>
          <w:tcPr>
            <w:tcW w:w="106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Revenues</w:t>
            </w:r>
          </w:p>
        </w:tc>
        <w:tc>
          <w:tcPr>
            <w:tcW w:w="190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2,955</w:t>
            </w:r>
          </w:p>
        </w:tc>
        <w:tc>
          <w:tcPr>
            <w:tcW w:w="340" w:type="dxa"/>
            <w:vAlign w:val="bottom"/>
          </w:tcPr>
          <w:p>
            <w:pPr>
              <w:spacing w:after="0"/>
              <w:rPr>
                <w:sz w:val="19"/>
                <w:szCs w:val="19"/>
                <w:color w:val="auto"/>
              </w:rPr>
            </w:pP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2,957</w:t>
            </w:r>
          </w:p>
        </w:tc>
        <w:tc>
          <w:tcPr>
            <w:tcW w:w="440" w:type="dxa"/>
            <w:vAlign w:val="bottom"/>
          </w:tcPr>
          <w:p>
            <w:pPr>
              <w:spacing w:after="0"/>
              <w:rPr>
                <w:sz w:val="19"/>
                <w:szCs w:val="19"/>
                <w:color w:val="auto"/>
              </w:rPr>
            </w:pPr>
          </w:p>
        </w:tc>
        <w:tc>
          <w:tcPr>
            <w:tcW w:w="10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67"/>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 costs</w:t>
            </w:r>
          </w:p>
        </w:tc>
        <w:tc>
          <w:tcPr>
            <w:tcW w:w="1900" w:type="dxa"/>
            <w:vAlign w:val="bottom"/>
          </w:tcPr>
          <w:p>
            <w:pPr>
              <w:spacing w:after="0"/>
              <w:rPr>
                <w:sz w:val="23"/>
                <w:szCs w:val="23"/>
                <w:color w:val="auto"/>
              </w:rPr>
            </w:pP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1,496</w:t>
            </w:r>
          </w:p>
        </w:tc>
        <w:tc>
          <w:tcPr>
            <w:tcW w:w="340" w:type="dxa"/>
            <w:vAlign w:val="bottom"/>
          </w:tcPr>
          <w:p>
            <w:pPr>
              <w:spacing w:after="0"/>
              <w:rPr>
                <w:sz w:val="23"/>
                <w:szCs w:val="23"/>
                <w:color w:val="auto"/>
              </w:rPr>
            </w:pP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1,545</w:t>
            </w:r>
          </w:p>
        </w:tc>
        <w:tc>
          <w:tcPr>
            <w:tcW w:w="440" w:type="dxa"/>
            <w:vAlign w:val="bottom"/>
          </w:tcPr>
          <w:p>
            <w:pPr>
              <w:spacing w:after="0"/>
              <w:rPr>
                <w:sz w:val="23"/>
                <w:szCs w:val="23"/>
                <w:color w:val="auto"/>
              </w:rPr>
            </w:pPr>
          </w:p>
        </w:tc>
        <w:tc>
          <w:tcPr>
            <w:tcW w:w="10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(49)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3"/>
                <w:szCs w:val="23"/>
                <w:color w:val="auto"/>
              </w:rPr>
            </w:pPr>
          </w:p>
        </w:tc>
      </w:tr>
      <w:tr>
        <w:trPr>
          <w:trHeight w:val="222"/>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and marketing</w:t>
            </w:r>
          </w:p>
        </w:tc>
        <w:tc>
          <w:tcPr>
            <w:tcW w:w="190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783</w:t>
            </w:r>
          </w:p>
        </w:tc>
        <w:tc>
          <w:tcPr>
            <w:tcW w:w="340" w:type="dxa"/>
            <w:vAlign w:val="bottom"/>
          </w:tcPr>
          <w:p>
            <w:pPr>
              <w:spacing w:after="0"/>
              <w:rPr>
                <w:sz w:val="19"/>
                <w:szCs w:val="19"/>
                <w:color w:val="auto"/>
              </w:rPr>
            </w:pP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751</w:t>
            </w:r>
          </w:p>
        </w:tc>
        <w:tc>
          <w:tcPr>
            <w:tcW w:w="440" w:type="dxa"/>
            <w:vAlign w:val="bottom"/>
          </w:tcPr>
          <w:p>
            <w:pPr>
              <w:spacing w:after="0"/>
              <w:rPr>
                <w:sz w:val="19"/>
                <w:szCs w:val="19"/>
                <w:color w:val="auto"/>
              </w:rPr>
            </w:pPr>
          </w:p>
        </w:tc>
        <w:tc>
          <w:tcPr>
            <w:tcW w:w="10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32</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r>
      <w:tr>
        <w:trPr>
          <w:trHeight w:val="233"/>
        </w:trPr>
        <w:tc>
          <w:tcPr>
            <w:tcW w:w="3680" w:type="dxa"/>
            <w:vAlign w:val="bottom"/>
            <w:tcBorders>
              <w:bottom w:val="single" w:sz="8" w:color="auto"/>
            </w:tcBorders>
          </w:tcPr>
          <w:p>
            <w:pPr>
              <w:ind w:left="20"/>
              <w:spacing w:after="0" w:line="233"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2"/>
                <w:szCs w:val="22"/>
                <w:color w:val="auto"/>
                <w:vertAlign w:val="superscript"/>
              </w:rPr>
              <w:t>(b)</w:t>
            </w:r>
          </w:p>
        </w:tc>
        <w:tc>
          <w:tcPr>
            <w:tcW w:w="19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772</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780</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(8)</w:t>
            </w:r>
          </w:p>
        </w:tc>
        <w:tc>
          <w:tcPr>
            <w:tcW w:w="9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25"/>
        </w:trPr>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Expenses</w:t>
            </w:r>
          </w:p>
        </w:tc>
        <w:tc>
          <w:tcPr>
            <w:tcW w:w="190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3,051</w:t>
            </w:r>
          </w:p>
        </w:tc>
        <w:tc>
          <w:tcPr>
            <w:tcW w:w="340" w:type="dxa"/>
            <w:vAlign w:val="bottom"/>
          </w:tcPr>
          <w:p>
            <w:pPr>
              <w:spacing w:after="0"/>
              <w:rPr>
                <w:sz w:val="19"/>
                <w:szCs w:val="19"/>
                <w:color w:val="auto"/>
              </w:rPr>
            </w:pP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3,076</w:t>
            </w:r>
          </w:p>
        </w:tc>
        <w:tc>
          <w:tcPr>
            <w:tcW w:w="440" w:type="dxa"/>
            <w:vAlign w:val="bottom"/>
          </w:tcPr>
          <w:p>
            <w:pPr>
              <w:spacing w:after="0"/>
              <w:rPr>
                <w:sz w:val="19"/>
                <w:szCs w:val="19"/>
                <w:color w:val="auto"/>
              </w:rPr>
            </w:pPr>
          </w:p>
        </w:tc>
        <w:tc>
          <w:tcPr>
            <w:tcW w:w="10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r>
      <w:tr>
        <w:trPr>
          <w:trHeight w:val="279"/>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OIBDA</w:t>
            </w:r>
          </w:p>
        </w:tc>
        <w:tc>
          <w:tcPr>
            <w:tcW w:w="1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(96)</w:t>
            </w:r>
          </w:p>
        </w:tc>
        <w:tc>
          <w:tcPr>
            <w:tcW w:w="3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(119)</w:t>
            </w:r>
          </w:p>
        </w:tc>
        <w:tc>
          <w:tcPr>
            <w:tcW w:w="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23</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Borders>
              <w:bottom w:val="single" w:sz="8" w:color="auto"/>
            </w:tcBorders>
          </w:tcPr>
          <w:p>
            <w:pPr>
              <w:spacing w:after="0"/>
              <w:rPr>
                <w:sz w:val="24"/>
                <w:szCs w:val="24"/>
                <w:color w:val="auto"/>
              </w:rPr>
            </w:pPr>
          </w:p>
        </w:tc>
      </w:tr>
    </w:tbl>
    <w:p>
      <w:pPr>
        <w:spacing w:after="0" w:line="117" w:lineRule="exact"/>
        <w:rPr>
          <w:sz w:val="20"/>
          <w:szCs w:val="20"/>
          <w:color w:val="auto"/>
        </w:rPr>
      </w:pPr>
    </w:p>
    <w:p>
      <w:pPr>
        <w:ind w:left="620" w:hanging="217"/>
        <w:spacing w:after="0"/>
        <w:tabs>
          <w:tab w:leader="none" w:pos="6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Primarily reflects advertising revenues earned from the use of </w:t>
      </w:r>
      <w:r>
        <w:rPr>
          <w:rFonts w:ascii="Times New Roman" w:cs="Times New Roman" w:eastAsia="Times New Roman" w:hAnsi="Times New Roman"/>
          <w:sz w:val="16"/>
          <w:szCs w:val="16"/>
          <w:i w:val="1"/>
          <w:iCs w:val="1"/>
          <w:color w:val="auto"/>
        </w:rPr>
        <w:t>Filmed Entertainment</w:t>
      </w:r>
      <w:r>
        <w:rPr>
          <w:rFonts w:ascii="Times New Roman" w:cs="Times New Roman" w:eastAsia="Times New Roman" w:hAnsi="Times New Roman"/>
          <w:sz w:val="16"/>
          <w:szCs w:val="16"/>
          <w:color w:val="auto"/>
        </w:rPr>
        <w:t xml:space="preserve"> content on third-party digital platforms.</w:t>
      </w:r>
    </w:p>
    <w:p>
      <w:pPr>
        <w:spacing w:after="0" w:line="94" w:lineRule="exact"/>
        <w:rPr>
          <w:rFonts w:ascii="Times New Roman" w:cs="Times New Roman" w:eastAsia="Times New Roman" w:hAnsi="Times New Roman"/>
          <w:sz w:val="16"/>
          <w:szCs w:val="16"/>
          <w:color w:val="auto"/>
        </w:rPr>
      </w:pPr>
    </w:p>
    <w:p>
      <w:pPr>
        <w:ind w:left="640" w:right="400" w:hanging="237"/>
        <w:spacing w:after="0" w:line="292" w:lineRule="auto"/>
        <w:tabs>
          <w:tab w:leader="none" w:pos="647"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segment expenses for our </w:t>
      </w:r>
      <w:r>
        <w:rPr>
          <w:rFonts w:ascii="Times New Roman" w:cs="Times New Roman" w:eastAsia="Times New Roman" w:hAnsi="Times New Roman"/>
          <w:sz w:val="16"/>
          <w:szCs w:val="16"/>
          <w:i w:val="1"/>
          <w:iCs w:val="1"/>
          <w:color w:val="auto"/>
        </w:rPr>
        <w:t>Filmed Entertainment</w:t>
      </w:r>
      <w:r>
        <w:rPr>
          <w:rFonts w:ascii="Times New Roman" w:cs="Times New Roman" w:eastAsia="Times New Roman" w:hAnsi="Times New Roman"/>
          <w:sz w:val="16"/>
          <w:szCs w:val="16"/>
          <w:color w:val="auto"/>
        </w:rPr>
        <w:t xml:space="preserve"> segment include employee compensation; costs relating to the distribution of our content; costs for occupancy, technology, and professional services; and other costs associated with our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Revenues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Revenues were $2.96 billion in each year.</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Theatrical</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Theatrical revenues were $813 million in each year. Theatrical releases in 2024 included </w:t>
      </w:r>
      <w:r>
        <w:rPr>
          <w:rFonts w:ascii="Times New Roman" w:cs="Times New Roman" w:eastAsia="Times New Roman" w:hAnsi="Times New Roman"/>
          <w:sz w:val="19"/>
          <w:szCs w:val="19"/>
          <w:i w:val="1"/>
          <w:iCs w:val="1"/>
          <w:color w:val="auto"/>
        </w:rPr>
        <w:t>Gladiator II</w:t>
      </w:r>
      <w:r>
        <w:rPr>
          <w:rFonts w:ascii="Times New Roman" w:cs="Times New Roman" w:eastAsia="Times New Roman" w:hAnsi="Times New Roman"/>
          <w:sz w:val="19"/>
          <w:szCs w:val="19"/>
          <w:color w:val="auto"/>
        </w:rPr>
        <w:t xml:space="preserve">, A </w:t>
      </w:r>
      <w:r>
        <w:rPr>
          <w:rFonts w:ascii="Times New Roman" w:cs="Times New Roman" w:eastAsia="Times New Roman" w:hAnsi="Times New Roman"/>
          <w:sz w:val="19"/>
          <w:szCs w:val="19"/>
          <w:i w:val="1"/>
          <w:iCs w:val="1"/>
          <w:color w:val="auto"/>
        </w:rPr>
        <w:t>Quiet Place: Day One</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Sonic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 xml:space="preserve">Hedgehog 3 </w:t>
      </w:r>
      <w:r>
        <w:rPr>
          <w:rFonts w:ascii="Times New Roman" w:cs="Times New Roman" w:eastAsia="Times New Roman" w:hAnsi="Times New Roman"/>
          <w:sz w:val="19"/>
          <w:szCs w:val="19"/>
          <w:color w:val="auto"/>
        </w:rPr>
        <w:t>and in 2023 included</w:t>
      </w:r>
      <w:r>
        <w:rPr>
          <w:rFonts w:ascii="Times New Roman" w:cs="Times New Roman" w:eastAsia="Times New Roman" w:hAnsi="Times New Roman"/>
          <w:sz w:val="19"/>
          <w:szCs w:val="19"/>
          <w:i w:val="1"/>
          <w:iCs w:val="1"/>
          <w:color w:val="auto"/>
        </w:rPr>
        <w:t xml:space="preserve"> Mission: Impossible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Dead Reckoning Part One, Transformers: Rise of the Beasts,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i w:val="1"/>
          <w:iCs w:val="1"/>
          <w:color w:val="auto"/>
        </w:rPr>
        <w:t xml:space="preserve"> Dungeons &amp;</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Dragons: Honor Among Thieves</w:t>
      </w:r>
      <w:r>
        <w:rPr>
          <w:rFonts w:ascii="Times New Roman" w:cs="Times New Roman" w:eastAsia="Times New Roman" w:hAnsi="Times New Roman"/>
          <w:sz w:val="19"/>
          <w:szCs w:val="19"/>
          <w:color w:val="auto"/>
        </w:rPr>
        <w: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Licensing and Other</w:t>
      </w:r>
    </w:p>
    <w:p>
      <w:pPr>
        <w:spacing w:after="0" w:line="1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Licensing and other revenues of $2.13 billion for 2024 were essentially flat compared with 2023. The comparison reflects higher revenue from studio rental and production services, as the prior year was impacted by production shutdowns due to labor strikes, offset by lower revenues from the licensing of films.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Expenses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Content Costs</w:t>
      </w:r>
    </w:p>
    <w:p>
      <w:pPr>
        <w:spacing w:after="0" w:line="15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The 3% decrease in content costs primarily reflects the comparison against costs incurred in 2023 to retain our production capabilities for certain delayed film productions during the labor strikes and incremental costs incurred to resume film production following the strikes.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Advertising and Marketing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Advertising and marketing expenses increased 4%, driven by the mix of theatrical releases in each year.</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Other expenses decreased 1%.</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Adjusted OIBDA</w:t>
      </w:r>
    </w:p>
    <w:p>
      <w:pPr>
        <w:spacing w:after="0" w:line="15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Adjusted OIBDA improved by $23 million, driven by the comparison against the costs incurred during the labor strikes and to resume film production in 2023, as well as higher profits from studio rental and production services in 2024. The impact from these items was partially offset by lower profits from recent theatrical releases, including from the timing of their release.</w:t>
      </w:r>
    </w:p>
    <w:p>
      <w:pPr>
        <w:spacing w:after="0" w:line="19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 xml:space="preserve">Fluctuations in results for the </w:t>
      </w: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 xml:space="preserve"> segment may occur as a result of the timing of the recognition of distribution costs, including marketing costs, which are generally incurred before and throughout the theatrical release of a film, while the revenues for the respective film are recognized as earned through the film’s theatrical exhibition and distribution to other platforms.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Liquidity and Capital Resources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Sources and Uses of Cash</w:t>
      </w:r>
    </w:p>
    <w:p>
      <w:pPr>
        <w:spacing w:after="0" w:line="1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We project anticipated cash requirements for our operating, investing and financing needs as well as cash flows expected to be generated and available to meet these needs. Our operating needs include, among other items, expenditures for content for our broadcast and cable networks and streaming services, including television and film programming, sports rights, and talent contracts, as well as advertising and marketing costs to promote our content and platforms; payments for leases, interest, and income taxes; and pension funding obligations. Certain of our cash requirements discussed above are associated with long-term contractual commitments (see Notes 9 and 19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Our investing and financing spending includes capital expenditures; acquisitions; funding of investments, including our streaming joint venture, SkyShowtime, under which we and our joint venture partner have committed to support initial operations over a multiyear period; discretionary share repurchases; dividends; and principal payments on our outstanding indebtedness. Our long-term debt obligations due over the next five years were $2.52 billion as of December 31, 2024 (see Note 8 to the consolidated financial statements</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We routinely assess our capital structure and opportunistically enter into transactions to manage our outstanding debt maturities, which could result in a charge from the early extinguishment of debt.</w:t>
      </w:r>
    </w:p>
    <w:p>
      <w:pPr>
        <w:spacing w:after="0" w:line="19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Funding for both our short-term and long-term operating, investing and financing needs will come primarily from cash flows from operating activities, cash and cash equivalents, which were $2.66 billion as of December 31, 2024, and our ability to refinance our debt. Any additional cash funding requirements are financed with short-term borrowings, including commercial paper, and long-term debt. To the extent that commercial paper is not available to us, the borrowing capacity under our $3.50 billion Credit Facility described below is sufficient to satisfy short-term borrowing needs. In addition, if necessary, we can increase our liquidity position by reducing non-committed spending.</w:t>
      </w:r>
    </w:p>
    <w:p>
      <w:pPr>
        <w:spacing w:after="0" w:line="18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Pursuant to the Transactions, the NAI Equity Investors and certain other affiliates of investors of Skydance have agreed to make an investment of up to $6.0 billion into New Paramount in exchange for up to 400 million newly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issued shares of New Paramount Class B Common Stock. Up to $4.5 billion of these proceeds will be used to fund a cash-stock election for Paramount stockholders (other than NAI, the NAI Equity Investors and certain other affiliates of investors of Skydance) and a minimum of $1.5 billion of cash (less a subscription discount of 1.875%) will remain at New Paramount. If the cash-stock elections are undersubscribed, up to an additional $1.5 billion (less a subscription discount of 1.875%) of the unused portion of the $4.5 billion will also remain at New Paramount.</w:t>
      </w:r>
    </w:p>
    <w:p>
      <w:pPr>
        <w:spacing w:after="0" w:line="1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Our access to capital markets and the cost of any new borrowings are impacted by factors outside our control, including economic and market conditions, as well as by ratings assigned by independent rating agencies. As a result, there can be no assurance that we will be able to access capital markets on terms and conditions that will be favorable to us.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Cash Flows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changes in cash and cash equivalents were as follows:</w:t>
      </w:r>
    </w:p>
    <w:p>
      <w:pPr>
        <w:spacing w:after="0" w:line="142" w:lineRule="exact"/>
        <w:rPr>
          <w:sz w:val="20"/>
          <w:szCs w:val="20"/>
          <w:color w:val="auto"/>
        </w:rPr>
      </w:pPr>
    </w:p>
    <w:tbl>
      <w:tblPr>
        <w:tblLayout w:type="fixed"/>
        <w:tblInd w:w="660" w:type="dxa"/>
        <w:tblCellMar>
          <w:top w:w="0" w:type="dxa"/>
          <w:left w:w="0" w:type="dxa"/>
          <w:bottom w:w="0" w:type="dxa"/>
          <w:right w:w="0" w:type="dxa"/>
        </w:tblCellMar>
      </w:tblPr>
      <w:tr>
        <w:trPr>
          <w:trHeight w:val="199"/>
        </w:trPr>
        <w:tc>
          <w:tcPr>
            <w:tcW w:w="5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center"/>
              <w:ind w:right="492"/>
              <w:spacing w:after="0" w:line="199" w:lineRule="exact"/>
              <w:rPr>
                <w:sz w:val="20"/>
                <w:szCs w:val="20"/>
                <w:color w:val="auto"/>
              </w:rPr>
            </w:pPr>
            <w:r>
              <w:rPr>
                <w:rFonts w:ascii="Times New Roman" w:cs="Times New Roman" w:eastAsia="Times New Roman" w:hAnsi="Times New Roman"/>
                <w:sz w:val="18"/>
                <w:szCs w:val="18"/>
                <w:b w:val="1"/>
                <w:bCs w:val="1"/>
                <w:color w:val="auto"/>
                <w:w w:val="97"/>
              </w:rPr>
              <w:t>Increase/</w:t>
            </w:r>
          </w:p>
        </w:tc>
      </w:tr>
      <w:tr>
        <w:trPr>
          <w:trHeight w:val="231"/>
        </w:trPr>
        <w:tc>
          <w:tcPr>
            <w:tcW w:w="5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40" w:type="dxa"/>
            <w:vAlign w:val="bottom"/>
            <w:gridSpan w:val="2"/>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8"/>
              </w:rPr>
              <w:t>(Decrease)</w:t>
            </w:r>
          </w:p>
        </w:tc>
      </w:tr>
      <w:tr>
        <w:trPr>
          <w:trHeight w:val="232"/>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40" w:type="dxa"/>
            <w:vAlign w:val="bottom"/>
            <w:tcBorders>
              <w:bottom w:val="single" w:sz="8" w:color="auto"/>
            </w:tcBorders>
            <w:gridSpan w:val="2"/>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8"/>
              </w:rPr>
              <w:t>2024 vs. 2023</w:t>
            </w:r>
          </w:p>
        </w:tc>
      </w:tr>
      <w:tr>
        <w:trPr>
          <w:trHeight w:val="21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 provided by operating activities:</w:t>
            </w: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5"/>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752</w:t>
            </w:r>
          </w:p>
        </w:tc>
        <w:tc>
          <w:tcPr>
            <w:tcW w:w="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384</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368</w:t>
            </w:r>
          </w:p>
        </w:tc>
      </w:tr>
      <w:tr>
        <w:trPr>
          <w:trHeight w:val="230"/>
        </w:trPr>
        <w:tc>
          <w:tcPr>
            <w:tcW w:w="5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9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91</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(91)</w:t>
            </w:r>
          </w:p>
        </w:tc>
      </w:tr>
      <w:tr>
        <w:trPr>
          <w:trHeight w:val="218"/>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flow provided by operating activities</w:t>
            </w:r>
          </w:p>
        </w:tc>
        <w:tc>
          <w:tcPr>
            <w:tcW w:w="9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752</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475</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277</w:t>
            </w:r>
          </w:p>
        </w:tc>
      </w:tr>
      <w:tr>
        <w:trPr>
          <w:trHeight w:val="21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 provided by (used for) investing activities:</w:t>
            </w: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5"/>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94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(582)</w:t>
            </w:r>
          </w:p>
        </w:tc>
        <w:tc>
          <w:tcPr>
            <w:tcW w:w="380" w:type="dxa"/>
            <w:vAlign w:val="bottom"/>
          </w:tcPr>
          <w:p>
            <w:pPr>
              <w:spacing w:after="0"/>
              <w:rPr>
                <w:sz w:val="19"/>
                <w:szCs w:val="19"/>
                <w:color w:val="auto"/>
              </w:rPr>
            </w:pPr>
          </w:p>
        </w:tc>
        <w:tc>
          <w:tcPr>
            <w:tcW w:w="126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539</w:t>
            </w:r>
          </w:p>
        </w:tc>
      </w:tr>
      <w:tr>
        <w:trPr>
          <w:trHeight w:val="230"/>
        </w:trPr>
        <w:tc>
          <w:tcPr>
            <w:tcW w:w="5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9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55</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1,524</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(1,469)</w:t>
            </w:r>
          </w:p>
        </w:tc>
      </w:tr>
      <w:tr>
        <w:trPr>
          <w:trHeight w:val="219"/>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flow provided by investing activities</w:t>
            </w:r>
          </w:p>
        </w:tc>
        <w:tc>
          <w:tcPr>
            <w:tcW w:w="9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942</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(930)</w:t>
            </w:r>
          </w:p>
        </w:tc>
      </w:tr>
      <w:tr>
        <w:trPr>
          <w:trHeight w:val="218"/>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flow used for financing activities</w:t>
            </w:r>
          </w:p>
        </w:tc>
        <w:tc>
          <w:tcPr>
            <w:tcW w:w="9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(507)</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(1,841)</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1,334</w:t>
            </w:r>
          </w:p>
        </w:tc>
      </w:tr>
      <w:tr>
        <w:trPr>
          <w:trHeight w:val="218"/>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9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(55)</w:t>
            </w:r>
          </w:p>
        </w:tc>
      </w:tr>
      <w:tr>
        <w:trPr>
          <w:trHeight w:val="225"/>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201</w:t>
            </w:r>
          </w:p>
        </w:tc>
        <w:tc>
          <w:tcPr>
            <w:tcW w:w="3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(425)</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626</w:t>
            </w:r>
          </w:p>
        </w:tc>
      </w:tr>
    </w:tbl>
    <w:p>
      <w:pPr>
        <w:spacing w:after="0" w:line="20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9"/>
          <w:szCs w:val="19"/>
          <w:i w:val="1"/>
          <w:iCs w:val="1"/>
          <w:color w:val="auto"/>
        </w:rPr>
        <w:t xml:space="preserve">Operating Activities. </w:t>
      </w:r>
      <w:r>
        <w:rPr>
          <w:rFonts w:ascii="Times New Roman" w:cs="Times New Roman" w:eastAsia="Times New Roman" w:hAnsi="Times New Roman"/>
          <w:sz w:val="19"/>
          <w:szCs w:val="19"/>
          <w:color w:val="auto"/>
        </w:rPr>
        <w:t>The increase in net cash flow provided by operating activities from continuing operations primarily reflects lower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spending for marketing and employee costs, partially offset by higher spending for content.</w:t>
      </w:r>
    </w:p>
    <w:p>
      <w:pPr>
        <w:spacing w:after="0" w:line="15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Net cash flow provided by operating activities includes payments of $325 million and $203 million for 2024 and 2023, respectively, associated with restructuring, transaction-related costs and transformation initiatives, net of insurance recoveries and settlements received related to litigation associated with the 2019 merger of Viacom and CBS. Our transformation initiatives are related to advancing our technology, including the unification and evolution of systems and platforms, and migration to the cloud. In addition, we have adapted our facilities to accommodate our hybrid and agile work model.</w:t>
      </w:r>
    </w:p>
    <w:p>
      <w:pPr>
        <w:spacing w:after="0" w:line="18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 xml:space="preserve">Cash flow provided by operating activities from discontinued operations for 2023 reflected the operating activities of Simon &amp; Schuster, which was sold in October 2023 (see </w:t>
      </w:r>
      <w:r>
        <w:rPr>
          <w:rFonts w:ascii="Times New Roman" w:cs="Times New Roman" w:eastAsia="Times New Roman" w:hAnsi="Times New Roman"/>
          <w:sz w:val="19"/>
          <w:szCs w:val="19"/>
          <w:i w:val="1"/>
          <w:iCs w:val="1"/>
          <w:color w:val="auto"/>
        </w:rPr>
        <w:t>Consolidated Results of Operations</w:t>
      </w:r>
      <w:r>
        <w:rPr>
          <w:rFonts w:ascii="Times New Roman" w:cs="Times New Roman" w:eastAsia="Times New Roman" w:hAnsi="Times New Roman"/>
          <w:sz w:val="19"/>
          <w:szCs w:val="19"/>
          <w:color w:val="auto"/>
        </w:rPr>
        <w:t xml:space="preserve"> — </w:t>
      </w:r>
      <w:r>
        <w:rPr>
          <w:rFonts w:ascii="Times New Roman" w:cs="Times New Roman" w:eastAsia="Times New Roman" w:hAnsi="Times New Roman"/>
          <w:sz w:val="19"/>
          <w:szCs w:val="19"/>
          <w:i w:val="1"/>
          <w:iCs w:val="1"/>
          <w:color w:val="auto"/>
        </w:rPr>
        <w:t>Net Earnings from Discontinued Operations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Investing Activities</w:t>
      </w:r>
    </w:p>
    <w:p>
      <w:pPr>
        <w:spacing w:after="0" w:line="157" w:lineRule="exact"/>
        <w:rPr>
          <w:sz w:val="20"/>
          <w:szCs w:val="20"/>
          <w:color w:val="auto"/>
        </w:rPr>
      </w:pPr>
    </w:p>
    <w:tbl>
      <w:tblPr>
        <w:tblLayout w:type="fixed"/>
        <w:tblInd w:w="420" w:type="dxa"/>
        <w:tblCellMar>
          <w:top w:w="0" w:type="dxa"/>
          <w:left w:w="0" w:type="dxa"/>
          <w:bottom w:w="0" w:type="dxa"/>
          <w:right w:w="0" w:type="dxa"/>
        </w:tblCellMar>
      </w:tblPr>
      <w:tr>
        <w:trPr>
          <w:trHeight w:val="252"/>
        </w:trPr>
        <w:tc>
          <w:tcPr>
            <w:tcW w:w="6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(326)</w:t>
            </w:r>
          </w:p>
        </w:tc>
        <w:tc>
          <w:tcPr>
            <w:tcW w:w="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25"/>
        </w:trPr>
        <w:tc>
          <w:tcPr>
            <w:tcW w:w="678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Capital expenditures </w:t>
            </w:r>
            <w:r>
              <w:rPr>
                <w:rFonts w:ascii="Times New Roman" w:cs="Times New Roman" w:eastAsia="Times New Roman" w:hAnsi="Times New Roman"/>
                <w:sz w:val="22"/>
                <w:szCs w:val="22"/>
                <w:color w:val="auto"/>
                <w:vertAlign w:val="superscript"/>
              </w:rPr>
              <w:t>(a)</w:t>
            </w:r>
          </w:p>
        </w:tc>
        <w:tc>
          <w:tcPr>
            <w:tcW w:w="146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(263)</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28"/>
        </w:trPr>
        <w:tc>
          <w:tcPr>
            <w:tcW w:w="678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Proceeds from dispositions </w:t>
            </w:r>
            <w:r>
              <w:rPr>
                <w:rFonts w:ascii="Times New Roman" w:cs="Times New Roman" w:eastAsia="Times New Roman" w:hAnsi="Times New Roman"/>
                <w:sz w:val="22"/>
                <w:szCs w:val="22"/>
                <w:color w:val="auto"/>
                <w:vertAlign w:val="superscript"/>
              </w:rPr>
              <w:t>(b)</w:t>
            </w:r>
          </w:p>
        </w:tc>
        <w:tc>
          <w:tcPr>
            <w:tcW w:w="146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554</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 used for investing activities from continuing operations</w:t>
            </w:r>
          </w:p>
        </w:tc>
        <w:tc>
          <w:tcPr>
            <w:tcW w:w="146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33"/>
        </w:trPr>
        <w:tc>
          <w:tcPr>
            <w:tcW w:w="6780" w:type="dxa"/>
            <w:vAlign w:val="bottom"/>
            <w:tcBorders>
              <w:bottom w:val="single" w:sz="8" w:color="auto"/>
            </w:tcBorders>
          </w:tcPr>
          <w:p>
            <w:pPr>
              <w:ind w:left="20"/>
              <w:spacing w:after="0" w:line="233" w:lineRule="exact"/>
              <w:rPr>
                <w:sz w:val="20"/>
                <w:szCs w:val="20"/>
                <w:color w:val="auto"/>
              </w:rPr>
            </w:pPr>
            <w:r>
              <w:rPr>
                <w:rFonts w:ascii="Times New Roman" w:cs="Times New Roman" w:eastAsia="Times New Roman" w:hAnsi="Times New Roman"/>
                <w:sz w:val="18"/>
                <w:szCs w:val="18"/>
                <w:color w:val="auto"/>
              </w:rPr>
              <w:t xml:space="preserve">Net cash flow provided by investing activities from discontinued operations </w:t>
            </w:r>
            <w:r>
              <w:rPr>
                <w:rFonts w:ascii="Times New Roman" w:cs="Times New Roman" w:eastAsia="Times New Roman" w:hAnsi="Times New Roman"/>
                <w:sz w:val="22"/>
                <w:szCs w:val="22"/>
                <w:color w:val="auto"/>
                <w:vertAlign w:val="superscript"/>
              </w:rPr>
              <w:t>(c)</w:t>
            </w:r>
          </w:p>
        </w:tc>
        <w:tc>
          <w:tcPr>
            <w:tcW w:w="1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55</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w:t>
            </w:r>
          </w:p>
        </w:tc>
      </w:tr>
      <w:tr>
        <w:trPr>
          <w:trHeight w:val="225"/>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flow provided by investing activities</w:t>
            </w:r>
          </w:p>
        </w:tc>
        <w:tc>
          <w:tcPr>
            <w:tcW w:w="1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w:t>
            </w:r>
          </w:p>
        </w:tc>
      </w:tr>
    </w:tbl>
    <w:p>
      <w:pPr>
        <w:spacing w:after="0" w:line="145" w:lineRule="exact"/>
        <w:rPr>
          <w:sz w:val="20"/>
          <w:szCs w:val="20"/>
          <w:color w:val="auto"/>
        </w:rPr>
      </w:pPr>
    </w:p>
    <w:p>
      <w:pPr>
        <w:ind w:left="700" w:hanging="217"/>
        <w:spacing w:after="0"/>
        <w:tabs>
          <w:tab w:leader="none" w:pos="7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payments associated with the implementation of our transformation initiatives of $22 million and $30 million in 2024 and 2023, respectively.</w:t>
      </w:r>
    </w:p>
    <w:p>
      <w:pPr>
        <w:spacing w:after="0" w:line="54" w:lineRule="exact"/>
        <w:rPr>
          <w:rFonts w:ascii="Times New Roman" w:cs="Times New Roman" w:eastAsia="Times New Roman" w:hAnsi="Times New Roman"/>
          <w:sz w:val="16"/>
          <w:szCs w:val="16"/>
          <w:color w:val="auto"/>
        </w:rPr>
      </w:pPr>
    </w:p>
    <w:p>
      <w:pPr>
        <w:jc w:val="both"/>
        <w:ind w:left="720" w:right="560" w:hanging="237"/>
        <w:spacing w:after="0" w:line="266" w:lineRule="auto"/>
        <w:tabs>
          <w:tab w:leader="none" w:pos="721"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2024 primarily reflects the gross proceeds of $508 million received from the sale of our 13% interest in Viacom18. Both years include the collection of receivables associated with the 2022 sale of a 37.5% interest in The CW. 2023 also includes proceeds from the disposition of certain channels in Latin America.</w:t>
      </w:r>
    </w:p>
    <w:p>
      <w:pPr>
        <w:spacing w:after="0" w:line="10" w:lineRule="exact"/>
        <w:rPr>
          <w:rFonts w:ascii="Times New Roman" w:cs="Times New Roman" w:eastAsia="Times New Roman" w:hAnsi="Times New Roman"/>
          <w:sz w:val="16"/>
          <w:szCs w:val="16"/>
          <w:color w:val="auto"/>
        </w:rPr>
      </w:pPr>
    </w:p>
    <w:p>
      <w:pPr>
        <w:ind w:left="720" w:right="560" w:hanging="237"/>
        <w:spacing w:after="0" w:line="290" w:lineRule="auto"/>
        <w:tabs>
          <w:tab w:leader="none" w:pos="709"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2024 reflects additional proceeds received from working capital adjustments related to the sale of Simon &amp; Schuster in 2023. 2023 includes the proceeds received from the sale of Simon &amp; Schuster.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Financing Activities</w:t>
      </w:r>
    </w:p>
    <w:p>
      <w:pPr>
        <w:spacing w:after="0" w:line="131" w:lineRule="exact"/>
        <w:rPr>
          <w:sz w:val="20"/>
          <w:szCs w:val="20"/>
          <w:color w:val="auto"/>
        </w:rPr>
      </w:pPr>
    </w:p>
    <w:tbl>
      <w:tblPr>
        <w:tblLayout w:type="fixed"/>
        <w:tblInd w:w="600" w:type="dxa"/>
        <w:tblCellMar>
          <w:top w:w="0" w:type="dxa"/>
          <w:left w:w="0" w:type="dxa"/>
          <w:bottom w:w="0" w:type="dxa"/>
          <w:right w:w="0" w:type="dxa"/>
        </w:tblCellMar>
      </w:tblPr>
      <w:tr>
        <w:trPr>
          <w:trHeight w:val="252"/>
        </w:trPr>
        <w:tc>
          <w:tcPr>
            <w:tcW w:w="6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debt</w:t>
            </w: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5"/>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debt</w:t>
            </w:r>
          </w:p>
        </w:tc>
        <w:tc>
          <w:tcPr>
            <w:tcW w:w="118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(126)</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r>
      <w:tr>
        <w:trPr>
          <w:trHeight w:val="225"/>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on preferred stock</w:t>
            </w:r>
          </w:p>
        </w:tc>
        <w:tc>
          <w:tcPr>
            <w:tcW w:w="118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5"/>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118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(139)</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25"/>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payroll taxes in lieu of issuing shares for stock-based compensation</w:t>
            </w:r>
          </w:p>
        </w:tc>
        <w:tc>
          <w:tcPr>
            <w:tcW w:w="118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5"/>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to noncontrolling interests</w:t>
            </w:r>
          </w:p>
        </w:tc>
        <w:tc>
          <w:tcPr>
            <w:tcW w:w="118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(127)</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0"/>
        </w:trPr>
        <w:tc>
          <w:tcPr>
            <w:tcW w:w="6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5"/>
        </w:trPr>
        <w:tc>
          <w:tcPr>
            <w:tcW w:w="6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flow used for financing activities</w:t>
            </w: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(507)</w:t>
            </w:r>
          </w:p>
        </w:tc>
        <w:tc>
          <w:tcPr>
            <w:tcW w:w="3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Dividends</w:t>
      </w:r>
    </w:p>
    <w:p>
      <w:pPr>
        <w:spacing w:after="0" w:line="15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The following table presents dividends declared per share and total dividends for our Class A and Class B Common Stock and our 5.75% Series A Mandatory Convertible Preferred Stock (“Mandatory Convertible Preferred Stock”) for 2024 and 2023. On April 1, 2024, each outstanding share of our Mandatory Convertible Preferred Stock automatically and mandatorily converted into 1.1765 shares of Class B Common Stock. The final dividend on the Mandatory Convertible Preferred Stock was declared during the first quarter of 2024 and paid on April 1, 2024.</w:t>
      </w:r>
    </w:p>
    <w:p>
      <w:pPr>
        <w:spacing w:after="0" w:line="216" w:lineRule="exact"/>
        <w:rPr>
          <w:sz w:val="20"/>
          <w:szCs w:val="20"/>
          <w:color w:val="auto"/>
        </w:rPr>
      </w:pPr>
    </w:p>
    <w:tbl>
      <w:tblPr>
        <w:tblLayout w:type="fixed"/>
        <w:tblInd w:w="2200" w:type="dxa"/>
        <w:tblCellMar>
          <w:top w:w="0" w:type="dxa"/>
          <w:left w:w="0" w:type="dxa"/>
          <w:bottom w:w="0" w:type="dxa"/>
          <w:right w:w="0" w:type="dxa"/>
        </w:tblCellMar>
      </w:tblPr>
      <w:tr>
        <w:trPr>
          <w:trHeight w:val="252"/>
        </w:trPr>
        <w:tc>
          <w:tcPr>
            <w:tcW w:w="350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79"/>
        </w:trPr>
        <w:tc>
          <w:tcPr>
            <w:tcW w:w="3500" w:type="dxa"/>
            <w:vAlign w:val="bottom"/>
            <w:gridSpan w:val="3"/>
          </w:tcPr>
          <w:p>
            <w:pPr>
              <w:spacing w:after="0" w:line="179" w:lineRule="exact"/>
              <w:rPr>
                <w:sz w:val="20"/>
                <w:szCs w:val="20"/>
                <w:color w:val="auto"/>
              </w:rPr>
            </w:pPr>
            <w:r>
              <w:rPr>
                <w:rFonts w:ascii="Times New Roman" w:cs="Times New Roman" w:eastAsia="Times New Roman" w:hAnsi="Times New Roman"/>
                <w:sz w:val="18"/>
                <w:szCs w:val="18"/>
                <w:b w:val="1"/>
                <w:bCs w:val="1"/>
                <w:color w:val="auto"/>
              </w:rPr>
              <w:t>Class A and Class B Common Stock</w:t>
            </w:r>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6"/>
        </w:trPr>
        <w:tc>
          <w:tcPr>
            <w:tcW w:w="2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Dividends declared per common share</w:t>
            </w:r>
          </w:p>
        </w:tc>
        <w:tc>
          <w:tcPr>
            <w:tcW w:w="780" w:type="dxa"/>
            <w:vAlign w:val="bottom"/>
            <w:gridSpan w:val="2"/>
          </w:tcPr>
          <w:p>
            <w:pPr>
              <w:spacing w:after="0"/>
              <w:rPr>
                <w:sz w:val="21"/>
                <w:szCs w:val="21"/>
                <w:color w:val="auto"/>
              </w:rPr>
            </w:pP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w:t>
            </w: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18"/>
        </w:trPr>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common stock dividends</w:t>
            </w: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138</w:t>
            </w: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77"/>
        </w:trPr>
        <w:tc>
          <w:tcPr>
            <w:tcW w:w="3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Mandatory Convertible Preferred Stock</w:t>
            </w: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6"/>
        </w:trPr>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Dividends declared per preferred share</w:t>
            </w: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1.4375</w:t>
            </w: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337"/>
        </w:trPr>
        <w:tc>
          <w:tcPr>
            <w:tcW w:w="35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Total preferred stock dividends</w:t>
            </w:r>
          </w:p>
        </w:tc>
        <w:tc>
          <w:tcPr>
            <w:tcW w:w="7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14</w:t>
            </w:r>
          </w:p>
        </w:tc>
        <w:tc>
          <w:tcPr>
            <w:tcW w:w="4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Capital Structure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sets forth our debt.</w:t>
      </w:r>
    </w:p>
    <w:p>
      <w:pPr>
        <w:spacing w:after="0" w:line="195" w:lineRule="exact"/>
        <w:rPr>
          <w:sz w:val="20"/>
          <w:szCs w:val="20"/>
          <w:color w:val="auto"/>
        </w:rPr>
      </w:pPr>
    </w:p>
    <w:tbl>
      <w:tblPr>
        <w:tblLayout w:type="fixed"/>
        <w:tblInd w:w="320" w:type="dxa"/>
        <w:tblCellMar>
          <w:top w:w="0" w:type="dxa"/>
          <w:left w:w="0" w:type="dxa"/>
          <w:bottom w:w="0" w:type="dxa"/>
          <w:right w:w="0" w:type="dxa"/>
        </w:tblCellMar>
      </w:tblPr>
      <w:tr>
        <w:trPr>
          <w:trHeight w:val="252"/>
        </w:trPr>
        <w:tc>
          <w:tcPr>
            <w:tcW w:w="5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27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debt</w:t>
            </w:r>
          </w:p>
        </w:tc>
        <w:tc>
          <w:tcPr>
            <w:tcW w:w="2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12,868</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12,969</w:t>
            </w:r>
          </w:p>
        </w:tc>
      </w:tr>
      <w:tr>
        <w:trPr>
          <w:trHeight w:val="225"/>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Junior debt</w:t>
            </w:r>
          </w:p>
        </w:tc>
        <w:tc>
          <w:tcPr>
            <w:tcW w:w="272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1,633</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r>
      <w:tr>
        <w:trPr>
          <w:trHeight w:val="230"/>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Obligations under finance leases</w:t>
            </w: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3"/>
        </w:trPr>
        <w:tc>
          <w:tcPr>
            <w:tcW w:w="5540" w:type="dxa"/>
            <w:vAlign w:val="bottom"/>
          </w:tcPr>
          <w:p>
            <w:pPr>
              <w:ind w:left="20"/>
              <w:spacing w:after="0" w:line="213" w:lineRule="exact"/>
              <w:rPr>
                <w:sz w:val="20"/>
                <w:szCs w:val="20"/>
                <w:color w:val="auto"/>
              </w:rPr>
            </w:pPr>
            <w:r>
              <w:rPr>
                <w:rFonts w:ascii="Times New Roman" w:cs="Times New Roman" w:eastAsia="Times New Roman" w:hAnsi="Times New Roman"/>
                <w:sz w:val="18"/>
                <w:szCs w:val="18"/>
                <w:color w:val="auto"/>
              </w:rPr>
              <w:t xml:space="preserve">Total debt </w:t>
            </w:r>
            <w:r>
              <w:rPr>
                <w:rFonts w:ascii="Times New Roman" w:cs="Times New Roman" w:eastAsia="Times New Roman" w:hAnsi="Times New Roman"/>
                <w:sz w:val="22"/>
                <w:szCs w:val="22"/>
                <w:color w:val="auto"/>
                <w:vertAlign w:val="superscript"/>
              </w:rPr>
              <w:t>(a)</w:t>
            </w:r>
          </w:p>
        </w:tc>
        <w:tc>
          <w:tcPr>
            <w:tcW w:w="2720" w:type="dxa"/>
            <w:vAlign w:val="bottom"/>
          </w:tcPr>
          <w:p>
            <w:pPr>
              <w:spacing w:after="0"/>
              <w:rPr>
                <w:sz w:val="18"/>
                <w:szCs w:val="18"/>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14,501</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14,602</w:t>
            </w:r>
          </w:p>
        </w:tc>
      </w:tr>
      <w:tr>
        <w:trPr>
          <w:trHeight w:val="230"/>
        </w:trPr>
        <w:tc>
          <w:tcPr>
            <w:tcW w:w="55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27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14,501</w:t>
            </w: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14,601</w:t>
            </w:r>
          </w:p>
        </w:tc>
      </w:tr>
    </w:tbl>
    <w:p>
      <w:pPr>
        <w:spacing w:after="0" w:line="119" w:lineRule="exact"/>
        <w:rPr>
          <w:sz w:val="20"/>
          <w:szCs w:val="20"/>
          <w:color w:val="auto"/>
        </w:rPr>
      </w:pPr>
    </w:p>
    <w:p>
      <w:pPr>
        <w:jc w:val="both"/>
        <w:ind w:left="560" w:right="480" w:hanging="236"/>
        <w:spacing w:after="0" w:line="266" w:lineRule="auto"/>
        <w:tabs>
          <w:tab w:leader="none" w:pos="673"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2024 and 2023, the senior and junior debt balances included (i) a net unamortized discount of $401 million and $419 million, respectively, and (ii) unamortized deferred financing costs of $74 million and $81 million, respectively. The face value of our total debt was $14.98 billion at December 31, 2024 and $15.10 billion at December 31, 2023.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Senior Debt</w:t>
      </w:r>
    </w:p>
    <w:p>
      <w:pPr>
        <w:spacing w:after="0" w:line="16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At December 31, 2024, our senior debt was comprised of senior notes and debentures due between 2026 and 2050 with interest rates ranging from 2.90% to 7.875%.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During the fourth quarter of 2024, we redeemed our $126 million of outstanding 4.75% senior notes due in 2025 at par.</w:t>
      </w:r>
    </w:p>
    <w:p>
      <w:pPr>
        <w:spacing w:after="0" w:line="24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During 2023, we repurchased $1.04 billion of our outstanding senior notes due between 2025 and 2027 through a tender offer, for an aggregate repurchase price of $1.00 billion. These repurchases resulted in a pre-tax gain on extinguishment of debt of $29 million. In 2023, we also repaid our $139 million of 7.875% debentures and $35 million of 7.125% senior notes, each at maturity.</w:t>
      </w:r>
    </w:p>
    <w:p>
      <w:pPr>
        <w:spacing w:after="0" w:line="17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Our outstanding senior notes and debentures provide for certain covenant packages typical for an investment grade company. We have senior notes and debentures with a total face value of $9.54 billion that have an acceleration trigger that requires us to make a redemption offer at 101% of the principal amount plus accrued and unpaid interest in the event of ratings downgrades to below investment grade by all three ratings agencies (Moody’s Investors Service, Inc., S&amp;P Global Ratings and Fitch Ratings, Ltd.) due to a change of control.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Junior Debt</w:t>
      </w:r>
    </w:p>
    <w:p>
      <w:pPr>
        <w:spacing w:after="0" w:line="1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At December 31, 2024, we had $989 million of 6.375% junior subordinated debentures due 2062 outstanding. The interest rate on these debentures will reset on March 30, 2027, and every five years thereafter to a fixed rate equal to the 5-year Treasury Rate (as defined pursuant to the terms of the debentures) plus a spread of 3.999% from March 30, 2027, 4.249% from March 30, 2032 and 4.999% from March 30, 2047. These debentures can be called by us at par plus a make whole premium any time before March 30, 2027, or at par on March 30, 2027 or on any interest payment date thereafter.</w:t>
      </w:r>
    </w:p>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At December 31, 2024, we also had $644 million of 6.25% junior subordinated debentures due February 2057 outstanding, which accrue interest at the stated fixed rate until February 28, 2027, on which date the rate will switch to a floating rate. Under the terms of the debentures the floating rate is based on three-month LIBOR plus 3.899%, reset quarterly, however, with the phasing out of LIBOR and the passage of the Adjustable Interest Rate (LIBOR) Act, signed into law on March 15, 2022, it is expected that the 6.25% junior subordinated debentures due 2057 will, upon switching to a floating rate, bear interest at a replacement rate based on three-month CME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5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Term Secured Overnight Financing Rate (SOFR). These debentures can be called by us at par at any time after the expiration of the fixed-rate period.</w:t>
      </w:r>
    </w:p>
    <w:p>
      <w:pPr>
        <w:spacing w:after="0" w:line="1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Our junior subordinated debentures, which have a total face value of $1.65 billion, also provide for certain covenant packages. In the event of ratings downgrades by all three rating agencies due to a change of control, there is a provision in the junior subordinated debentures that requires us to either elect to redeem the debentures at 101% of the principal amount plus accrued and unpaid interest or, if we elect not to redeem the debentures, the interest rate will be increased by 5 percentage points.</w:t>
      </w:r>
    </w:p>
    <w:p>
      <w:pPr>
        <w:spacing w:after="0" w:line="20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The subordination and extended term, as well as an interest deferral option of the junior subordinated debentures provide significant credit protection measures for senior creditors and, as a result of these features, the debentures received a 50% equity credit by Standard &amp; Poor’s Rating Services, Fitch Ratings Inc., and Moody’s Investors Service, Inc.</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Commercial Paper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 both December 31, 2024 and 2023, we had no outstanding commercial paper borrowings.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Credit Facility</w:t>
      </w:r>
    </w:p>
    <w:p>
      <w:pPr>
        <w:spacing w:after="0" w:line="15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At December 31, 2024, we had a $3.50 billion revolving credit facility that matures in January 2027 (the “Credit Facility”). The Credit Facility is used for general corporate purposes and to support commercial paper borrowings, if any. We may, at our option, also borrow in certain foreign currencies up to specified limits under the Credit Facility. Borrowing rates under the Credit Facility are determined at the time of each borrowing and are generally based on either the prime rate in the U.S. or an applicable benchmark rate plus a margin (based on our senior unsecured debt rating), depending on the type and tenor of the loans entered into. The benchmark rate for loans denominated in U.S. dollars is Term SOFR, and for loans denominated in euros, sterling and yen is based on EURIBOR, SONIA and TIBOR, respectively. At December 31, 2024, we had no borrowings outstanding under the Credit Facility and the availability under the Credit Facility was $3.50 billion.</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 Credit Facility has one principal financial covenant which sets a maximum Consolidated Total Leverage Ratio (“Leverage Ratio”) at the end of each quarter. The maximum Leverage Ratio was 5.5x for the quarter ended December 31, 2024 and will remain at this level for the quarter ending March 31, 2025. The Leverage Ratio will then decrease 0.25x for each subsequent quarter until the quarter ending March 31, 2026 when it will be 4.5x, and will remain at this level until maturity. The Leverage Ratio reflects the ratio of our Consolidated Indebtedness, net of unrestricted cash and cash equivalents at the end of a quarter, to our Consolidated EBITDA (each as defined in the credit agreement) for the trailing twelve-month period. The maximum amount of unrestricted cash and cash equivalents that can be netted against Consolidated Indebtedness in the calculation of the Leverage Ratio is $1.50 billion. We met the covenant as of December 31, 2024.</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The Credit Facility also includes a provision that the occurrence of a change of control of Paramount will be an event of default that would give the lenders the right to accelerate any outstanding loans and terminate their commitments. On August 1, 2024, we entered into amendments to the Credit Facility and our $1.9 billion standby letter of credit facility (see </w:t>
      </w:r>
      <w:r>
        <w:rPr>
          <w:rFonts w:ascii="Times New Roman" w:cs="Times New Roman" w:eastAsia="Times New Roman" w:hAnsi="Times New Roman"/>
          <w:sz w:val="19"/>
          <w:szCs w:val="19"/>
          <w:i w:val="1"/>
          <w:iCs w:val="1"/>
          <w:color w:val="auto"/>
        </w:rPr>
        <w:t>Letters of Credit and Surety Bonds</w:t>
      </w:r>
      <w:r>
        <w:rPr>
          <w:rFonts w:ascii="Times New Roman" w:cs="Times New Roman" w:eastAsia="Times New Roman" w:hAnsi="Times New Roman"/>
          <w:sz w:val="19"/>
          <w:szCs w:val="19"/>
          <w:color w:val="auto"/>
        </w:rPr>
        <w:t xml:space="preserve">), which, among other things, revise the change of control provision and related definitions to reflect the ownership structure of Paramount after giving effect to the Transactions and the NAI Transaction. In addition, the amendments increase the amount of unrestricted cash and cash equivalents that can be netted against Consolidated Indebtedness in the calculation of the Leverage Ratio to $3.0 billion. These amendments will only become operative upon closing of the Transactions (see </w:t>
      </w:r>
      <w:r>
        <w:rPr>
          <w:rFonts w:ascii="Times New Roman" w:cs="Times New Roman" w:eastAsia="Times New Roman" w:hAnsi="Times New Roman"/>
          <w:sz w:val="19"/>
          <w:szCs w:val="19"/>
          <w:i w:val="1"/>
          <w:iCs w:val="1"/>
          <w:color w:val="auto"/>
        </w:rPr>
        <w:t>Skydance Transactions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Other Bank Borrowings</w:t>
      </w:r>
    </w:p>
    <w:p>
      <w:pPr>
        <w:spacing w:after="0" w:line="1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9"/>
          <w:szCs w:val="19"/>
          <w:color w:val="auto"/>
        </w:rPr>
        <w:t>At both December 31, 2024 and 2023, we had no outstanding bank borrowings under Miramax’s $50 million credit facility that matures in November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Letters of Credit and Surety Bonds</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At December 31, 2024, we had outstanding letters of credit and surety bonds of $226 million that were not recorded on the Consolidated Balance Sheet, as well as a $1.9 billion standby letter of credit facility. In accordance with the contractual requirements of one of our commitments, in January 2024 a $1.9 billion letter of credit was issued under this facility and the amount outstanding under the letter of credit decreases as we make payments under the related contractual commitment. The amount outstanding was zero at December 31, 2024 and $1.75 billion in January 2025. Letters of credit and surety bonds are primarily used as security against non-performance in the normal course of business under contractual requirements of certain of our commitments. The standby letter of credit facility, which matures in May 2026, is subject to provisions similar to the Credit Facility, including the same principal financial covenant (see </w:t>
      </w:r>
      <w:r>
        <w:rPr>
          <w:rFonts w:ascii="Times New Roman" w:cs="Times New Roman" w:eastAsia="Times New Roman" w:hAnsi="Times New Roman"/>
          <w:sz w:val="19"/>
          <w:szCs w:val="19"/>
          <w:i w:val="1"/>
          <w:iCs w:val="1"/>
          <w:color w:val="auto"/>
        </w:rPr>
        <w:t>Credit Facility</w:t>
      </w:r>
      <w:r>
        <w:rPr>
          <w:rFonts w:ascii="Times New Roman" w:cs="Times New Roman" w:eastAsia="Times New Roman" w:hAnsi="Times New Roman"/>
          <w:sz w:val="19"/>
          <w:szCs w:val="19"/>
          <w:color w:val="auto"/>
        </w:rPr>
        <w:t xml:space="preserve"> above).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Critical Accounting Estimates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preparation of our financial statements in conformity with generally accepted accounting principles requires management to make estimates, judgments and assumptions that affect the reported amounts of assets and liabilities, disclosure of contingent assets and liabilities as of the date of the financial statements and the reported amount of revenues and expenses during the reporting period. On an ongoing basis, we evaluate these estimates, which are based on historical experience and on various other assumptions that are believed to be reasonable under the circumstances. The result of these evaluations forms the basis for making judgments about the carrying values of assets and liabilities and the reported amount of revenues and expenses that are not readily apparent from other sources. Actual results may differ from these estimates under different assumptions.</w:t>
      </w:r>
    </w:p>
    <w:p>
      <w:pPr>
        <w:spacing w:after="0" w:line="200" w:lineRule="exact"/>
        <w:rPr>
          <w:sz w:val="20"/>
          <w:szCs w:val="20"/>
          <w:color w:val="auto"/>
        </w:rPr>
      </w:pPr>
    </w:p>
    <w:p>
      <w:pPr>
        <w:spacing w:after="0" w:line="2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We consider the following accounting policies to be the most critical as they are important to our financial condition and results of operations, and require significant judgment and estimates on the part of management in their application. The risks and uncertainties involved in applying our critical accounting policies are provided below. Unless otherwise noted, we applied our critical accounting policies and estimation methods consistently in all material respects and for all periods presented, and have discussed such policies with our Audit Committee. For a summary of our significant accounting policies, see the accompanying notes to the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Revenue Recognition</w:t>
      </w:r>
    </w:p>
    <w:p>
      <w:pPr>
        <w:spacing w:after="0" w:line="15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Revenue is recognized when control of a good or service is transferred to a customer in an amount that reflects the consideration we expect to be entitled to in exchange for those goods or services. Significant judgments used in the determination of the amount and timing of revenue recognition include the identification of distinct performance obligations in contracts containing bundled advertising sales or bundled content licenses, and the allocation of consideration among individual performance obligations within these arrangements based on their relative standalone selling prices.</w:t>
      </w:r>
    </w:p>
    <w:p>
      <w:pPr>
        <w:spacing w:after="0" w:line="1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i w:val="1"/>
          <w:iCs w:val="1"/>
          <w:color w:val="auto"/>
        </w:rPr>
        <w:t>Advertising Revenues</w:t>
      </w:r>
      <w:r>
        <w:rPr>
          <w:rFonts w:ascii="Times New Roman" w:cs="Times New Roman" w:eastAsia="Times New Roman" w:hAnsi="Times New Roman"/>
          <w:sz w:val="19"/>
          <w:szCs w:val="19"/>
          <w:color w:val="auto"/>
        </w:rPr>
        <w:t>—Advertising revenues are recognized when the advertising spots are aired on television or streamed or displayed 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digital platforms. If a contract includes a guarantee to deliver a targeted audience rating or number of impressions, the delivery of the advertising spots that achieve the guarantee represents the performance obligation to be satisfied over time and revenues are recognized based on the proportion of the audience rating or impressions delivered to the total guaranteed in the contract. To the extent the amounts billed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5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exceed the amount of revenue recognized, such excess is deferred until the guaranteed audience ratings or impressions are delivered. For contracts that do not include impressions guarantees, the individual advertising spots are the performance obligation and consideration is allocated among the individual advertising spots based on relative standalone selling price.</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i w:val="1"/>
          <w:iCs w:val="1"/>
          <w:color w:val="auto"/>
        </w:rPr>
        <w:t>Affiliate Revenues</w:t>
      </w:r>
      <w:r>
        <w:rPr>
          <w:rFonts w:ascii="Times New Roman" w:cs="Times New Roman" w:eastAsia="Times New Roman" w:hAnsi="Times New Roman"/>
          <w:sz w:val="19"/>
          <w:szCs w:val="19"/>
          <w:color w:val="auto"/>
        </w:rPr>
        <w:t>—The performance obligation for our affiliate agreements is a license to our programming provided through the continuous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delivery of live linear feeds and, for agreements with certain distributors, also includes a license to programming for video-on-demand viewing. Affiliate revenues are recognized over the term of the agreement as we satisfy our performance obligation by continuously providing our customer with the right to use our programming. For agreements that provide for a variable fee, revenues are determined each month based on an agreed upon contractual rate applied to the number of subscribers to our customer’s service. For agreements that provide for a fixed fee, revenues are recognized based on the relative fair value of the content provided over the term of the agreement. These agreements primarily include agreements with television stations affiliated with the CBS Television Network (“network affiliates”) for which fair value is determined based on the fair value of the network affiliate’s service and the value of our programming.</w:t>
      </w:r>
    </w:p>
    <w:p>
      <w:pPr>
        <w:spacing w:after="0" w:line="20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i w:val="1"/>
          <w:iCs w:val="1"/>
          <w:color w:val="auto"/>
        </w:rPr>
        <w:t>Content Licensing Revenues</w:t>
      </w:r>
      <w:r>
        <w:rPr>
          <w:rFonts w:ascii="Times New Roman" w:cs="Times New Roman" w:eastAsia="Times New Roman" w:hAnsi="Times New Roman"/>
          <w:sz w:val="19"/>
          <w:szCs w:val="19"/>
          <w:color w:val="auto"/>
        </w:rPr>
        <w:t>—For licenses of exhibition rights for internally-produced programming, each individual episode or film delivered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represents a separate performance obligation and revenues are recognized when the episode or film is made available to the licensee for exhibition and the license period has begun. For license agreements that include delivery of content on one or more dates for a fixed fee, consideration is allocated based on the relative standalone selling price of each episode or film, which is based on licenses for comparable content within the marketplace. Estimation of standalone selling prices requires judgment, which can impact the timing of recognizing revenues.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Film and Television Production and Programming Costs</w:t>
      </w:r>
    </w:p>
    <w:p>
      <w:pPr>
        <w:spacing w:after="0" w:line="1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Costs incurred to produce television programs and feature films are capitalized when incurred and amortized over the projected life of each television program or feature film. The costs incurred to acquire television series and feature film programming rights, including advances, are capitalized when the license period has begun and the program is accepted and available for airing. The costs of programming rights licensed under multi-year sports programming agreements are capitalized if the rights payments are made before the related economic benefit has been received. Acquired programming rights, including rights for sports programming, are expensed over the shorter of the license period or the period in which an economic benefit is expected to be derived.</w:t>
      </w:r>
    </w:p>
    <w:p>
      <w:pPr>
        <w:spacing w:after="0" w:line="19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We categorize our capitalized production and programming costs based on the expected predominant monetization strategy throughout the life of the content. Our programming that is expected to be predominantly monetized through licensing and distribution on third-party platforms is considered individually monetized and our programming that is expected to be predominantly monetized on our networks and streaming services together with other programming is considered to be monetized as part of a film group. The predominant monetization strategy is determined when capitalization of production costs commences and is reassessed if there is a significant change to the expected future monetization strategy. This reassessment will include an assessment of the monetization strategy throughout the entire life of the programming.</w:t>
      </w:r>
    </w:p>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For internally-produced television programs and feature films that are predominantly monetized on an individual basis, we use an individual-film-forecast computation method to amortize capitalized production costs and to accrue estimated liabilities for participations and residuals over the applicable title’s life cycle based upon the ratio of current period revenues to estimated remaining total gross revenues to be earned (“Ultimate Revenues”) for each title. Management’s judgment is required in estimating Ultimate Revenues and the costs to be incurred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5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throughout the life of each television program or feature film. These estimates are used to determine the timing of amortization of capitalized production costs and expensing of participation and residual costs.</w:t>
      </w:r>
    </w:p>
    <w:p>
      <w:pPr>
        <w:spacing w:after="0" w:line="15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For television programming, our estimate of Ultimate Revenues includes revenues to be earned within 10 years from the delivery of the first episode, or, if still in production, five years from the delivery of the most recent episode, if later. These estimates are based on the past performance of similar television programs in a market, the performance in the initial markets and future firm commitments to license programs.</w:t>
      </w:r>
    </w:p>
    <w:p>
      <w:pPr>
        <w:spacing w:after="0" w:line="200" w:lineRule="exact"/>
        <w:rPr>
          <w:sz w:val="20"/>
          <w:szCs w:val="20"/>
          <w:color w:val="auto"/>
        </w:rPr>
      </w:pPr>
    </w:p>
    <w:p>
      <w:pPr>
        <w:spacing w:after="0" w:line="2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For feature films, our estimate of Ultimate Revenues includes revenues from all sources that are estimated to be earned within 10 years from the date of a film’s initial release. Prior to the release of feature films, we estimate Ultimate Revenues based on the historical performance of similar content and pre-release market research (including test market screenings), as well as factors relating to the specific film, including the expected number of theaters and markets in which the original content will be released, the genre of the original content and the past box office performance of the lead actors and actresses. For films intended for theatrical release, we believe the performance during the theatrical exhibition is the most sensitive factor affecting our estimate of Ultimate Revenues as subsequent markets have historically exhibited a high correlation to theatrical performance. Upon a film’s initial release, we update our estimate of Ultimate Revenues based on actual and expected future performance. Our estimates of revenues from succeeding windows and markets are revised based on historical relationships to theatrical performance and an analysis of current market trends. We also review and revise estimates of Ultimate Revenue and participation costs as of each reporting date to reflect the most current available information.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acquired film libraries, our estimate of Ultimate Revenues is for a period within 20 years from the date of acquisition.</w:t>
      </w:r>
    </w:p>
    <w:p>
      <w:pPr>
        <w:spacing w:after="0" w:line="2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For programming that is predominantly monetized as part of a film group, capitalized costs are amortized based on an estimate of the timing of our usage of and benefit from such programming. Such estimates require management’s judgment and include consideration of factors such as expected revenues to be derived from the programming, the expected number of future airings, and, for acquired programming, the length of the license period. If initial airings are expected to generate higher revenues, an accelerated method of amortization is used. These estimates are periodically reviewed and updated based on information available throughout the contractual term or life of each program.</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For content that is predominantly monetized on an individual basis, a television program or feature film is tested for impairment when events or circumstances indicate that its fair value may be less than its unamortized cost. If the result of the impairment test indicates that the carrying value exceeds the estimated fair value, an impairment charge will then be recorded for the amount of the difference. Content that is predominantly monetized within a film group is assessed for impairment at the film group level and would similarly be tested for impairment if circumstances indicate that the fair value of the film group is less than its unamortized costs. A change in the monetization strategy of content, whether monetized individually or as part of a film group, will result in a reassessment of the predominant monetization strategy and may trigger an assessment of the content for impairment. Any resulting impairment test will be performed either at the individual level or at the film group level where the future cash flows will be generated. In addition, unamortized costs for internally-produced or acquired programming that has been abandoned are written off.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Goodwill and Intangible Assets Impairment Tests</w:t>
      </w:r>
    </w:p>
    <w:p>
      <w:pPr>
        <w:spacing w:after="0" w:line="16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We perform fair value-based impairment tests of goodwill and intangible assets with indefinite lives, comprised primarily of television FCC licenses, annually during the fourth quarter and also between annual tests if an event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50"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9"/>
          <w:szCs w:val="19"/>
          <w:color w:val="auto"/>
        </w:rPr>
        <w:t>occurs or if circumstances change that would more likely than not reduce the fair value of a reporting unit or an indefinite-lived intangible asset below its carrying value.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Goodwill</w:t>
      </w:r>
    </w:p>
    <w:p>
      <w:pPr>
        <w:spacing w:after="0" w:line="15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 xml:space="preserve">Goodwill is tested for impairment at the reporting unit level, which is an operating segment, or one level below. As of December 31, 2024, we had five reporting units in three reportable segments. The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segment is comprised of the CBS Entertainment reporting unit, which had $5.16 billion of goodwill at December 31, 2024 and the Cable Networks reporting unit, which has no goodwill. The </w:t>
      </w: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 xml:space="preserve"> segment is comprised of the Paramount+ and Pluto TV reporting units, which had goodwill at December 31, 2024 of $1.47 billion and $1.26 billion, respectively. The </w:t>
      </w: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 xml:space="preserve"> segment is comprised of one reporting unit with $2.62 billion of goodwill.</w:t>
      </w:r>
    </w:p>
    <w:p>
      <w:pPr>
        <w:spacing w:after="0" w:line="1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i w:val="1"/>
          <w:iCs w:val="1"/>
          <w:color w:val="auto"/>
        </w:rPr>
        <w:t>Interim Impairment Tests</w:t>
      </w:r>
      <w:r>
        <w:rPr>
          <w:rFonts w:ascii="Times New Roman" w:cs="Times New Roman" w:eastAsia="Times New Roman" w:hAnsi="Times New Roman"/>
          <w:sz w:val="19"/>
          <w:szCs w:val="19"/>
          <w:color w:val="auto"/>
        </w:rPr>
        <w:t>—For the second quarter of 2024, we assessed the relevant factors that could impact the fair value of our reporting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units, including indicators in the linear affiliate marketplace and the estimated total company market value indicated by the Transactions and the NAI Transaction announced on July 7, 2024. Based on this assessment, we determined that an interim goodwill impairment test was necessary for each of our five reporting units.</w:t>
      </w:r>
    </w:p>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 xml:space="preserve">The impairment test for our Cable Networks reporting unit indicated that a goodwill impairment charge of $5.98 billion was required, which represented the goodwill balance of the reporting unit prior to the impairment test. The impairment charge, which was recorded within the </w:t>
      </w:r>
      <w:r>
        <w:rPr>
          <w:rFonts w:ascii="Times New Roman" w:cs="Times New Roman" w:eastAsia="Times New Roman" w:hAnsi="Times New Roman"/>
          <w:sz w:val="19"/>
          <w:szCs w:val="19"/>
          <w:i w:val="1"/>
          <w:iCs w:val="1"/>
          <w:color w:val="auto"/>
        </w:rPr>
        <w:t>TV</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Media </w:t>
      </w:r>
      <w:r>
        <w:rPr>
          <w:rFonts w:ascii="Times New Roman" w:cs="Times New Roman" w:eastAsia="Times New Roman" w:hAnsi="Times New Roman"/>
          <w:sz w:val="19"/>
          <w:szCs w:val="19"/>
          <w:color w:val="auto"/>
        </w:rPr>
        <w:t>segment during the second quarter of 2024, resulted from a downward adjustment to the reporting unit’s expected cash flows, primarily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because of the linear affiliate market indicators noted above, and the estimated total company market value indicated by the Transactions and the NAI Transaction. The estimated fair value of our Cable Networks reporting unit was based on the discounted cash flow method. The discounted cash flow method, which estimates fair value based on the present value of future cash flows, requires us to make various assumptions regarding the timing and amount of these cash flows, including growth rates, operating margins and capital expenditures for a projection period, plus the terminal value of the business at the end of the projection period. The assumptions about future cash flows are based on our internal forecasts of the applicable reporting unit, which incorporates our long-term business plans and historical trends. The terminal value is estimated using a long-term growth rate, which is based on expected trends and projections for the relevant industry. A discount rate is determined for the reporting unit based on the risks of achieving the future cash flows, including risks applicable to the industry and market as a whole, as well as the capital structure of comparable entities. For the impairment test of our Cable Networks reporting unit, we utilized a discount rate of 11% and a terminal value that was based on a long-term growth rate of (3)%.</w:t>
      </w:r>
    </w:p>
    <w:p>
      <w:pPr>
        <w:spacing w:after="0" w:line="20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The fair values of the remaining reporting units exceeded their respective carrying values and therefore no impairment charge was required. Three reporting units had fair values that exceeded their respective carrying values by less than 10% and the remaining reporting unit had a fair value that exceeded its carrying value by a significant amount.</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The estimated fair value of our CBS Entertainment reporting unit, which exceeded its carrying value by 4%, was based on both the discounted cash flow method and the traded values of comparable businesses utilizing an OIBDA multiple. An increase to the discount rate of 50 basis points, or a decrease to the long-term growth rate of 50 basis points, assuming no changes to other factors used in the impairment test, would cause a decrease to the estimated fair value of the reporting unit of $200 million and $100 million, respectively, and the fair value would exceed the carrying value by 3% and 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5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The estimated fair value of our Paramount+ reporting unit, which exceeded its carrying value by 5% was based on the traded and transaction values of comparable businesses utilizing revenue multiples. A decrease of 0.1x to the multiple, assuming no changes to other factors used in the impairment test, would cause the fair value of the reporting unit to fall below its carrying value by $299 million.</w:t>
      </w:r>
    </w:p>
    <w:p>
      <w:pPr>
        <w:spacing w:after="0" w:line="19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The estimated fair value of our Pluto TV reporting unit, which exceeded its carrying value by 4%, was based on the traded and transaction values of comparable businesses utilizing revenue multiples. A decrease of 0.1x to the multiple, assuming no changes to other factors used in the impairment test, would cause the fair value of the reporting unit to fall below its carrying value by $41 million.</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i w:val="1"/>
          <w:iCs w:val="1"/>
          <w:color w:val="auto"/>
        </w:rPr>
        <w:t>Annual Impairment Tests</w:t>
      </w:r>
      <w:r>
        <w:rPr>
          <w:rFonts w:ascii="Times New Roman" w:cs="Times New Roman" w:eastAsia="Times New Roman" w:hAnsi="Times New Roman"/>
          <w:sz w:val="19"/>
          <w:szCs w:val="19"/>
          <w:color w:val="auto"/>
        </w:rPr>
        <w:t>—For the 2024 annual impairment test, we performed qualitative assessments for all of our reporting units with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goodwill balances. For each reporting unit, we weighed the relative impact of reporting-unit-specific, industry, and macroeconomic factors, and considered changes in each since the second quarter quantitative impairment tests. The reporting unit specific factors that were considered included updated financial forecasts, actual performance and changes to the reporting units’ carrying amounts. For each industry in which the reporting units operate, we considered changes to revenue and earnings multiples of publicly traded companies with operations and economic characteristics comparable to each of our reporting units, growth projections from independent sources and significant developments within the industry. We also considered macroeconomic and market factors, including changes in interest rates and changes in our market capitalization.</w:t>
      </w:r>
    </w:p>
    <w:p>
      <w:pPr>
        <w:spacing w:after="0" w:line="20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Considering the aggregation of all relevant factors, we concluded that it is not more likely than not that the fair values of our reporting units are less than their respective carrying values. Therefore, performing a quantitative impairment test for these reporting units was unnecessary.</w:t>
      </w:r>
    </w:p>
    <w:p>
      <w:pPr>
        <w:spacing w:after="0" w:line="1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Certain future events and circumstances, including deterioration of market conditions, increases in interest rates, and unfavorable impacts to the projections used in the impairment tests for the reporting units discussed above, including from further declines in the linear advertising and affiliate markets, an increased shift by advertisers to competing advertising platforms, changes in consumer behavior, a decrease in audience acceptance of our content and platforms, and delays or difficulties in achieving our profitability goals for our streaming services, could cause the fair values of these reporting units to fall below their respective carrying values and a noncash impairment charge would be required. Such a charge could have a material effect on the Consolidated Statement of Operations and Consolidated Balance Sheet.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FCC Licenses</w:t>
      </w:r>
    </w:p>
    <w:p>
      <w:pPr>
        <w:spacing w:after="0" w:line="16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FCC licenses are tested for impairment at the geographic market level. We consider each geographic market, which is comprised of all of our television stations within that geographic market, to be a single unit of accounting because the FCC licenses at this level represent their highest and best use. At December 31, 2024, we had 14 television markets with FCC license book values, which totaled $2.17 billion.</w:t>
      </w:r>
    </w:p>
    <w:p>
      <w:pPr>
        <w:spacing w:after="0" w:line="1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Quantitative impairment tests for our FCC licenses are performed using the Greenfield Discounted Cash Flow Method, which estimates the fair values of the licenses by valuing a hypothetical start-up station in the relevant market by adding discounted cash flows over a five-year build-up period to a residual value. The assumptions for the build-up period include industry projections of overall market revenues; the start-up station’s operating costs and capital expenditures, which are based on both industry and internal data; and average market share. The discount rate is determined based on the industry and market-based risk of achieving the projected cash flows, and the residual value is calculated using a long-term growth rate, which is based on projected long-range inflation and industry projections.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i w:val="1"/>
          <w:iCs w:val="1"/>
          <w:color w:val="auto"/>
        </w:rPr>
        <w:t>Interim Impairment Tests</w:t>
      </w:r>
      <w:r>
        <w:rPr>
          <w:rFonts w:ascii="Times New Roman" w:cs="Times New Roman" w:eastAsia="Times New Roman" w:hAnsi="Times New Roman"/>
          <w:sz w:val="19"/>
          <w:szCs w:val="19"/>
          <w:color w:val="auto"/>
        </w:rPr>
        <w:t>—For the second quarter of 2024, we assessed the relevant factors that could impact the fair value of our FCC licenses,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including projections by geographic market, and determined that quantitative interim impairment tests were necessary for eight television markets in which we hold FCC licenses. These tests, for which we used a discount rate of 8% and a long-term growth rate of 0%, indicated that the estimated fair values of FCC licenses in two of the eight markets tested were below their respective carrying values. Accordingly, we recorded an impairment charge of $15 million during the three months ended June 30, 2024 to write down the carrying values of these FCC licenses to their aggregate estimated fair value. The impairment charge, which was recorded within the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segment, was primarily the result of recent declines in industry projections.</w:t>
      </w:r>
    </w:p>
    <w:p>
      <w:pPr>
        <w:spacing w:after="0" w:line="19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 xml:space="preserve">For the third quarter of 2024, as a result of a further decline in industry-projected long-term growth rates, we determined that a quantitative interim impairment test was necessary for each of our 14 markets with FCC license book values. The tests indicated that the estimated fair values of FCC licenses in five of the 14 markets were below their respective carrying values. Accordingly, we recorded an impairment charge of $104 million during the three months ended September 30, 2024, to write down the carrying values of FCC licenses in these five markets to their aggregate estimated fair value. The impairment charge, which was recorded within the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segment, was primarily the result of a reduction in the long-term growth rate utilized in the impairment tests to (2)%. The estimated fair values of FCC licenses in the remaining nine markets exceeded their carrying values by more than 10%.</w:t>
      </w:r>
    </w:p>
    <w:p>
      <w:pPr>
        <w:spacing w:after="0" w:line="19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i w:val="1"/>
          <w:iCs w:val="1"/>
          <w:color w:val="auto"/>
        </w:rPr>
        <w:t>Annual Impairment Tests</w:t>
      </w:r>
      <w:r>
        <w:rPr>
          <w:rFonts w:ascii="Times New Roman" w:cs="Times New Roman" w:eastAsia="Times New Roman" w:hAnsi="Times New Roman"/>
          <w:sz w:val="19"/>
          <w:szCs w:val="19"/>
          <w:color w:val="auto"/>
        </w:rPr>
        <w:t>—For the 2024 annual impairment test, we performed qualitative assessments for nine television markets. For each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market, we weighed the relative impact of market-specific and macroeconomic factors as well as the changes in these factors and their impact on discount rates and growth rates since our last quantitative test in the third quarter of 2024. The market-specific factors considered include recent projections by geographic market from both independent and internal sources for revenue and operating costs, as well as average market share. Based on the qualitative assessments, we concluded that it is not more likely than not that the fair values of the FCC licenses in each of these television markets are less than their respective carrying values. Therefore, performing a quantitative impairment test on these markets was unnecessary.</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We performed a quantitative impairment test for the FCC licenses in the remaining five markets. The FCC licenses in these markets were written down to their fair value as of September 30, 2024, in connection with the third quarter 2024 interim impairment test discussed above. The discount rate and the long-term growth rate used in the annual test were 7.5% and (2)%, respectively. The annual impairment tests indicated that the estimated fair values of FCC licenses in each of the markets were below their respective carrying values. Accordingly, we recorded an impairment charge of $22 million within the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segment during the fourth quarter of 2024 to write down the carrying values of these FCC licenses to their aggregate estimated fair value of $1.01 billion. This impairment charge was primarily the result of updated market data. For the five markets tested, an increase to the discount rate of 50 basis points, or a decrease to the long-term growth rate of 50 basis points, assuming no changes to other factors, would cause the aggregate fair value of FCC licenses to fall below the aggregate carrying value by $84 million and $66 million, respectively.</w:t>
      </w:r>
    </w:p>
    <w:p>
      <w:pPr>
        <w:spacing w:after="0" w:line="2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 estimated fair values of FCC licenses are highly dependent on the assumptions of future economic conditions in the individual geographic markets in which we own and operate television stations and long-term projections for advertising revenues. Certain future events and circumstances, including market volatility and increases in interest rates, or a further decline in the local television advertising marketplace could result in a downward revision to our current assumptions and judgments. Various factors may contribute to a future decline in an advertising marketplace, including declines in economic conditions; an other-than-temporary decrease in spending by advertisers in certain industries that have historically represented a significant portion of television advertising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5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revenues in that market; a shift by advertisers to competing advertising platforms; changes in consumer behavior; and/or a change in population size. A further downward revision to the present value of future cash flows could result in an additional impairment and a noncash charge would be required. Such a charge could have a material effect on the Consolidated Statement of Operations and Consolidated Balance Sheet.</w:t>
      </w:r>
    </w:p>
    <w:p>
      <w:pPr>
        <w:spacing w:after="0" w:line="19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 xml:space="preserve">In addition, we performed a quantitative impairment test for our Australian broadcast licenses using the Greenfield Discounted Cash Flow Method, which indicated that the estimated fair value of these licenses was lower than their carrying value. Accordingly, we recorded an impairment charge of $8 million within the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segment to write down the carrying value of these licenses to their estimated fair value of $13 million.</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Legal Matters</w:t>
      </w:r>
    </w:p>
    <w:p>
      <w:pPr>
        <w:spacing w:after="0" w:line="1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Estimates of liabilities related to legal issues and predecessor operations, including asbestos and environmental matters, require significant judgments by management. We record an accrual for a loss contingency when it is both probable that a liability has been incurred and when the amount of the loss can be reasonably estimated. It is difficult to predict long-term future asbestos liabilities as events and circumstances may impact the estimate. The reasonably estimable period for our long-term asbestos liability is 10 years, which we determined in consultation with a third-party firm with expertise in estimating asbestos liability and is due to the inherent uncertainties in the tort litigation system. Our estimated asbestos liability is based upon many factors, including the number of outstanding claims, estimated average cost per claim, the breakdown of claims by disease type, historic claim filings, costs per claim of resolution and the filing of new claims, and is assessed in consultation with the third</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party firm. Based on an assessment of these factors, during the fourth quarters of 2024 and 2023, we increased the accrual for asbestos matters by $57 million and $23 million, respectively, which were recorded as charges in “Restructuring, transaction-related items, and other corporate matters” on the Consolidated Statements of Operations. The increased accrual in each year was primarily the result of a lower-than-expected rate of decline in new claims. Changes in circumstances in future periods could cause our actual liabilities for asbestos and/or environmental matters to be higher or lower than our current accruals. We will continue to evaluate our estimates and update our accruals as needed.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Pensions</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Pension benefit obligations and net periodic pension costs are calculated using many actuarial assumptions. Two key assumptions used in accounting for pension liabilities and expenses are the discount rate and expected rate of return on plan assets. The discount rate is determined based on the yield on a portfolio of high quality bonds, constructed to provide cash flows necessary to meet our pension plans’ expected future benefit payments, as determined for the accumulated benefit obligation. The expected return on plan assets assumption is derived using the current and expected asset allocation of the pension plan assets and considering historical as well as expected returns on various classes of plan assets. As of December 31, 2024, changes in actuarial assumptions resulted in a decrease to accumulated other comprehensive loss compared with the prior year-end due to an increase in the discount rate, which was partially offset by the unfavorable performance of pension plan assets. A 25 basis point change in the discount rate would result in an estimated change to the accumulated benefit obligation of approximately $72 million and would have an insignificant impact on 2025 pension expense. A decrease in the expected rate of return on plan assets would increase pension expense. The estimated impact of a 25 basis point change in the expected rate of return on plan assets is a change of approximately $6 million to 2025 pension expense.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Income Taxes</w:t>
      </w:r>
    </w:p>
    <w:p>
      <w:pPr>
        <w:spacing w:after="0" w:line="15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We are subject to income taxes in both the U.S. and numerous foreign jurisdictions. Significant judgment is required in determining the worldwide provision for income taxes and evaluating our income tax positions. When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recording an interim worldwide provision for income taxes, an estimated effective tax rate for the year is applied to interim operating results. In the event there is a significant or unusual item recognized in the quarterly operating results, the tax attributable to that item is separately calculated and recorded in the same quarter. Deferred tax assets and liabilities are recognized for the estimated future tax effects of temporary differences between the financial statement carrying amounts and their respective tax basis. Deferred tax assets and liabilities are measured using enacted tax rates expected to apply to taxable income in the year in which the temporary differences are expected to be reversed. We evaluate the realizability of deferred tax assets and establish a valuation allowance when it is more likely than not that all or a portion of deferred tax assets will not be realized. While valuation allowances can require significant judgment, we believe the valuation allowance of $655 million at December 31, 2024 properly reduces our deferred tax assets to the amount that is more likely than not to be realized.</w:t>
      </w:r>
    </w:p>
    <w:p>
      <w:pPr>
        <w:spacing w:after="0" w:line="2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A number of years may elapse before a tax return containing tax matters for which a reserve has been established is audited and finally resolved. For positions taken in a previously filed tax return or expected to be taken in a future tax return, we evaluate each position to determine whether it is more likely than not that the tax position will be sustained upon examination, based on the technical merits of the position. A tax position that meets the more-likely-than-not recognition threshold is subject to a measurement assessment to determine the amount of benefit to recognize in the Consolidated Statement of Operations and the appropriate reserve to establish, if any. If a tax position does not meet the more-likely-than-not recognition threshold, a tax reserve is established and no benefit is recognized. We evaluate our uncertain tax positions quarterly based on many factors, including changes in tax laws and interpretations, information received from tax authorities, and other changes in facts and circumstances. Our income tax returns are routinely audited by U.S. federal and state as well as foreign tax authorities. While it is often difficult to predict the final outcome or the timing of resolution of any particular tax matter, we believe that the reserve for uncertain tax positions of $280 million at December 31, 2024 is properly recorded.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Legal Matters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General</w:t>
      </w:r>
    </w:p>
    <w:p>
      <w:pPr>
        <w:spacing w:after="0" w:line="15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On an ongoing basis, we vigorously defend ourselves in numerous lawsuits and proceedings and respond to various investigations and inquiries from federal, state, local and international authorities (collectively, “Litigation”). Litigation may be brought against us without merit, is inherently uncertain and always difficult to predict. However, based on our understanding and evaluation of the relevant facts and circumstances, we believe that the following matters are not likely, in the aggregate, to result in a material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Litigation Relating to the Transactions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In connection with the Transactions, on July 24, 2024, Scott Baker, a purported holder of Class B Common Stock, filed a putative class action lawsuit in the Court of Chancery of the State of Delaware (the “Court”) against NAI, Shari E. Redstone, Barbara M. Byrne, Linda M. Griego, Judith A. McHale, Charles E. Phillips, Jr., Susan Schuman, Skydance and David Ellison (the “Baker Action”). The complaint alleges breaches of fiduciary duties to Class B stockholders in connection with the negotiation and approval of the Transaction Agreement, among other claims, and seeks unspecified damages, costs and expenses, as well as other relief. On November 4, 2024, the Court granted the parties’ stipulation in the Baker Action agreeing to (i) postpone briefing on motions to dismiss until the filing or designation of an operative complaint following the resolution of the plaintiff’s motion to appoint him and the Baerlocher Family Trust, a purported holder of Class B Common Stock, as co-lead plaintiffs and Berger Montague PC as interim class counsel (the “Baker Leadership Motion”), and (ii) stay discovery until the resolution of any motions to dismiss any operative complaint following resolution of the Baker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5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Leadership Motion. Throughout October 2024, various purported stockholders filed motions for intervention to oppose the Baker Leadership Motion. On December 31, 2024, the plaintiff, along with Mark Baerlocher, as trustee for the Baerlocher Family Trust, filed an amended complaint alleging the same breaches of fiduciary duties against the same defendants as in the original complaint.</w:t>
      </w:r>
    </w:p>
    <w:p>
      <w:pPr>
        <w:spacing w:after="0" w:line="19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Further, on April 30, 2024, a purported holder of Class B Common Stock filed a verified complaint for the inspection of books and records under Section 220 of the General Corporation Law of the State of Delaware (the “DGCL”) in the Court against us, seeking the inspection of our books and records in order to investigate whether our Board of Directors, NAI, Shari E. Redstone and/or our executive officers may have breached their fiduciary duties to our stockholders for alleged diversion of corporate opportunities (the “220 Action”). The magistrate judge held a trial on July 24, 2024 relating to the 220 Action and denied the request for the inspection of books and records. The plaintiff in the 220 Action noticed an exception to the Court, and on January 29, 2025, the Court ruled that the plaintiff is entitled to obtain books and records that are both necessary and sufficient to fulfill the purpose of its request. On February 25, 2025, the Court granted an implementing order that returned the 220 Action to the magistrate judge for further proceedings on the scope of production. Certain other purported holders of Class B Common Stock and Class A Common Stock have delivered demand letters to investigate similar alleged breaches of fiduciary duties in connection with the Transactions and are requesting the inspection of books and records. We have also received demand letters from purported holders of Class B Common Stock related to alleged omissions in New Paramount’s registration statement on Form S-4.</w:t>
      </w:r>
    </w:p>
    <w:p>
      <w:pPr>
        <w:spacing w:after="0" w:line="20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Additionally, on August 20, 2024, LiveVideo.AI Corp. filed a lawsuit in the Southern District of New York against Shari E. Redstone, NAI, Christine Varney and Monica Seligman, alleging that defendants did not fairly consider its offer to purchase Paramount. The complaint asserts claims for unfair competition, tortious interference, unjust enrichment and aiding and abetting breach of fiduciary duty, among others, and seeks unspecified monetary damages, costs and other relief. As of the date of this Annual Report on Form 10-K, the defendants have not been served.</w:t>
      </w:r>
    </w:p>
    <w:p>
      <w:pPr>
        <w:spacing w:after="0" w:line="20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On December 30, 2024, a purported holder of Class B Common Stock and Class A Common Stock filed a complaint for the inspection of books and records under Section 220 of the DGCL (the “Section 220 Demand”) in the Court against us to investigate possible breaches of fiduciary duties in connection with the Transactions. The complaint alleges that the documents produced to such purported stockholder thus far pursuant to the Section 220 Demand are insufficient to determine whether our officers, Board of Directors, Special Committee, NAI or Skydance breached their fiduciary duties (or aided and abetted such breaches). The complaint seeks an order requiring us to produce the documents identified in the Section 220 Demand, among other relief. Trial is scheduled for April 2025.</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On February 4, 2025, New York City Employees’ Retirement System, the New York City Fire Department Pension Fund, the New York City Police Pension Fund, the New York City Board Of Education Retirement System, and the Teachers’ Retirement System of the City of New York, purported holders of Class B Common Stock and Class A Common Stock, filed a putative class action lawsuit in the Court against Barbara M. Byrne, Linda M. Griego, Judith A. McHale and Susan Schuman, which alleges breaches of fiduciary duties for their alleged failure to sufficiently consider an alternate offer that the plaintiffs claim is superior to the Transactions (the “NYCERS Action”). The plaintiffs argue that the no-shop provision in the Transaction Agreement should be declared invalid and unenforceable because it prevents the parties from engaging in further deal discussions and negotiations with companies other than Skydance, including, specifically, Project Rise Partners, after the no-shop period begins. The plaintiffs further assert that the Court has the power to invalidate this provision because Skydance allegedly aided and abetted NAI’s and Shari E. Redstone’s breach of fiduciary duties, including by agreeing to indemnify Shari E. Redstone (through Skydance’s separate agreement with NAI) for any breach of</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fiduciary duty claims arising out of the Transactions up to a certain amount. Skydance, NAI, Shari E. Redstone and Paramount are not parties to the action. The NYCERS Action seeks, among other forms of relief, an order from the Court enjoining the closing of the Transactions until the Court has reached a final resolution on the plaintiffs’ claims and an order compelling the Special Committee to evaluate Project Rise Partners’ alternative offer to, among other things, acquire Class A Common Stock for $23.00 per share and Class B Common Stock for $19.00 per share. The Project Rise Partners offer was made after the go-shop period in the Transaction Agreement had ended. The complaint does not seek compensatory damages at this time. The plaintiffs filed a motion for expedited proceedings along with their complaint. On February 18, 2025, the plaintiffs moved to join Paramount and Skydance (and various other entities named in the Transaction Agreement) as necessary parties to the litigation and moved for a temporary restraining order preventing the closing of the Transactions until the Court considers the plaintiffs’ anticipated motion for injunctive relief following expedited discovery. The same day, Project Rise Partners moved the Court to grant it leave to file an affidavit under seal. Oral argument on the plaintiffs’ motion to expedite, motion for a temporary restraining order and motion for joinder, as well as Project Rise Partners’ motion for leave to file an affidavit, is scheduled for March 3, 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Claims Related to Former Businesses</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Asbestos</w:t>
      </w:r>
    </w:p>
    <w:p>
      <w:pPr>
        <w:spacing w:after="0" w:line="14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We are a defendant in lawsuits claiming various personal injuries related to asbestos and other materials, which allegedly occurred as a result of exposure caused by various products manufactured by Westinghouse, a predecessor, generally prior to the early 1970s. Westinghouse was neither a producer nor a manufacturer of asbestos. We are typically named as one of a large number of defendants in both state and federal cases. In the majority of asbestos lawsuits, the plaintiffs have not identified which of our products is the basis of a claim. Claims against us in which a product has been identified most commonly relate to allegations of exposure to asbestos-containing insulating material used in conjunction with turbines and electrical equipment.</w:t>
      </w:r>
    </w:p>
    <w:p>
      <w:pPr>
        <w:spacing w:after="0" w:line="2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Claims are frequently filed and/or settled in groups, which may make the amount and timing of settlements, and the number of pending claims, subject to significant fluctuation from period to period. We do not report as pending those claims on inactive, stayed, deferred or similar dockets that some jurisdictions have established for claimants who allege minimal or no impairment. As of December 31, 2024, we had pending approximately 18,310 asbestos claims, as compared with approximately 19,970 as of December 31, 2023 and 21,580 as of December 31, 2022. During 2024, we received approximately 3,100 new claims and closed or moved to an inactive docket approximately 4,760 claims. We report claims as closed when we become aware that a dismissal order has been entered by a court or when we have reached agreement with the claimants on the material terms of a settlement. Settlement costs depend on the seriousness of the injuries that form the basis of the claims, the quality of evidence supporting the claims and other factors. Our total costs for the years 2024 and 2023 for settlement and defense of asbestos claims after insurance recoveries and net of tax were approximately $34 million and $54 million, respectively. Our costs for settlement and defense of asbestos claims may vary year to year and insurance proceeds are not always recovered in the same period as the insured portion of the expenses.</w:t>
      </w:r>
    </w:p>
    <w:p>
      <w:pPr>
        <w:spacing w:after="0" w:line="200" w:lineRule="exact"/>
        <w:rPr>
          <w:sz w:val="20"/>
          <w:szCs w:val="20"/>
          <w:color w:val="auto"/>
        </w:rPr>
      </w:pPr>
    </w:p>
    <w:p>
      <w:pPr>
        <w:spacing w:after="0" w:line="2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Filings include claims for individuals suffering from mesothelioma, a rare cancer, the risk of which is allegedly increased by exposure to asbestos; lung cancer, a cancer which may be caused by various factors, one of which is alleged to be asbestos exposure; other cancers, and conditions that are substantially less serious, including claims brought on behalf of individuals who are asymptomatic as to an allegedly asbestos-related disease. A significant number of pending claims against us are non-cancer claims. It is difficult to predict long-term future asbestos liabilities, as events and circumstances may impact the estimate. We record an accrual for a loss contingency when it is both probable that a liability has been incurred and when the amount of the loss can be reasonably estimated. The reasonably estimable period for our long-term asbestos liability is 10 years, which we determined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in consultation with a third-party firm with expertise in estimating asbestos liability and is due to the inherent uncertainties in the tort litigation system. Our estimated asbestos liability is based upon many factors, including the number of outstanding claims, estimated average cost per claim, the breakdown of claims by disease type, historic claim filings, costs per claim of resolution and the filing of new claims, and is assessed in consultation with the third-party firm. Based on an assessment of these factors during the fourth quarters of 2024 and 2023, we increased the accrual for asbestos matters by $57 million and $23 million, respectively, which were recorded as charges in “Restructuring, transaction-related items, and other corporate matters” on the Consolidated Statements of Operations. The increased accrual in each year was primarily the result of a lower-than-expected rate of decline in new claims. Changes in circumstances in future periods could cause our actual liabilities to be higher or lower than our current accrual. We will continue to evaluate our estimates and update our accrual as needed.</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i w:val="1"/>
          <w:iCs w:val="1"/>
          <w:color w:val="auto"/>
        </w:rPr>
        <w:t>Other</w:t>
      </w:r>
    </w:p>
    <w:p>
      <w:pPr>
        <w:spacing w:after="0" w:line="1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From time to time, we receive claims from federal and state environmental regulatory agencies and other entities asserting that we are or may be liable for environmental cleanup costs and related damages principally relating to our historical and predecessor operations. In addition, from time to time we receive personal injury claims including toxic tort and product liability claims (other than asbestos) arising from our historical operations and predecessors. While we believe that our accruals for these matters are adequate, there can be no assurance that circumstances will not change in future periods and, as a result, our actual liabilities may be higher or lower than our accrual.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Market Risk</w:t>
      </w:r>
    </w:p>
    <w:p>
      <w:pPr>
        <w:spacing w:after="0" w:line="15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We are exposed to fluctuations in foreign currency exchange rates and interest rates and use derivative financial instruments to manage this exposure. In accordance with our policy, we do not use derivative instruments unless there is an underlying exposure and, therefore, we do not hold or enter into derivative financial instruments for speculative trading purposes.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Foreign Exchange Risk</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We conduct business in various countries outside the U.S., resulting in exposure to movements in foreign exchange rates when translating from the foreign local currency to the U.S. dollar. In order to manage this exposure for currencies such as the British pound, the euro, the Canadian dollar and the Australian dollar, we enter into foreign currency forward contracts for periods generally up to 24 months. We designate forward contracts used to hedge committed and forecasted foreign currency transactions, including future production costs and programming obligations, as cash flow hedges. Gains or losses on the effective portion of designated cash flow hedges are initially recorded in other comprehensive income (loss) and reclassified to the statement of operations when the hedged item is recognized. We also enter into non-designated forward contracts to hedge non-U.S. dollar denominated assets, liabilities, and cash flows. The change in fair value of the non-designated contracts is included in “Other items, net” on the Consolidated Statements of Operations. We manage the use of foreign exchange derivatives centrally.</w:t>
      </w:r>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In the third quarter of 2024, we entered into a foreign currency option contract to mitigate the exchange rate risk of the Indian rupee-denominated sale of our interest in Viacom18. The option contract had a notional amount of 42.86 billion Indian rupees and was settled upon closing of the transaction in November 2024. Changes in the fair value of this hedge, which was a loss of $5 million for the year ended December 31, 2024, were recognized in “Other items, net” on the Consolidated Statement of Operations.</w:t>
      </w:r>
    </w:p>
    <w:p>
      <w:pPr>
        <w:spacing w:after="0" w:line="20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At December 31, 2024 and 2023, the notional amount of all foreign currency contracts was $2.75 billion and $2.72 billion, respectively. For 2024, $2.39 billion related to future production costs and $358 million related to</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5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our foreign currency assets and liabilities. For 2023, $2.20 billion related to future production costs and $523 million related to our foreign currency assets and liabilities.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Interest Risk</w:t>
      </w:r>
    </w:p>
    <w:p>
      <w:pPr>
        <w:spacing w:after="0" w:line="15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Interest rates on future long-term debt issuances are exposed to risk related to movements in long-term interest rates. Interest rate hedges may be used to modify this exposure at our discretion. There were no interest rate hedges outstanding at December 31, 2024 or 2023, but in the future we may use derivatives to manage our exposure to interest rates.</w:t>
      </w:r>
    </w:p>
    <w:p>
      <w:pPr>
        <w:spacing w:after="0" w:line="1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At December 31, 2024, the carrying value of our outstanding notes and debentures was $14.50 billion and the fair value was $13.3 billion. A 1% increase or decrease in interest rates would decrease or increase the fair value of our notes and debentures by approximately $1.29 billion and $764 million, respectively.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Credit Risk</w:t>
      </w:r>
    </w:p>
    <w:p>
      <w:pPr>
        <w:spacing w:after="0" w:line="3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We continually monitor our positions with, and credit quality of, the financial institutions that are counterparties to our financial instruments. We are exposed to credit loss in the event of nonperformance by the counterparties to the agreements. However, we do not anticipate nonperformance by the counterparties.</w:t>
      </w:r>
    </w:p>
    <w:p>
      <w:pPr>
        <w:spacing w:after="0" w:line="18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Our receivables do not represent significant concentrations of credit risk at December 31, 2024 or 2023, due to the wide variety of customers, markets and geographic areas to which our products and services are sold.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Related Parties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See Note 6 to the consolidated financial statements.</w:t>
      </w:r>
    </w:p>
    <w:p>
      <w:pPr>
        <w:spacing w:after="0" w:line="241" w:lineRule="exact"/>
        <w:rPr>
          <w:sz w:val="20"/>
          <w:szCs w:val="20"/>
          <w:color w:val="auto"/>
        </w:rPr>
      </w:pPr>
    </w:p>
    <w:p>
      <w:pPr>
        <w:ind w:right="3100"/>
        <w:spacing w:after="0" w:line="464" w:lineRule="auto"/>
        <w:rPr>
          <w:sz w:val="20"/>
          <w:szCs w:val="20"/>
          <w:color w:val="auto"/>
        </w:rPr>
      </w:pPr>
      <w:r>
        <w:rPr>
          <w:rFonts w:ascii="Times New Roman" w:cs="Times New Roman" w:eastAsia="Times New Roman" w:hAnsi="Times New Roman"/>
          <w:sz w:val="19"/>
          <w:szCs w:val="19"/>
          <w:b w:val="1"/>
          <w:bCs w:val="1"/>
          <w:color w:val="auto"/>
        </w:rPr>
        <w:t xml:space="preserve">Recently Adopted Accounting Pronouncements and Accounting Pronouncements Not Yet Adopted </w:t>
      </w:r>
      <w:r>
        <w:rPr>
          <w:rFonts w:ascii="Times New Roman" w:cs="Times New Roman" w:eastAsia="Times New Roman" w:hAnsi="Times New Roman"/>
          <w:sz w:val="19"/>
          <w:szCs w:val="19"/>
          <w:color w:val="auto"/>
        </w:rPr>
        <w:t>See Note 1 to the consolidated financial statements.</w:t>
      </w:r>
    </w:p>
    <w:p>
      <w:pPr>
        <w:spacing w:after="0" w:line="16"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7A.</w:t>
      </w:r>
      <w:r>
        <w:rPr>
          <w:sz w:val="20"/>
          <w:szCs w:val="20"/>
          <w:color w:val="auto"/>
        </w:rPr>
        <w:tab/>
      </w:r>
      <w:r>
        <w:rPr>
          <w:rFonts w:ascii="Times New Roman" w:cs="Times New Roman" w:eastAsia="Times New Roman" w:hAnsi="Times New Roman"/>
          <w:sz w:val="19"/>
          <w:szCs w:val="19"/>
          <w:b w:val="1"/>
          <w:bCs w:val="1"/>
          <w:i w:val="1"/>
          <w:iCs w:val="1"/>
          <w:color w:val="auto"/>
        </w:rPr>
        <w:t>Quantitative and Qualitative Disclosures About Market Risk.</w:t>
      </w:r>
    </w:p>
    <w:p>
      <w:pPr>
        <w:spacing w:after="0" w:line="26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Information required by this item is presented in “Item 7. Management’s Discussion and Analysis of Results of Operations and Financial Condition—Market Risk.”</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82" w:name="page83"/>
    <w:bookmarkEnd w:id="82"/>
    <w:p>
      <w:pPr>
        <w:ind w:left="20"/>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8.</w:t>
      </w:r>
      <w:r>
        <w:rPr>
          <w:sz w:val="20"/>
          <w:szCs w:val="20"/>
          <w:color w:val="auto"/>
        </w:rPr>
        <w:tab/>
      </w:r>
      <w:r>
        <w:rPr>
          <w:rFonts w:ascii="Times New Roman" w:cs="Times New Roman" w:eastAsia="Times New Roman" w:hAnsi="Times New Roman"/>
          <w:sz w:val="19"/>
          <w:szCs w:val="19"/>
          <w:b w:val="1"/>
          <w:bCs w:val="1"/>
          <w:i w:val="1"/>
          <w:iCs w:val="1"/>
          <w:color w:val="auto"/>
        </w:rPr>
        <w:t>Financial Statements and Supplementary Data.</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INDEX TO FINANCIAL STATEMENTS AND SCHEDULE</w:t>
      </w:r>
    </w:p>
    <w:p>
      <w:pPr>
        <w:spacing w:after="0" w:line="1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The following Consolidated Financial Statements and schedule of the registrant and its subsidiaries are submitted herewith as part of this report:</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9840" w:type="dxa"/>
            <w:vAlign w:val="bottom"/>
            <w:gridSpan w:val="10"/>
            <w:vMerge w:val="restart"/>
          </w:tcPr>
          <w:p>
            <w:pPr>
              <w:spacing w:after="0"/>
              <w:rPr>
                <w:sz w:val="20"/>
                <w:szCs w:val="20"/>
                <w:color w:val="auto"/>
              </w:rPr>
            </w:pPr>
            <w:r>
              <w:rPr>
                <w:rFonts w:ascii="Times New Roman" w:cs="Times New Roman" w:eastAsia="Times New Roman" w:hAnsi="Times New Roman"/>
                <w:sz w:val="19"/>
                <w:szCs w:val="19"/>
                <w:color w:val="auto"/>
              </w:rPr>
              <w:t>Item 15(a)(1) Financial Statements:</w:t>
            </w:r>
          </w:p>
        </w:tc>
        <w:tc>
          <w:tcPr>
            <w:tcW w:w="5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9"/>
                <w:szCs w:val="19"/>
                <w:color w:val="auto"/>
                <w:w w:val="86"/>
              </w:rPr>
              <w:t>Page</w:t>
            </w:r>
          </w:p>
        </w:tc>
        <w:tc>
          <w:tcPr>
            <w:tcW w:w="0" w:type="dxa"/>
            <w:vAlign w:val="bottom"/>
          </w:tcPr>
          <w:p>
            <w:pPr>
              <w:spacing w:after="0"/>
              <w:rPr>
                <w:sz w:val="1"/>
                <w:szCs w:val="1"/>
                <w:color w:val="auto"/>
              </w:rPr>
            </w:pPr>
          </w:p>
        </w:tc>
      </w:tr>
      <w:tr>
        <w:trPr>
          <w:trHeight w:val="226"/>
        </w:trPr>
        <w:tc>
          <w:tcPr>
            <w:tcW w:w="9840" w:type="dxa"/>
            <w:vAlign w:val="bottom"/>
            <w:gridSpan w:val="10"/>
            <w:vMerge w:val="continue"/>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80" w:type="dxa"/>
            <w:vAlign w:val="bottom"/>
          </w:tcPr>
          <w:p>
            <w:pPr>
              <w:spacing w:after="0" w:line="208" w:lineRule="exact"/>
              <w:rPr>
                <w:sz w:val="20"/>
                <w:szCs w:val="20"/>
                <w:color w:val="auto"/>
              </w:rPr>
            </w:pPr>
            <w:r>
              <w:rPr>
                <w:rFonts w:ascii="Times New Roman" w:cs="Times New Roman" w:eastAsia="Times New Roman" w:hAnsi="Times New Roman"/>
                <w:sz w:val="19"/>
                <w:szCs w:val="19"/>
                <w:color w:val="auto"/>
              </w:rPr>
              <w:t>1.</w:t>
            </w:r>
          </w:p>
        </w:tc>
        <w:tc>
          <w:tcPr>
            <w:tcW w:w="8960" w:type="dxa"/>
            <w:vAlign w:val="bottom"/>
            <w:gridSpan w:val="9"/>
          </w:tcPr>
          <w:p>
            <w:pPr>
              <w:spacing w:after="0" w:line="208" w:lineRule="exact"/>
              <w:rPr>
                <w:sz w:val="20"/>
                <w:szCs w:val="20"/>
                <w:color w:val="auto"/>
              </w:rPr>
            </w:pPr>
            <w:r>
              <w:rPr>
                <w:rFonts w:ascii="Times New Roman" w:cs="Times New Roman" w:eastAsia="Times New Roman" w:hAnsi="Times New Roman"/>
                <w:sz w:val="19"/>
                <w:szCs w:val="19"/>
                <w:color w:val="0000FF"/>
              </w:rPr>
              <w:t>Management’s Report on Internal Control Over Financial Reporting</w:t>
            </w:r>
          </w:p>
        </w:tc>
        <w:tc>
          <w:tcPr>
            <w:tcW w:w="1380" w:type="dxa"/>
            <w:vAlign w:val="bottom"/>
            <w:gridSpan w:val="3"/>
          </w:tcPr>
          <w:p>
            <w:pPr>
              <w:jc w:val="center"/>
              <w:spacing w:after="0" w:line="208" w:lineRule="exact"/>
              <w:rPr>
                <w:sz w:val="20"/>
                <w:szCs w:val="20"/>
                <w:color w:val="auto"/>
              </w:rPr>
            </w:pPr>
            <w:r>
              <w:rPr>
                <w:rFonts w:ascii="Times New Roman" w:cs="Times New Roman" w:eastAsia="Times New Roman" w:hAnsi="Times New Roman"/>
                <w:sz w:val="19"/>
                <w:szCs w:val="19"/>
                <w:color w:val="421BFF"/>
                <w:w w:val="99"/>
              </w:rPr>
              <w:t>II-39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2.</w:t>
            </w:r>
          </w:p>
        </w:tc>
        <w:tc>
          <w:tcPr>
            <w:tcW w:w="8960" w:type="dxa"/>
            <w:vAlign w:val="bottom"/>
            <w:gridSpan w:val="9"/>
          </w:tcPr>
          <w:p>
            <w:pPr>
              <w:spacing w:after="0"/>
              <w:rPr>
                <w:sz w:val="20"/>
                <w:szCs w:val="20"/>
                <w:color w:val="auto"/>
              </w:rPr>
            </w:pPr>
            <w:r>
              <w:rPr>
                <w:rFonts w:ascii="Times New Roman" w:cs="Times New Roman" w:eastAsia="Times New Roman" w:hAnsi="Times New Roman"/>
                <w:sz w:val="19"/>
                <w:szCs w:val="19"/>
                <w:color w:val="0000FF"/>
              </w:rPr>
              <w:t xml:space="preserve">Report of Independent Registered Public Accounting Firm </w:t>
            </w:r>
            <w:r>
              <w:rPr>
                <w:rFonts w:ascii="Times New Roman" w:cs="Times New Roman" w:eastAsia="Times New Roman" w:hAnsi="Times New Roman"/>
                <w:sz w:val="19"/>
                <w:szCs w:val="19"/>
                <w:color w:val="000000"/>
              </w:rPr>
              <w:t>(PCAOB ID: 238)</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421BFF"/>
                <w:w w:val="99"/>
              </w:rPr>
              <w:t>II-40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3.</w:t>
            </w:r>
          </w:p>
        </w:tc>
        <w:tc>
          <w:tcPr>
            <w:tcW w:w="7400" w:type="dxa"/>
            <w:vAlign w:val="bottom"/>
            <w:gridSpan w:val="6"/>
          </w:tcPr>
          <w:p>
            <w:pPr>
              <w:spacing w:after="0"/>
              <w:rPr>
                <w:sz w:val="20"/>
                <w:szCs w:val="20"/>
                <w:color w:val="auto"/>
              </w:rPr>
            </w:pPr>
            <w:r>
              <w:rPr>
                <w:rFonts w:ascii="Times New Roman" w:cs="Times New Roman" w:eastAsia="Times New Roman" w:hAnsi="Times New Roman"/>
                <w:sz w:val="19"/>
                <w:szCs w:val="19"/>
                <w:color w:val="0000FF"/>
              </w:rPr>
              <w:t>Consolidated Statements of Operations for the years ended December 31, 2024, 2023 and 2022</w:t>
            </w:r>
          </w:p>
        </w:tc>
        <w:tc>
          <w:tcPr>
            <w:tcW w:w="1560" w:type="dxa"/>
            <w:vAlign w:val="bottom"/>
            <w:gridSpan w:val="3"/>
          </w:tcPr>
          <w:p>
            <w:pPr>
              <w:spacing w:after="0"/>
              <w:rPr>
                <w:sz w:val="20"/>
                <w:szCs w:val="20"/>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421BFF"/>
                <w:w w:val="99"/>
              </w:rPr>
              <w:t>II-43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4.</w:t>
            </w:r>
          </w:p>
        </w:tc>
        <w:tc>
          <w:tcPr>
            <w:tcW w:w="8960" w:type="dxa"/>
            <w:vAlign w:val="bottom"/>
            <w:gridSpan w:val="9"/>
          </w:tcPr>
          <w:p>
            <w:pPr>
              <w:spacing w:after="0"/>
              <w:rPr>
                <w:sz w:val="20"/>
                <w:szCs w:val="20"/>
                <w:color w:val="auto"/>
              </w:rPr>
            </w:pPr>
            <w:r>
              <w:rPr>
                <w:rFonts w:ascii="Times New Roman" w:cs="Times New Roman" w:eastAsia="Times New Roman" w:hAnsi="Times New Roman"/>
                <w:sz w:val="19"/>
                <w:szCs w:val="19"/>
                <w:color w:val="0000FF"/>
              </w:rPr>
              <w:t>Consolidated Statements of Comprehensive Income for the years ended December 31, 2024, 2023 and 2022</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421BFF"/>
                <w:w w:val="99"/>
              </w:rPr>
              <w:t>II-44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5.</w:t>
            </w:r>
          </w:p>
        </w:tc>
        <w:tc>
          <w:tcPr>
            <w:tcW w:w="8380" w:type="dxa"/>
            <w:vAlign w:val="bottom"/>
            <w:gridSpan w:val="8"/>
          </w:tcPr>
          <w:p>
            <w:pPr>
              <w:spacing w:after="0"/>
              <w:rPr>
                <w:sz w:val="20"/>
                <w:szCs w:val="20"/>
                <w:color w:val="auto"/>
              </w:rPr>
            </w:pPr>
            <w:r>
              <w:rPr>
                <w:rFonts w:ascii="Times New Roman" w:cs="Times New Roman" w:eastAsia="Times New Roman" w:hAnsi="Times New Roman"/>
                <w:sz w:val="19"/>
                <w:szCs w:val="19"/>
                <w:color w:val="0000FF"/>
              </w:rPr>
              <w:t>Consolidated Balance Sheets at December 31, 2024 and 2023</w:t>
            </w:r>
          </w:p>
        </w:tc>
        <w:tc>
          <w:tcPr>
            <w:tcW w:w="580" w:type="dxa"/>
            <w:vAlign w:val="bottom"/>
          </w:tcPr>
          <w:p>
            <w:pPr>
              <w:spacing w:after="0"/>
              <w:rPr>
                <w:sz w:val="20"/>
                <w:szCs w:val="20"/>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421BFF"/>
                <w:w w:val="99"/>
              </w:rPr>
              <w:t>II-45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6.</w:t>
            </w:r>
          </w:p>
        </w:tc>
        <w:tc>
          <w:tcPr>
            <w:tcW w:w="7400" w:type="dxa"/>
            <w:vAlign w:val="bottom"/>
            <w:gridSpan w:val="6"/>
          </w:tcPr>
          <w:p>
            <w:pPr>
              <w:spacing w:after="0"/>
              <w:rPr>
                <w:sz w:val="20"/>
                <w:szCs w:val="20"/>
                <w:color w:val="auto"/>
              </w:rPr>
            </w:pPr>
            <w:r>
              <w:rPr>
                <w:rFonts w:ascii="Times New Roman" w:cs="Times New Roman" w:eastAsia="Times New Roman" w:hAnsi="Times New Roman"/>
                <w:sz w:val="19"/>
                <w:szCs w:val="19"/>
                <w:color w:val="0000FF"/>
              </w:rPr>
              <w:t>Consolidated Statements of Cash Flows for the years ended December 31, 2024, 2023 and 2022</w:t>
            </w:r>
          </w:p>
        </w:tc>
        <w:tc>
          <w:tcPr>
            <w:tcW w:w="1560" w:type="dxa"/>
            <w:vAlign w:val="bottom"/>
            <w:gridSpan w:val="3"/>
          </w:tcPr>
          <w:p>
            <w:pPr>
              <w:spacing w:after="0"/>
              <w:rPr>
                <w:sz w:val="20"/>
                <w:szCs w:val="20"/>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421BFF"/>
                <w:w w:val="99"/>
              </w:rPr>
              <w:t>II-46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7.</w:t>
            </w:r>
          </w:p>
        </w:tc>
        <w:tc>
          <w:tcPr>
            <w:tcW w:w="8960" w:type="dxa"/>
            <w:vAlign w:val="bottom"/>
            <w:gridSpan w:val="9"/>
          </w:tcPr>
          <w:p>
            <w:pPr>
              <w:spacing w:after="0"/>
              <w:rPr>
                <w:sz w:val="20"/>
                <w:szCs w:val="20"/>
                <w:color w:val="auto"/>
              </w:rPr>
            </w:pPr>
            <w:r>
              <w:rPr>
                <w:rFonts w:ascii="Times New Roman" w:cs="Times New Roman" w:eastAsia="Times New Roman" w:hAnsi="Times New Roman"/>
                <w:sz w:val="19"/>
                <w:szCs w:val="19"/>
                <w:color w:val="0000FF"/>
              </w:rPr>
              <w:t>Consolidated Statements of Stockholders’ Equity for the years ended December 31, 2024, 2023 and 2022</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421BFF"/>
                <w:w w:val="99"/>
              </w:rPr>
              <w:t>II-47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3920" w:type="dxa"/>
            <w:vAlign w:val="bottom"/>
            <w:gridSpan w:val="4"/>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8.</w:t>
            </w:r>
          </w:p>
        </w:tc>
        <w:tc>
          <w:tcPr>
            <w:tcW w:w="3400" w:type="dxa"/>
            <w:vAlign w:val="bottom"/>
          </w:tcPr>
          <w:p>
            <w:pPr>
              <w:spacing w:after="0"/>
              <w:rPr>
                <w:sz w:val="20"/>
                <w:szCs w:val="20"/>
                <w:color w:val="auto"/>
              </w:rPr>
            </w:pPr>
            <w:r>
              <w:rPr>
                <w:rFonts w:ascii="Times New Roman" w:cs="Times New Roman" w:eastAsia="Times New Roman" w:hAnsi="Times New Roman"/>
                <w:sz w:val="19"/>
                <w:szCs w:val="19"/>
                <w:color w:val="0000FF"/>
              </w:rPr>
              <w:t>Notes to Consolidated Financial Statements</w:t>
            </w:r>
          </w:p>
        </w:tc>
        <w:tc>
          <w:tcPr>
            <w:tcW w:w="4780" w:type="dxa"/>
            <w:vAlign w:val="bottom"/>
            <w:gridSpan w:val="6"/>
          </w:tcPr>
          <w:p>
            <w:pPr>
              <w:spacing w:after="0"/>
              <w:rPr>
                <w:sz w:val="20"/>
                <w:szCs w:val="20"/>
                <w:color w:val="auto"/>
              </w:rPr>
            </w:pPr>
          </w:p>
        </w:tc>
        <w:tc>
          <w:tcPr>
            <w:tcW w:w="780" w:type="dxa"/>
            <w:vAlign w:val="bottom"/>
            <w:gridSpan w:val="2"/>
          </w:tcPr>
          <w:p>
            <w:pPr>
              <w:spacing w:after="0"/>
              <w:rPr>
                <w:sz w:val="20"/>
                <w:szCs w:val="20"/>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421BFF"/>
                <w:w w:val="99"/>
              </w:rPr>
              <w:t>II-48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9840" w:type="dxa"/>
            <w:vAlign w:val="bottom"/>
            <w:gridSpan w:val="10"/>
          </w:tcPr>
          <w:p>
            <w:pPr>
              <w:spacing w:after="0"/>
              <w:rPr>
                <w:sz w:val="20"/>
                <w:szCs w:val="20"/>
                <w:color w:val="auto"/>
              </w:rPr>
            </w:pPr>
            <w:r>
              <w:rPr>
                <w:rFonts w:ascii="Times New Roman" w:cs="Times New Roman" w:eastAsia="Times New Roman" w:hAnsi="Times New Roman"/>
                <w:sz w:val="19"/>
                <w:szCs w:val="19"/>
                <w:color w:val="auto"/>
              </w:rPr>
              <w:t>Item 15(a)(2) Financial Statement Schedule:</w:t>
            </w: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880" w:type="dxa"/>
            <w:vAlign w:val="bottom"/>
          </w:tcPr>
          <w:p>
            <w:pPr>
              <w:spacing w:after="0"/>
              <w:rPr>
                <w:sz w:val="18"/>
                <w:szCs w:val="18"/>
                <w:color w:val="auto"/>
              </w:rPr>
            </w:pPr>
          </w:p>
        </w:tc>
        <w:tc>
          <w:tcPr>
            <w:tcW w:w="8960" w:type="dxa"/>
            <w:vAlign w:val="bottom"/>
            <w:gridSpan w:val="9"/>
          </w:tcPr>
          <w:p>
            <w:pPr>
              <w:spacing w:after="0" w:line="208" w:lineRule="exact"/>
              <w:rPr>
                <w:sz w:val="20"/>
                <w:szCs w:val="20"/>
                <w:color w:val="auto"/>
              </w:rPr>
            </w:pPr>
            <w:r>
              <w:rPr>
                <w:rFonts w:ascii="Times New Roman" w:cs="Times New Roman" w:eastAsia="Times New Roman" w:hAnsi="Times New Roman"/>
                <w:sz w:val="19"/>
                <w:szCs w:val="19"/>
                <w:color w:val="0000FF"/>
              </w:rPr>
              <w:t>II. Valuation and Qualifying Accounts for the years ended December 31, 2024, 2023 and 2022</w:t>
            </w:r>
          </w:p>
        </w:tc>
        <w:tc>
          <w:tcPr>
            <w:tcW w:w="560" w:type="dxa"/>
            <w:vAlign w:val="bottom"/>
          </w:tcPr>
          <w:p>
            <w:pPr>
              <w:spacing w:after="0"/>
              <w:rPr>
                <w:sz w:val="18"/>
                <w:szCs w:val="18"/>
                <w:color w:val="auto"/>
              </w:rPr>
            </w:pPr>
          </w:p>
        </w:tc>
        <w:tc>
          <w:tcPr>
            <w:tcW w:w="820" w:type="dxa"/>
            <w:vAlign w:val="bottom"/>
            <w:gridSpan w:val="2"/>
          </w:tcPr>
          <w:p>
            <w:pPr>
              <w:jc w:val="center"/>
              <w:ind w:right="560"/>
              <w:spacing w:after="0" w:line="208" w:lineRule="exact"/>
              <w:rPr>
                <w:sz w:val="20"/>
                <w:szCs w:val="20"/>
                <w:color w:val="auto"/>
              </w:rPr>
            </w:pPr>
            <w:r>
              <w:rPr>
                <w:rFonts w:ascii="Times New Roman" w:cs="Times New Roman" w:eastAsia="Times New Roman" w:hAnsi="Times New Roman"/>
                <w:sz w:val="19"/>
                <w:szCs w:val="19"/>
                <w:color w:val="421BFF"/>
                <w:w w:val="98"/>
              </w:rPr>
              <w:t>F-1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All other Schedules are omitted since the required information is not present or is not present in amounts sufficient to require submission of the schedule.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9"/>
          <w:szCs w:val="19"/>
          <w:b w:val="1"/>
          <w:bCs w:val="1"/>
          <w:color w:val="auto"/>
        </w:rPr>
        <w:t>MANAGEMENT’ S REPORT ON INTERNAL CONTROL OVER FINANCIAL REPORTING</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Management is responsible for establishing and maintaining adequate internal control over financial reporting and for the effectiveness of internal control over financial reporting, as such term is defined in Rule 13a-15(f) or Rule 15d-15(f) of the Exchange Act. Paramount Global and its subsidiaries’ (the “Company”) internal control over financial reporting includes those policies and procedures that (a) pertain to the maintenance of records that, in reasonable detail, accurately and fairly reflect the transactions and disposition of assets; (b) 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the directors of the Company; and (c) provide reasonable assurance regarding prevention or timely detection of unauthorized acquisition, use or disposition of the Company’s assets that could have a material effect on the financial statements.</w:t>
      </w:r>
    </w:p>
    <w:p>
      <w:pPr>
        <w:spacing w:after="0" w:line="20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Management conducted an evaluation of the effectiveness of the Company’s internal control over financial reporting as of December 31, 2024 based on the framework set forth in </w:t>
      </w:r>
      <w:r>
        <w:rPr>
          <w:rFonts w:ascii="Times New Roman" w:cs="Times New Roman" w:eastAsia="Times New Roman" w:hAnsi="Times New Roman"/>
          <w:sz w:val="19"/>
          <w:szCs w:val="19"/>
          <w:i w:val="1"/>
          <w:iCs w:val="1"/>
          <w:color w:val="auto"/>
        </w:rPr>
        <w:t>Internal Control—Integrated Framework (2013)</w:t>
      </w:r>
      <w:r>
        <w:rPr>
          <w:rFonts w:ascii="Times New Roman" w:cs="Times New Roman" w:eastAsia="Times New Roman" w:hAnsi="Times New Roman"/>
          <w:sz w:val="19"/>
          <w:szCs w:val="19"/>
          <w:color w:val="auto"/>
        </w:rPr>
        <w:t xml:space="preserve"> issued by the Committee of Sponsoring Organizations of the Treadway Commission. Based on this evaluation, management concluded that the Company’s internal control over financial reporting was effective as of December 31, 2024.</w:t>
      </w:r>
    </w:p>
    <w:p>
      <w:pPr>
        <w:spacing w:after="0" w:line="20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The effectiveness of our internal control over financial reporting as of December 31, 2024 has been audited by PricewaterhouseCoopers LLP, an independent registered public accounting firm, as stated in their report which is included herein.</w:t>
      </w:r>
    </w:p>
    <w:p>
      <w:pPr>
        <w:spacing w:after="0" w:line="9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9"/>
          <w:szCs w:val="19"/>
          <w:b w:val="1"/>
          <w:bCs w:val="1"/>
          <w:color w:val="auto"/>
        </w:rPr>
        <w:t>PARAMOUNT GLOBAL</w:t>
      </w:r>
    </w:p>
    <w:p>
      <w:pPr>
        <w:spacing w:after="0" w:line="200" w:lineRule="exact"/>
        <w:rPr>
          <w:sz w:val="20"/>
          <w:szCs w:val="20"/>
          <w:color w:val="auto"/>
        </w:rPr>
      </w:pPr>
    </w:p>
    <w:p>
      <w:pPr>
        <w:spacing w:after="0" w:line="367" w:lineRule="exact"/>
        <w:rPr>
          <w:sz w:val="20"/>
          <w:szCs w:val="20"/>
          <w:color w:val="auto"/>
        </w:rPr>
      </w:pPr>
    </w:p>
    <w:p>
      <w:pPr>
        <w:ind w:left="6620"/>
        <w:spacing w:after="0"/>
        <w:tabs>
          <w:tab w:leader="none" w:pos="794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/s/ Christopher D.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27305</wp:posOffset>
            </wp:positionV>
            <wp:extent cx="27514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7"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9"/>
          <w:szCs w:val="19"/>
          <w:color w:val="auto"/>
        </w:rPr>
        <w:t>Christopher D. McCarthy</w:t>
      </w:r>
    </w:p>
    <w:p>
      <w:pPr>
        <w:spacing w:after="0" w:line="2"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9"/>
          <w:szCs w:val="19"/>
          <w:i w:val="1"/>
          <w:iCs w:val="1"/>
          <w:color w:val="auto"/>
        </w:rPr>
        <w:t>Office of the Chief Executive Officer</w:t>
      </w:r>
    </w:p>
    <w:p>
      <w:pPr>
        <w:spacing w:after="0" w:line="200" w:lineRule="exact"/>
        <w:rPr>
          <w:sz w:val="20"/>
          <w:szCs w:val="20"/>
          <w:color w:val="auto"/>
        </w:rPr>
      </w:pPr>
    </w:p>
    <w:p>
      <w:pPr>
        <w:spacing w:after="0" w:line="328" w:lineRule="exact"/>
        <w:rPr>
          <w:sz w:val="20"/>
          <w:szCs w:val="20"/>
          <w:color w:val="auto"/>
        </w:rPr>
      </w:pPr>
    </w:p>
    <w:p>
      <w:pPr>
        <w:ind w:left="6620"/>
        <w:spacing w:after="0"/>
        <w:tabs>
          <w:tab w:leader="none" w:pos="834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/s/ Naveen Chopra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27305</wp:posOffset>
            </wp:positionV>
            <wp:extent cx="27514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7"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9"/>
          <w:szCs w:val="19"/>
          <w:color w:val="auto"/>
        </w:rPr>
        <w:t>Naveen Chopra</w:t>
      </w:r>
    </w:p>
    <w:p>
      <w:pPr>
        <w:ind w:left="8100"/>
        <w:spacing w:after="0" w:line="206" w:lineRule="auto"/>
        <w:rPr>
          <w:sz w:val="20"/>
          <w:szCs w:val="20"/>
          <w:color w:val="auto"/>
        </w:rPr>
      </w:pPr>
      <w:r>
        <w:rPr>
          <w:rFonts w:ascii="Times New Roman" w:cs="Times New Roman" w:eastAsia="Times New Roman" w:hAnsi="Times New Roman"/>
          <w:sz w:val="19"/>
          <w:szCs w:val="19"/>
          <w:i w:val="1"/>
          <w:iCs w:val="1"/>
          <w:color w:val="auto"/>
        </w:rPr>
        <w:t>Executive Vice President,</w:t>
      </w:r>
    </w:p>
    <w:p>
      <w:pPr>
        <w:ind w:left="8160"/>
        <w:spacing w:after="0"/>
        <w:rPr>
          <w:sz w:val="20"/>
          <w:szCs w:val="20"/>
          <w:color w:val="auto"/>
        </w:rPr>
      </w:pPr>
      <w:r>
        <w:rPr>
          <w:rFonts w:ascii="Times New Roman" w:cs="Times New Roman" w:eastAsia="Times New Roman" w:hAnsi="Times New Roman"/>
          <w:sz w:val="19"/>
          <w:szCs w:val="19"/>
          <w:i w:val="1"/>
          <w:iCs w:val="1"/>
          <w:color w:val="auto"/>
        </w:rPr>
        <w:t>Chief Financial Officer</w:t>
      </w:r>
    </w:p>
    <w:p>
      <w:pPr>
        <w:spacing w:after="0" w:line="200" w:lineRule="exact"/>
        <w:rPr>
          <w:sz w:val="20"/>
          <w:szCs w:val="20"/>
          <w:color w:val="auto"/>
        </w:rPr>
      </w:pPr>
    </w:p>
    <w:p>
      <w:pPr>
        <w:spacing w:after="0" w:line="341" w:lineRule="exact"/>
        <w:rPr>
          <w:sz w:val="20"/>
          <w:szCs w:val="20"/>
          <w:color w:val="auto"/>
        </w:rPr>
      </w:pPr>
    </w:p>
    <w:p>
      <w:pPr>
        <w:ind w:left="6620"/>
        <w:spacing w:after="0"/>
        <w:tabs>
          <w:tab w:leader="none" w:pos="806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/s/ Katherine Gill-Charest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27305</wp:posOffset>
            </wp:positionV>
            <wp:extent cx="27514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7"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9"/>
          <w:szCs w:val="19"/>
          <w:color w:val="auto"/>
        </w:rPr>
        <w:t>Katherine Gill-Charest</w:t>
      </w:r>
    </w:p>
    <w:p>
      <w:pPr>
        <w:ind w:left="7500"/>
        <w:spacing w:after="0" w:line="206" w:lineRule="auto"/>
        <w:rPr>
          <w:sz w:val="20"/>
          <w:szCs w:val="20"/>
          <w:color w:val="auto"/>
        </w:rPr>
      </w:pPr>
      <w:r>
        <w:rPr>
          <w:rFonts w:ascii="Times New Roman" w:cs="Times New Roman" w:eastAsia="Times New Roman" w:hAnsi="Times New Roman"/>
          <w:sz w:val="19"/>
          <w:szCs w:val="19"/>
          <w:i w:val="1"/>
          <w:iCs w:val="1"/>
          <w:color w:val="auto"/>
        </w:rPr>
        <w:t>Executive Vice President, Controller and</w:t>
      </w:r>
    </w:p>
    <w:p>
      <w:pPr>
        <w:ind w:left="8100"/>
        <w:spacing w:after="0"/>
        <w:rPr>
          <w:sz w:val="20"/>
          <w:szCs w:val="20"/>
          <w:color w:val="auto"/>
        </w:rPr>
      </w:pPr>
      <w:r>
        <w:rPr>
          <w:rFonts w:ascii="Times New Roman" w:cs="Times New Roman" w:eastAsia="Times New Roman" w:hAnsi="Times New Roman"/>
          <w:sz w:val="19"/>
          <w:szCs w:val="19"/>
          <w:i w:val="1"/>
          <w:iCs w:val="1"/>
          <w:color w:val="auto"/>
        </w:rPr>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84" w:name="page85"/>
    <w:bookmarkEnd w:id="84"/>
    <w:p>
      <w:pPr>
        <w:ind w:right="3180" w:firstLine="3187"/>
        <w:spacing w:after="0" w:line="304" w:lineRule="auto"/>
        <w:rPr>
          <w:sz w:val="20"/>
          <w:szCs w:val="20"/>
          <w:color w:val="auto"/>
        </w:rPr>
      </w:pPr>
      <w:r>
        <w:rPr>
          <w:rFonts w:ascii="Times New Roman" w:cs="Times New Roman" w:eastAsia="Times New Roman" w:hAnsi="Times New Roman"/>
          <w:sz w:val="19"/>
          <w:szCs w:val="19"/>
          <w:b w:val="1"/>
          <w:bCs w:val="1"/>
          <w:color w:val="auto"/>
        </w:rPr>
        <w:t xml:space="preserve">Report of Independent Registered Public Accounting Firm </w:t>
      </w:r>
      <w:r>
        <w:rPr>
          <w:rFonts w:ascii="Times New Roman" w:cs="Times New Roman" w:eastAsia="Times New Roman" w:hAnsi="Times New Roman"/>
          <w:sz w:val="19"/>
          <w:szCs w:val="19"/>
          <w:color w:val="auto"/>
        </w:rPr>
        <w:t>To the Board of Directors and Stockholders of Paramount Global</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Opinions on the Financial Statements and Internal Control over Financial Reporting</w:t>
      </w:r>
    </w:p>
    <w:p>
      <w:pPr>
        <w:spacing w:after="0" w:line="15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 xml:space="preserve">We have audited the accompanying consolidated balance sheets of Paramount Global and its subsidiaries (the “Company”) as of December 31, 2024 and 2023, and the related consolidated statements of operations, of comprehensive income, of stockholders’ equity, and of cash flows for each of the three years in the period ended December 31, 2024, including the related notes and financial statement schedule listed in the accompanying index (collectively referred to as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9"/>
          <w:szCs w:val="19"/>
          <w:i w:val="1"/>
          <w:iCs w:val="1"/>
          <w:color w:val="auto"/>
        </w:rPr>
        <w:t>Internal Control - Integrated Framework</w:t>
      </w:r>
      <w:r>
        <w:rPr>
          <w:rFonts w:ascii="Times New Roman" w:cs="Times New Roman" w:eastAsia="Times New Roman" w:hAnsi="Times New Roman"/>
          <w:sz w:val="19"/>
          <w:szCs w:val="19"/>
          <w:color w:val="auto"/>
        </w:rPr>
        <w:t xml:space="preserve"> (2013) issued by the Committee of Sponsoring Organizations of the Treadway Commission (COSO).</w:t>
      </w:r>
    </w:p>
    <w:p>
      <w:pPr>
        <w:spacing w:after="0" w:line="19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9"/>
          <w:szCs w:val="19"/>
          <w:i w:val="1"/>
          <w:iCs w:val="1"/>
          <w:color w:val="auto"/>
        </w:rPr>
        <w:t>Internal Control - Integrated Framework</w:t>
      </w:r>
      <w:r>
        <w:rPr>
          <w:rFonts w:ascii="Times New Roman" w:cs="Times New Roman" w:eastAsia="Times New Roman" w:hAnsi="Times New Roman"/>
          <w:sz w:val="19"/>
          <w:szCs w:val="19"/>
          <w:color w:val="auto"/>
        </w:rPr>
        <w:t xml:space="preserve"> (2013) issued by the COSO.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Basis for Opinions</w:t>
      </w:r>
    </w:p>
    <w:p>
      <w:pPr>
        <w:spacing w:after="0" w:line="2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PCAOB.</w:t>
      </w:r>
    </w:p>
    <w:p>
      <w:pPr>
        <w:spacing w:after="0" w:line="23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9"/>
          <w:szCs w:val="19"/>
          <w:b w:val="1"/>
          <w:bCs w:val="1"/>
          <w:i w:val="1"/>
          <w:iCs w:val="1"/>
          <w:color w:val="auto"/>
        </w:rPr>
        <w:t>Definition and Limitations of Internal Control over Financial Reporting</w:t>
      </w:r>
    </w:p>
    <w:p>
      <w:pPr>
        <w:spacing w:after="0" w:line="2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Critical Audit Matters</w:t>
      </w:r>
    </w:p>
    <w:p>
      <w:pPr>
        <w:spacing w:after="0" w:line="2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Amortization of Certain Internally-Produced Television Programming Costs</w:t>
      </w:r>
    </w:p>
    <w:p>
      <w:pPr>
        <w:spacing w:after="0" w:line="2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As described in Notes 1 and 3 to the consolidated financial statements, programming that is expected to be predominantly monetized through licensing and distribution on third-party platforms is considered individually monetized and programming that is expected to be predominantly monetized on the Company's networks and streaming services together with other programming, is considered to be monetized as part of a film group. The Company's amortization of internally-produced television and film programming costs with individual monetization and film group monetization was $6.51 billion for the year ended December 31, 2024, a majority of which is attributable to the amortization of certain internally-produced television programming costs. For internally-produced television programs that are predominantly monetized on an individual basis, management uses an individual-film-forecast computation method to amortize capitalized production costs over the applicable title’s life cycle based upon the ratio of current period revenues to estimated remaining total gross revenues to be earned (“Ultimate Revenues”) for each title. For internally-produced television programming that is predominantly monetized as part of a film group, capitalized costs are amortized based on management’s estimate of the timing of the Company’s usage of and benefit from such programming.</w:t>
      </w:r>
    </w:p>
    <w:p>
      <w:pPr>
        <w:spacing w:after="0" w:line="21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The principal consideration for our determination that performing procedures relating to amortization of certain internally-produced television programming costs is a critical audit matter is a high degree of auditor effort in performing procedures related to the amortization of certain internally-produced television programming costs monetized individually and as part of a film group.</w:t>
      </w:r>
    </w:p>
    <w:p>
      <w:pPr>
        <w:spacing w:after="0" w:line="19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Addressing the matter involved performing procedures and evaluating audit evidence in connection with forming our overall opinion on the consolidated financial statements. These procedures included testing the effectiveness of controls relating to the amortization of certain internally-produced television programming costs. These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86" w:name="page87"/>
    <w:bookmarkEnd w:id="86"/>
    <w:p>
      <w:pPr>
        <w:jc w:val="both"/>
        <w:spacing w:after="0" w:line="263" w:lineRule="auto"/>
        <w:rPr>
          <w:sz w:val="20"/>
          <w:szCs w:val="20"/>
          <w:color w:val="auto"/>
        </w:rPr>
      </w:pPr>
      <w:r>
        <w:rPr>
          <w:rFonts w:ascii="Times New Roman" w:cs="Times New Roman" w:eastAsia="Times New Roman" w:hAnsi="Times New Roman"/>
          <w:sz w:val="19"/>
          <w:szCs w:val="19"/>
          <w:color w:val="auto"/>
        </w:rPr>
        <w:t>procedures also included, among others (i) recalculating the amortization of certain internally-produced television programming costs on a sample basis and (ii) evaluating, on a test basis, whether the method used to amortize certain internally-produced television programming costs is reasonable by considering either a) information related to past performance of similar television programs in a market, the performance in the initial markets, and future firm commitments to license programs for programming monetized on an individual basis, or b) information related to estimated timing of the usage of content for television programming monetized as part of a film group. Procedures were also performed to test the completeness and accuracy of management's data used in the amortization of certain internally-produced television programming costs.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PricewaterhouseCoopers LLP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New York, New York</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26, 2025</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served as the Company’s or its predecessor’s auditor since 1970.</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87" w:name="page88"/>
    <w:bookmarkEnd w:id="87"/>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9"/>
          <w:szCs w:val="19"/>
          <w:b w:val="1"/>
          <w:bCs w:val="1"/>
          <w:color w:val="auto"/>
        </w:rPr>
        <w:t>CONSOLIDATED STATEMENTS OF OPERATIONS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millions, except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84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2240" w:type="dxa"/>
            <w:vAlign w:val="bottom"/>
            <w:tcBorders>
              <w:top w:val="single" w:sz="8" w:color="auto"/>
              <w:bottom w:val="single" w:sz="8" w:color="auto"/>
            </w:tcBorders>
            <w:gridSpan w:val="3"/>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960" w:type="dxa"/>
            <w:vAlign w:val="bottom"/>
            <w:tcBorders>
              <w:top w:val="single" w:sz="8" w:color="auto"/>
              <w:bottom w:val="single" w:sz="8" w:color="auto"/>
            </w:tcBorders>
          </w:tcPr>
          <w:p>
            <w:pPr>
              <w:spacing w:after="0"/>
              <w:rPr>
                <w:sz w:val="21"/>
                <w:szCs w:val="21"/>
                <w:color w:val="auto"/>
              </w:rPr>
            </w:pPr>
          </w:p>
        </w:tc>
      </w:tr>
      <w:tr>
        <w:trPr>
          <w:trHeight w:val="218"/>
        </w:trPr>
        <w:tc>
          <w:tcPr>
            <w:tcW w:w="68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8"/>
        </w:trPr>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29,213</w:t>
            </w: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29,652</w:t>
            </w:r>
          </w:p>
        </w:tc>
        <w:tc>
          <w:tcPr>
            <w:tcW w:w="4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30,154</w:t>
            </w:r>
          </w:p>
        </w:tc>
      </w:tr>
      <w:tr>
        <w:trPr>
          <w:trHeight w:val="21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5"/>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19,437</w:t>
            </w:r>
          </w:p>
        </w:tc>
        <w:tc>
          <w:tcPr>
            <w:tcW w:w="64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20,017</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19,845</w:t>
            </w:r>
          </w:p>
        </w:tc>
      </w:tr>
      <w:tr>
        <w:trPr>
          <w:trHeight w:val="225"/>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Programming charges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64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2,371</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6,658</w:t>
            </w:r>
          </w:p>
        </w:tc>
        <w:tc>
          <w:tcPr>
            <w:tcW w:w="64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7,245</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7,033</w:t>
            </w:r>
          </w:p>
        </w:tc>
      </w:tr>
      <w:tr>
        <w:trPr>
          <w:trHeight w:val="225"/>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64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418</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25"/>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64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83</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6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Restructuring, transaction-related items, and other corporate matters</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6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(31)</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13"/>
        </w:trPr>
        <w:tc>
          <w:tcPr>
            <w:tcW w:w="6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34,482</w:t>
            </w:r>
          </w:p>
        </w:tc>
        <w:tc>
          <w:tcPr>
            <w:tcW w:w="640" w:type="dxa"/>
            <w:vAlign w:val="bottom"/>
          </w:tcPr>
          <w:p>
            <w:pPr>
              <w:spacing w:after="0"/>
              <w:rPr>
                <w:sz w:val="18"/>
                <w:szCs w:val="18"/>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30,103</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27,868</w:t>
            </w:r>
          </w:p>
        </w:tc>
      </w:tr>
      <w:tr>
        <w:trPr>
          <w:trHeight w:val="230"/>
        </w:trPr>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Gains on dispositions</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(5,269)</w:t>
            </w:r>
          </w:p>
        </w:tc>
        <w:tc>
          <w:tcPr>
            <w:tcW w:w="640" w:type="dxa"/>
            <w:vAlign w:val="bottom"/>
          </w:tcPr>
          <w:p>
            <w:pPr>
              <w:spacing w:after="0"/>
              <w:rPr>
                <w:sz w:val="18"/>
                <w:szCs w:val="18"/>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(451)</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r>
      <w:tr>
        <w:trPr>
          <w:trHeight w:val="225"/>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640" w:type="dxa"/>
            <w:vAlign w:val="bottom"/>
          </w:tcPr>
          <w:p>
            <w:pPr>
              <w:spacing w:after="0"/>
              <w:rPr>
                <w:sz w:val="19"/>
                <w:szCs w:val="19"/>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(920)</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225"/>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64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137</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5"/>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from investments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4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168</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5"/>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29</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6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(216)</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166"/>
        </w:trPr>
        <w:tc>
          <w:tcPr>
            <w:tcW w:w="6840" w:type="dxa"/>
            <w:vAlign w:val="bottom"/>
          </w:tcPr>
          <w:p>
            <w:pPr>
              <w:ind w:left="20"/>
              <w:spacing w:after="0" w:line="165" w:lineRule="exact"/>
              <w:rPr>
                <w:sz w:val="20"/>
                <w:szCs w:val="20"/>
                <w:color w:val="auto"/>
              </w:rPr>
            </w:pPr>
            <w:r>
              <w:rPr>
                <w:rFonts w:ascii="Times New Roman" w:cs="Times New Roman" w:eastAsia="Times New Roman" w:hAnsi="Times New Roman"/>
                <w:sz w:val="18"/>
                <w:szCs w:val="18"/>
                <w:color w:val="auto"/>
              </w:rPr>
              <w:t>Earnings (loss) from continuing operations before income taxes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33"/>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equity in loss of investee companies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640" w:type="dxa"/>
            <w:vAlign w:val="bottom"/>
          </w:tcPr>
          <w:p>
            <w:pPr>
              <w:spacing w:after="0"/>
              <w:rPr>
                <w:sz w:val="20"/>
                <w:szCs w:val="20"/>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(1,253)</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r>
      <w:tr>
        <w:trPr>
          <w:trHeight w:val="225"/>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64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361</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30"/>
        </w:trPr>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Equity in loss of investee companies, net of tax</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6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(360)</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1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 from continuing operations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(6,163)</w:t>
            </w:r>
          </w:p>
        </w:tc>
        <w:tc>
          <w:tcPr>
            <w:tcW w:w="640" w:type="dxa"/>
            <w:vAlign w:val="bottom"/>
          </w:tcPr>
          <w:p>
            <w:pPr>
              <w:spacing w:after="0"/>
              <w:rPr>
                <w:sz w:val="18"/>
                <w:szCs w:val="18"/>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(1,252)</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30"/>
        </w:trPr>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 from discontinued operations, net of tax</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676</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1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 (Paramount and noncontrolling interests)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640" w:type="dxa"/>
            <w:vAlign w:val="bottom"/>
          </w:tcPr>
          <w:p>
            <w:pPr>
              <w:spacing w:after="0"/>
              <w:rPr>
                <w:sz w:val="18"/>
                <w:szCs w:val="18"/>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(576)</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r>
      <w:tr>
        <w:trPr>
          <w:trHeight w:val="230"/>
        </w:trPr>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noncontrolling interests</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(32)</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5"/>
        </w:trPr>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 (loss) attributable to Paramount</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(608)</w:t>
            </w:r>
          </w:p>
        </w:tc>
        <w:tc>
          <w:tcPr>
            <w:tcW w:w="4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r>
      <w:tr>
        <w:trPr>
          <w:trHeight w:val="260"/>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attributable to Paramount:</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5"/>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(loss) from continuing operations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(6,204)</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(1,284)</w:t>
            </w: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r>
      <w:tr>
        <w:trPr>
          <w:trHeight w:val="230"/>
        </w:trPr>
        <w:tc>
          <w:tcPr>
            <w:tcW w:w="6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earnings from discontinued operations, net of tax</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676</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25"/>
        </w:trPr>
        <w:tc>
          <w:tcPr>
            <w:tcW w:w="6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earnings (loss) attributable to Paramount</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(608)</w:t>
            </w:r>
          </w:p>
        </w:tc>
        <w:tc>
          <w:tcPr>
            <w:tcW w:w="4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r>
      <w:tr>
        <w:trPr>
          <w:trHeight w:val="300"/>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earnings (loss) per common share attributable to Paramount:</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5"/>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(loss) from continuing operations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(2.06)</w:t>
            </w: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5"/>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from discontinued operations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1"/>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(loss)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(1.02)</w:t>
            </w: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312"/>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earnings (loss) per common share attributable to Paramount:</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5"/>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(loss) from continuing operations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(2.06)</w:t>
            </w: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5"/>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from discontinued operations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1"/>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(loss)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(1.02)</w:t>
            </w: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312"/>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5"/>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64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652</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37"/>
        </w:trPr>
        <w:tc>
          <w:tcPr>
            <w:tcW w:w="6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6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652</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r>
    </w:tbl>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88" w:name="page89"/>
    <w:bookmarkEnd w:id="88"/>
    <w:p>
      <w:pPr>
        <w:ind w:left="356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b w:val="1"/>
          <w:bCs w:val="1"/>
          <w:color w:val="auto"/>
        </w:rPr>
        <w:t>CONSOLIDATED STATEMENTS OF COMPREHENSIVE INCOME</w:t>
      </w:r>
    </w:p>
    <w:p>
      <w:pPr>
        <w:spacing w:after="0" w:line="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4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7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top w:val="single" w:sz="8" w:color="auto"/>
              <w:bottom w:val="single" w:sz="8" w:color="auto"/>
            </w:tcBorders>
          </w:tcPr>
          <w:p>
            <w:pPr>
              <w:spacing w:after="0"/>
              <w:rPr>
                <w:sz w:val="21"/>
                <w:szCs w:val="21"/>
                <w:color w:val="auto"/>
              </w:rPr>
            </w:pPr>
          </w:p>
        </w:tc>
      </w:tr>
      <w:tr>
        <w:trPr>
          <w:trHeight w:val="219"/>
        </w:trPr>
        <w:tc>
          <w:tcPr>
            <w:tcW w:w="74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8"/>
        </w:trPr>
        <w:tc>
          <w:tcPr>
            <w:tcW w:w="7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earnings (loss) (Paramount and noncontrolling interests)</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(6,149)</w:t>
            </w:r>
          </w:p>
        </w:tc>
        <w:tc>
          <w:tcPr>
            <w:tcW w:w="3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(576)</w:t>
            </w:r>
          </w:p>
        </w:tc>
        <w:tc>
          <w:tcPr>
            <w:tcW w:w="4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w:t>
            </w:r>
          </w:p>
        </w:tc>
      </w:tr>
      <w:tr>
        <w:trPr>
          <w:trHeight w:val="213"/>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5"/>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24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(156)</w:t>
            </w:r>
          </w:p>
        </w:tc>
        <w:tc>
          <w:tcPr>
            <w:tcW w:w="340" w:type="dxa"/>
            <w:vAlign w:val="bottom"/>
          </w:tcPr>
          <w:p>
            <w:pPr>
              <w:spacing w:after="0"/>
              <w:rPr>
                <w:sz w:val="19"/>
                <w:szCs w:val="19"/>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179</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30"/>
        </w:trPr>
        <w:tc>
          <w:tcPr>
            <w:tcW w:w="7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Decrease to net actuarial loss and prior service costs</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45</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165"/>
        </w:trPr>
        <w:tc>
          <w:tcPr>
            <w:tcW w:w="7420" w:type="dxa"/>
            <w:vAlign w:val="bottom"/>
          </w:tcPr>
          <w:p>
            <w:pPr>
              <w:spacing w:after="0" w:line="165" w:lineRule="exact"/>
              <w:rPr>
                <w:sz w:val="20"/>
                <w:szCs w:val="20"/>
                <w:color w:val="auto"/>
              </w:rPr>
            </w:pPr>
            <w:r>
              <w:rPr>
                <w:rFonts w:ascii="Times New Roman" w:cs="Times New Roman" w:eastAsia="Times New Roman" w:hAnsi="Times New Roman"/>
                <w:sz w:val="18"/>
                <w:szCs w:val="18"/>
                <w:color w:val="auto"/>
              </w:rPr>
              <w:t>Other comprehensive income (loss) from continuing operations, net of tax</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33"/>
        </w:trPr>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(Paramount and noncontrolling interests)</w:t>
            </w:r>
          </w:p>
        </w:tc>
        <w:tc>
          <w:tcPr>
            <w:tcW w:w="24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Pr>
          <w:p>
            <w:pPr>
              <w:spacing w:after="0"/>
              <w:rPr>
                <w:sz w:val="20"/>
                <w:szCs w:val="2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224</w:t>
            </w: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7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from discontinued operations</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3"/>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(6,200)</w:t>
            </w:r>
          </w:p>
        </w:tc>
        <w:tc>
          <w:tcPr>
            <w:tcW w:w="34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(322)</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r>
      <w:tr>
        <w:trPr>
          <w:trHeight w:val="230"/>
        </w:trPr>
        <w:tc>
          <w:tcPr>
            <w:tcW w:w="7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35</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5"/>
        </w:trPr>
        <w:tc>
          <w:tcPr>
            <w:tcW w:w="7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Paramount</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(6,238)</w:t>
            </w:r>
          </w:p>
        </w:tc>
        <w:tc>
          <w:tcPr>
            <w:tcW w:w="3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(357)</w:t>
            </w:r>
          </w:p>
        </w:tc>
        <w:tc>
          <w:tcPr>
            <w:tcW w:w="4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w:t>
            </w:r>
          </w:p>
        </w:tc>
      </w:tr>
    </w:tbl>
    <w:p>
      <w:pPr>
        <w:spacing w:after="0" w:line="1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II-44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81915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60" w:top="1067" w:right="359" w:bottom="1440" w:gutter="0" w:footer="0" w:header="0"/>
        </w:sectPr>
      </w:pPr>
    </w:p>
    <w:bookmarkStart w:id="89" w:name="page90"/>
    <w:bookmarkEnd w:id="89"/>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9"/>
          <w:szCs w:val="19"/>
          <w:b w:val="1"/>
          <w:bCs w:val="1"/>
          <w:color w:val="auto"/>
        </w:rPr>
        <w:t>CONSOLIDATED BALANCE SHEETS</w:t>
      </w:r>
    </w:p>
    <w:p>
      <w:pPr>
        <w:spacing w:after="0" w:line="3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b w:val="1"/>
          <w:bCs w:val="1"/>
          <w:color w:val="auto"/>
        </w:rPr>
        <w:t>(In millions, except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6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840" w:type="dxa"/>
            <w:vAlign w:val="bottom"/>
            <w:tcBorders>
              <w:top w:val="single" w:sz="8" w:color="auto"/>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At December 31,</w:t>
            </w:r>
          </w:p>
        </w:tc>
        <w:tc>
          <w:tcPr>
            <w:tcW w:w="8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76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2,661</w:t>
            </w:r>
          </w:p>
        </w:tc>
        <w:tc>
          <w:tcPr>
            <w:tcW w:w="66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Receivables, net</w:t>
            </w:r>
          </w:p>
        </w:tc>
        <w:tc>
          <w:tcPr>
            <w:tcW w:w="240" w:type="dxa"/>
            <w:vAlign w:val="bottom"/>
          </w:tcPr>
          <w:p>
            <w:pPr>
              <w:spacing w:after="0"/>
              <w:rPr>
                <w:sz w:val="18"/>
                <w:szCs w:val="18"/>
                <w:color w:val="auto"/>
              </w:rPr>
            </w:pPr>
          </w:p>
        </w:tc>
        <w:tc>
          <w:tcPr>
            <w:tcW w:w="11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6,920</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Programming and other inventory</w:t>
            </w:r>
          </w:p>
        </w:tc>
        <w:tc>
          <w:tcPr>
            <w:tcW w:w="240" w:type="dxa"/>
            <w:vAlign w:val="bottom"/>
          </w:tcPr>
          <w:p>
            <w:pPr>
              <w:spacing w:after="0"/>
              <w:rPr>
                <w:sz w:val="18"/>
                <w:szCs w:val="18"/>
                <w:color w:val="auto"/>
              </w:rPr>
            </w:pPr>
          </w:p>
        </w:tc>
        <w:tc>
          <w:tcPr>
            <w:tcW w:w="11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1,429</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Pr>
          <w:p>
            <w:pPr>
              <w:spacing w:after="0"/>
              <w:rPr>
                <w:sz w:val="18"/>
                <w:szCs w:val="18"/>
                <w:color w:val="auto"/>
              </w:rPr>
            </w:pPr>
          </w:p>
        </w:tc>
        <w:tc>
          <w:tcPr>
            <w:tcW w:w="11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1,532</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Current assets of discontinued operations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12,542</w:t>
            </w:r>
          </w:p>
        </w:tc>
        <w:tc>
          <w:tcPr>
            <w:tcW w:w="6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12,703</w:t>
            </w:r>
          </w:p>
        </w:tc>
        <w:tc>
          <w:tcPr>
            <w:tcW w:w="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tcPr>
          <w:p>
            <w:pPr>
              <w:spacing w:after="0"/>
              <w:rPr>
                <w:sz w:val="17"/>
                <w:szCs w:val="17"/>
                <w:color w:val="auto"/>
              </w:rPr>
            </w:pPr>
          </w:p>
        </w:tc>
        <w:tc>
          <w:tcPr>
            <w:tcW w:w="11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1,566</w:t>
            </w:r>
          </w:p>
        </w:tc>
        <w:tc>
          <w:tcPr>
            <w:tcW w:w="6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Programming and other inventory</w:t>
            </w:r>
          </w:p>
        </w:tc>
        <w:tc>
          <w:tcPr>
            <w:tcW w:w="240" w:type="dxa"/>
            <w:vAlign w:val="bottom"/>
          </w:tcPr>
          <w:p>
            <w:pPr>
              <w:spacing w:after="0"/>
              <w:rPr>
                <w:sz w:val="18"/>
                <w:szCs w:val="18"/>
                <w:color w:val="auto"/>
              </w:rPr>
            </w:pPr>
          </w:p>
        </w:tc>
        <w:tc>
          <w:tcPr>
            <w:tcW w:w="11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13,924</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8"/>
                <w:szCs w:val="18"/>
                <w:color w:val="auto"/>
              </w:rPr>
            </w:pPr>
          </w:p>
        </w:tc>
        <w:tc>
          <w:tcPr>
            <w:tcW w:w="11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10,508</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16,516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tcPr>
          <w:p>
            <w:pPr>
              <w:spacing w:after="0"/>
              <w:rPr>
                <w:sz w:val="18"/>
                <w:szCs w:val="18"/>
                <w:color w:val="auto"/>
              </w:rPr>
            </w:pPr>
          </w:p>
        </w:tc>
        <w:tc>
          <w:tcPr>
            <w:tcW w:w="11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2,406</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assets</w:t>
            </w:r>
          </w:p>
        </w:tc>
        <w:tc>
          <w:tcPr>
            <w:tcW w:w="240" w:type="dxa"/>
            <w:vAlign w:val="bottom"/>
          </w:tcPr>
          <w:p>
            <w:pPr>
              <w:spacing w:after="0"/>
              <w:rPr>
                <w:sz w:val="18"/>
                <w:szCs w:val="18"/>
                <w:color w:val="auto"/>
              </w:rPr>
            </w:pPr>
          </w:p>
        </w:tc>
        <w:tc>
          <w:tcPr>
            <w:tcW w:w="11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1,012</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 assets, net</w:t>
            </w:r>
          </w:p>
        </w:tc>
        <w:tc>
          <w:tcPr>
            <w:tcW w:w="240" w:type="dxa"/>
            <w:vAlign w:val="bottom"/>
          </w:tcPr>
          <w:p>
            <w:pPr>
              <w:spacing w:after="0"/>
              <w:rPr>
                <w:sz w:val="18"/>
                <w:szCs w:val="18"/>
                <w:color w:val="auto"/>
              </w:rPr>
            </w:pPr>
          </w:p>
        </w:tc>
        <w:tc>
          <w:tcPr>
            <w:tcW w:w="11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1,386</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2,828</w:t>
            </w:r>
          </w:p>
        </w:tc>
        <w:tc>
          <w:tcPr>
            <w:tcW w:w="6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3,793</w:t>
            </w:r>
          </w:p>
        </w:tc>
        <w:tc>
          <w:tcPr>
            <w:tcW w:w="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46,172</w:t>
            </w:r>
          </w:p>
        </w:tc>
        <w:tc>
          <w:tcPr>
            <w:tcW w:w="66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53,543</w:t>
            </w:r>
          </w:p>
        </w:tc>
        <w:tc>
          <w:tcPr>
            <w:tcW w:w="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w:t>
            </w:r>
            <w:r>
              <w:rPr>
                <w:rFonts w:ascii="Times New Roman" w:cs="Times New Roman" w:eastAsia="Times New Roman" w:hAnsi="Times New Roman"/>
                <w:sz w:val="19"/>
                <w:szCs w:val="19"/>
                <w:color w:val="auto"/>
              </w:rPr>
              <w:t>’</w:t>
            </w:r>
            <w:r>
              <w:rPr>
                <w:rFonts w:ascii="Times New Roman" w:cs="Times New Roman" w:eastAsia="Times New Roman" w:hAnsi="Times New Roman"/>
                <w:sz w:val="16"/>
                <w:szCs w:val="16"/>
                <w:b w:val="1"/>
                <w:bCs w:val="1"/>
                <w:color w:val="auto"/>
              </w:rPr>
              <w:t xml:space="preserve"> EQUITY</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953</w:t>
            </w:r>
          </w:p>
        </w:tc>
        <w:tc>
          <w:tcPr>
            <w:tcW w:w="66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expenses</w:t>
            </w:r>
          </w:p>
        </w:tc>
        <w:tc>
          <w:tcPr>
            <w:tcW w:w="240" w:type="dxa"/>
            <w:vAlign w:val="bottom"/>
          </w:tcPr>
          <w:p>
            <w:pPr>
              <w:spacing w:after="0"/>
              <w:rPr>
                <w:sz w:val="18"/>
                <w:szCs w:val="18"/>
                <w:color w:val="auto"/>
              </w:rPr>
            </w:pPr>
          </w:p>
        </w:tc>
        <w:tc>
          <w:tcPr>
            <w:tcW w:w="11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2,199</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Participants’ share and royalties payable</w:t>
            </w:r>
          </w:p>
        </w:tc>
        <w:tc>
          <w:tcPr>
            <w:tcW w:w="240" w:type="dxa"/>
            <w:vAlign w:val="bottom"/>
          </w:tcPr>
          <w:p>
            <w:pPr>
              <w:spacing w:after="0"/>
              <w:rPr>
                <w:sz w:val="18"/>
                <w:szCs w:val="18"/>
                <w:color w:val="auto"/>
              </w:rPr>
            </w:pPr>
          </w:p>
        </w:tc>
        <w:tc>
          <w:tcPr>
            <w:tcW w:w="11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2,574</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programming and production costs</w:t>
            </w:r>
          </w:p>
        </w:tc>
        <w:tc>
          <w:tcPr>
            <w:tcW w:w="240" w:type="dxa"/>
            <w:vAlign w:val="bottom"/>
          </w:tcPr>
          <w:p>
            <w:pPr>
              <w:spacing w:after="0"/>
              <w:rPr>
                <w:sz w:val="18"/>
                <w:szCs w:val="18"/>
                <w:color w:val="auto"/>
              </w:rPr>
            </w:pPr>
          </w:p>
        </w:tc>
        <w:tc>
          <w:tcPr>
            <w:tcW w:w="11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1,720</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revenues</w:t>
            </w:r>
          </w:p>
        </w:tc>
        <w:tc>
          <w:tcPr>
            <w:tcW w:w="240" w:type="dxa"/>
            <w:vAlign w:val="bottom"/>
          </w:tcPr>
          <w:p>
            <w:pPr>
              <w:spacing w:after="0"/>
              <w:rPr>
                <w:sz w:val="18"/>
                <w:szCs w:val="18"/>
                <w:color w:val="auto"/>
              </w:rPr>
            </w:pPr>
          </w:p>
        </w:tc>
        <w:tc>
          <w:tcPr>
            <w:tcW w:w="11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825</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Debt</w:t>
            </w:r>
          </w:p>
        </w:tc>
        <w:tc>
          <w:tcPr>
            <w:tcW w:w="240" w:type="dxa"/>
            <w:vAlign w:val="bottom"/>
          </w:tcPr>
          <w:p>
            <w:pPr>
              <w:spacing w:after="0"/>
              <w:rPr>
                <w:sz w:val="18"/>
                <w:szCs w:val="18"/>
                <w:color w:val="auto"/>
              </w:rPr>
            </w:pPr>
          </w:p>
        </w:tc>
        <w:tc>
          <w:tcPr>
            <w:tcW w:w="11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1,360</w:t>
            </w:r>
          </w:p>
        </w:tc>
        <w:tc>
          <w:tcPr>
            <w:tcW w:w="6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9,631</w:t>
            </w:r>
          </w:p>
        </w:tc>
        <w:tc>
          <w:tcPr>
            <w:tcW w:w="6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9,656</w:t>
            </w:r>
          </w:p>
        </w:tc>
        <w:tc>
          <w:tcPr>
            <w:tcW w:w="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tcPr>
          <w:p>
            <w:pPr>
              <w:spacing w:after="0"/>
              <w:rPr>
                <w:sz w:val="17"/>
                <w:szCs w:val="17"/>
                <w:color w:val="auto"/>
              </w:rPr>
            </w:pPr>
          </w:p>
        </w:tc>
        <w:tc>
          <w:tcPr>
            <w:tcW w:w="11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14,501</w:t>
            </w:r>
          </w:p>
        </w:tc>
        <w:tc>
          <w:tcPr>
            <w:tcW w:w="6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14,601</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Participants’ share and royalties payable</w:t>
            </w:r>
          </w:p>
        </w:tc>
        <w:tc>
          <w:tcPr>
            <w:tcW w:w="240" w:type="dxa"/>
            <w:vAlign w:val="bottom"/>
          </w:tcPr>
          <w:p>
            <w:pPr>
              <w:spacing w:after="0"/>
              <w:rPr>
                <w:sz w:val="18"/>
                <w:szCs w:val="18"/>
                <w:color w:val="auto"/>
              </w:rPr>
            </w:pPr>
          </w:p>
        </w:tc>
        <w:tc>
          <w:tcPr>
            <w:tcW w:w="11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1,310</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Pension and postretirement benefit obligations</w:t>
            </w:r>
          </w:p>
        </w:tc>
        <w:tc>
          <w:tcPr>
            <w:tcW w:w="240" w:type="dxa"/>
            <w:vAlign w:val="bottom"/>
          </w:tcPr>
          <w:p>
            <w:pPr>
              <w:spacing w:after="0"/>
              <w:rPr>
                <w:sz w:val="18"/>
                <w:szCs w:val="18"/>
                <w:color w:val="auto"/>
              </w:rPr>
            </w:pPr>
          </w:p>
        </w:tc>
        <w:tc>
          <w:tcPr>
            <w:tcW w:w="11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1,226</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 liabilities, net</w:t>
            </w:r>
          </w:p>
        </w:tc>
        <w:tc>
          <w:tcPr>
            <w:tcW w:w="240" w:type="dxa"/>
            <w:vAlign w:val="bottom"/>
          </w:tcPr>
          <w:p>
            <w:pPr>
              <w:spacing w:after="0"/>
              <w:rPr>
                <w:sz w:val="18"/>
                <w:szCs w:val="18"/>
                <w:color w:val="auto"/>
              </w:rPr>
            </w:pPr>
          </w:p>
        </w:tc>
        <w:tc>
          <w:tcPr>
            <w:tcW w:w="11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34</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tcPr>
          <w:p>
            <w:pPr>
              <w:spacing w:after="0"/>
              <w:rPr>
                <w:sz w:val="18"/>
                <w:szCs w:val="18"/>
                <w:color w:val="auto"/>
              </w:rPr>
            </w:pPr>
          </w:p>
        </w:tc>
        <w:tc>
          <w:tcPr>
            <w:tcW w:w="11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1,048</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Program rights obligations</w:t>
            </w:r>
          </w:p>
        </w:tc>
        <w:tc>
          <w:tcPr>
            <w:tcW w:w="240" w:type="dxa"/>
            <w:vAlign w:val="bottom"/>
          </w:tcPr>
          <w:p>
            <w:pPr>
              <w:spacing w:after="0"/>
              <w:rPr>
                <w:sz w:val="18"/>
                <w:szCs w:val="18"/>
                <w:color w:val="auto"/>
              </w:rPr>
            </w:pPr>
          </w:p>
        </w:tc>
        <w:tc>
          <w:tcPr>
            <w:tcW w:w="11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260</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Pr>
          <w:p>
            <w:pPr>
              <w:spacing w:after="0"/>
              <w:rPr>
                <w:sz w:val="18"/>
                <w:szCs w:val="18"/>
                <w:color w:val="auto"/>
              </w:rPr>
            </w:pPr>
          </w:p>
        </w:tc>
        <w:tc>
          <w:tcPr>
            <w:tcW w:w="11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1,380</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19)</w:t>
            </w: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Paramount stockholders’ equity:</w:t>
            </w: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7620" w:type="dxa"/>
            <w:vAlign w:val="bottom"/>
          </w:tcPr>
          <w:p>
            <w:pPr>
              <w:ind w:left="100"/>
              <w:spacing w:after="0" w:line="164" w:lineRule="exact"/>
              <w:rPr>
                <w:sz w:val="20"/>
                <w:szCs w:val="20"/>
                <w:color w:val="auto"/>
              </w:rPr>
            </w:pPr>
            <w:r>
              <w:rPr>
                <w:rFonts w:ascii="Times New Roman" w:cs="Times New Roman" w:eastAsia="Times New Roman" w:hAnsi="Times New Roman"/>
                <w:sz w:val="16"/>
                <w:szCs w:val="16"/>
                <w:color w:val="auto"/>
              </w:rPr>
              <w:t>5.75% Series A Mandatory Convertible Preferred Stock, par value $.001 per share;</w:t>
            </w:r>
          </w:p>
        </w:tc>
        <w:tc>
          <w:tcPr>
            <w:tcW w:w="240" w:type="dxa"/>
            <w:vAlign w:val="bottom"/>
          </w:tcPr>
          <w:p>
            <w:pPr>
              <w:spacing w:after="0"/>
              <w:rPr>
                <w:sz w:val="14"/>
                <w:szCs w:val="14"/>
                <w:color w:val="auto"/>
              </w:rPr>
            </w:pPr>
          </w:p>
        </w:tc>
        <w:tc>
          <w:tcPr>
            <w:tcW w:w="1180" w:type="dxa"/>
            <w:vAlign w:val="bottom"/>
            <w:vMerge w:val="restart"/>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4"/>
                <w:szCs w:val="14"/>
                <w:color w:val="auto"/>
              </w:rPr>
            </w:pPr>
          </w:p>
        </w:tc>
        <w:tc>
          <w:tcPr>
            <w:tcW w:w="10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76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25 shares authorized; 0 (2024) and 10 (2023) shares issued</w:t>
            </w:r>
          </w:p>
        </w:tc>
        <w:tc>
          <w:tcPr>
            <w:tcW w:w="2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620" w:type="dxa"/>
            <w:vAlign w:val="bottom"/>
          </w:tcPr>
          <w:p>
            <w:pPr>
              <w:ind w:left="120"/>
              <w:spacing w:after="0" w:line="164" w:lineRule="exact"/>
              <w:rPr>
                <w:sz w:val="20"/>
                <w:szCs w:val="20"/>
                <w:color w:val="auto"/>
              </w:rPr>
            </w:pPr>
            <w:r>
              <w:rPr>
                <w:rFonts w:ascii="Times New Roman" w:cs="Times New Roman" w:eastAsia="Times New Roman" w:hAnsi="Times New Roman"/>
                <w:sz w:val="16"/>
                <w:szCs w:val="16"/>
                <w:color w:val="auto"/>
              </w:rPr>
              <w:t>Class A Common Stock, par value $.001 per share; 55 shares authorized;</w:t>
            </w:r>
          </w:p>
        </w:tc>
        <w:tc>
          <w:tcPr>
            <w:tcW w:w="240" w:type="dxa"/>
            <w:vAlign w:val="bottom"/>
          </w:tcPr>
          <w:p>
            <w:pPr>
              <w:spacing w:after="0"/>
              <w:rPr>
                <w:sz w:val="14"/>
                <w:szCs w:val="14"/>
                <w:color w:val="auto"/>
              </w:rPr>
            </w:pPr>
          </w:p>
        </w:tc>
        <w:tc>
          <w:tcPr>
            <w:tcW w:w="1180" w:type="dxa"/>
            <w:vAlign w:val="bottom"/>
            <w:vMerge w:val="restart"/>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4"/>
                <w:szCs w:val="14"/>
                <w:color w:val="auto"/>
              </w:rPr>
            </w:pPr>
          </w:p>
        </w:tc>
        <w:tc>
          <w:tcPr>
            <w:tcW w:w="10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7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41 (2024 and 2023) shares issued</w:t>
            </w:r>
          </w:p>
        </w:tc>
        <w:tc>
          <w:tcPr>
            <w:tcW w:w="2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620" w:type="dxa"/>
            <w:vAlign w:val="bottom"/>
          </w:tcPr>
          <w:p>
            <w:pPr>
              <w:ind w:left="120"/>
              <w:spacing w:after="0" w:line="164" w:lineRule="exact"/>
              <w:rPr>
                <w:sz w:val="20"/>
                <w:szCs w:val="20"/>
                <w:color w:val="auto"/>
              </w:rPr>
            </w:pPr>
            <w:r>
              <w:rPr>
                <w:rFonts w:ascii="Times New Roman" w:cs="Times New Roman" w:eastAsia="Times New Roman" w:hAnsi="Times New Roman"/>
                <w:sz w:val="16"/>
                <w:szCs w:val="16"/>
                <w:color w:val="auto"/>
              </w:rPr>
              <w:t>Class B Common Stock, par value $.001 per share; 5,000 shares authorized;</w:t>
            </w:r>
          </w:p>
        </w:tc>
        <w:tc>
          <w:tcPr>
            <w:tcW w:w="240" w:type="dxa"/>
            <w:vAlign w:val="bottom"/>
          </w:tcPr>
          <w:p>
            <w:pPr>
              <w:spacing w:after="0"/>
              <w:rPr>
                <w:sz w:val="14"/>
                <w:szCs w:val="14"/>
                <w:color w:val="auto"/>
              </w:rPr>
            </w:pPr>
          </w:p>
        </w:tc>
        <w:tc>
          <w:tcPr>
            <w:tcW w:w="1180" w:type="dxa"/>
            <w:vAlign w:val="bottom"/>
            <w:vMerge w:val="restart"/>
          </w:tcPr>
          <w:p>
            <w:pPr>
              <w:jc w:val="right"/>
              <w:ind w:right="281"/>
              <w:spacing w:after="0"/>
              <w:rPr>
                <w:sz w:val="20"/>
                <w:szCs w:val="20"/>
                <w:color w:val="auto"/>
              </w:rPr>
            </w:pPr>
            <w:r>
              <w:rPr>
                <w:rFonts w:ascii="Times New Roman" w:cs="Times New Roman" w:eastAsia="Times New Roman" w:hAnsi="Times New Roman"/>
                <w:sz w:val="16"/>
                <w:szCs w:val="16"/>
                <w:color w:val="auto"/>
              </w:rPr>
              <w:t>1</w:t>
            </w:r>
          </w:p>
        </w:tc>
        <w:tc>
          <w:tcPr>
            <w:tcW w:w="6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7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1,133 (2024) and 1,115 (2023) shares issued</w:t>
            </w:r>
          </w:p>
        </w:tc>
        <w:tc>
          <w:tcPr>
            <w:tcW w:w="2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18"/>
                <w:szCs w:val="18"/>
                <w:color w:val="auto"/>
              </w:rPr>
            </w:pPr>
          </w:p>
        </w:tc>
        <w:tc>
          <w:tcPr>
            <w:tcW w:w="11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33,394</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33,210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Treasury stock, at cost; 503 (2024 and 2023) shares of Class B Common Stock</w:t>
            </w:r>
          </w:p>
        </w:tc>
        <w:tc>
          <w:tcPr>
            <w:tcW w:w="240" w:type="dxa"/>
            <w:vAlign w:val="bottom"/>
          </w:tcPr>
          <w:p>
            <w:pPr>
              <w:spacing w:after="0"/>
              <w:rPr>
                <w:sz w:val="18"/>
                <w:szCs w:val="18"/>
                <w:color w:val="auto"/>
              </w:rPr>
            </w:pPr>
          </w:p>
        </w:tc>
        <w:tc>
          <w:tcPr>
            <w:tcW w:w="11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(22,958)</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(22,958)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Pr>
          <w:p>
            <w:pPr>
              <w:spacing w:after="0"/>
              <w:rPr>
                <w:sz w:val="18"/>
                <w:szCs w:val="18"/>
                <w:color w:val="auto"/>
              </w:rPr>
            </w:pPr>
          </w:p>
        </w:tc>
        <w:tc>
          <w:tcPr>
            <w:tcW w:w="11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7,487</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(1,604)</w:t>
            </w:r>
          </w:p>
        </w:tc>
        <w:tc>
          <w:tcPr>
            <w:tcW w:w="6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(1,556)</w:t>
            </w:r>
          </w:p>
        </w:tc>
        <w:tc>
          <w:tcPr>
            <w:tcW w:w="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Paramount stockholders’ equity</w:t>
            </w:r>
          </w:p>
        </w:tc>
        <w:tc>
          <w:tcPr>
            <w:tcW w:w="240" w:type="dxa"/>
            <w:vAlign w:val="bottom"/>
          </w:tcPr>
          <w:p>
            <w:pPr>
              <w:spacing w:after="0"/>
              <w:rPr>
                <w:sz w:val="17"/>
                <w:szCs w:val="17"/>
                <w:color w:val="auto"/>
              </w:rPr>
            </w:pPr>
          </w:p>
        </w:tc>
        <w:tc>
          <w:tcPr>
            <w:tcW w:w="11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16,320</w:t>
            </w:r>
          </w:p>
        </w:tc>
        <w:tc>
          <w:tcPr>
            <w:tcW w:w="6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462</w:t>
            </w:r>
          </w:p>
        </w:tc>
        <w:tc>
          <w:tcPr>
            <w:tcW w:w="6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Equity</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16,782</w:t>
            </w:r>
          </w:p>
        </w:tc>
        <w:tc>
          <w:tcPr>
            <w:tcW w:w="6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23,050</w:t>
            </w:r>
          </w:p>
        </w:tc>
        <w:tc>
          <w:tcPr>
            <w:tcW w:w="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46,172</w:t>
            </w:r>
          </w:p>
        </w:tc>
        <w:tc>
          <w:tcPr>
            <w:tcW w:w="66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53,543</w:t>
            </w:r>
          </w:p>
        </w:tc>
        <w:tc>
          <w:tcPr>
            <w:tcW w:w="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II-45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81915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780"/>
          </w:cols>
          <w:pgMar w:left="560" w:top="749" w:right="559" w:bottom="1440" w:gutter="0" w:footer="0" w:header="0"/>
        </w:sectPr>
      </w:pPr>
    </w:p>
    <w:bookmarkStart w:id="90" w:name="page91"/>
    <w:bookmarkEnd w:id="90"/>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9"/>
          <w:szCs w:val="19"/>
          <w:b w:val="1"/>
          <w:bCs w:val="1"/>
          <w:color w:val="auto"/>
        </w:rPr>
        <w:t>CONSOLIDATED STATEMENTS OF CASH FLOWS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8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c>
          <w:tcPr>
            <w:tcW w:w="1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r>
      <w:tr>
        <w:trPr>
          <w:trHeight w:val="205"/>
        </w:trPr>
        <w:tc>
          <w:tcPr>
            <w:tcW w:w="73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9"/>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(loss) (Paramount and noncontrolling interests)</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(6,149)</w:t>
            </w:r>
          </w:p>
        </w:tc>
        <w:tc>
          <w:tcPr>
            <w:tcW w:w="6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(576)</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w:t>
            </w:r>
          </w:p>
        </w:tc>
      </w:tr>
      <w:tr>
        <w:trPr>
          <w:trHeight w:val="215"/>
        </w:trPr>
        <w:tc>
          <w:tcPr>
            <w:tcW w:w="7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Less: Net earnings from discontinued operations, net of tax</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rPr>
              <w:t>676</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w:t>
            </w:r>
          </w:p>
        </w:tc>
      </w:tr>
      <w:tr>
        <w:trPr>
          <w:trHeight w:val="20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(loss) from continuing operations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(6,163)</w:t>
            </w:r>
          </w:p>
        </w:tc>
        <w:tc>
          <w:tcPr>
            <w:tcW w:w="600" w:type="dxa"/>
            <w:vAlign w:val="bottom"/>
          </w:tcPr>
          <w:p>
            <w:pPr>
              <w:spacing w:after="0"/>
              <w:rPr>
                <w:sz w:val="17"/>
                <w:szCs w:val="17"/>
                <w:color w:val="auto"/>
              </w:rPr>
            </w:pPr>
          </w:p>
        </w:tc>
        <w:tc>
          <w:tcPr>
            <w:tcW w:w="11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(1,252)</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w:t>
            </w:r>
          </w:p>
        </w:tc>
      </w:tr>
      <w:tr>
        <w:trPr>
          <w:trHeight w:val="163"/>
        </w:trPr>
        <w:tc>
          <w:tcPr>
            <w:tcW w:w="7380" w:type="dxa"/>
            <w:vAlign w:val="bottom"/>
          </w:tcPr>
          <w:p>
            <w:pPr>
              <w:ind w:left="20"/>
              <w:spacing w:after="0" w:line="164" w:lineRule="exact"/>
              <w:rPr>
                <w:sz w:val="20"/>
                <w:szCs w:val="20"/>
                <w:color w:val="auto"/>
              </w:rPr>
            </w:pPr>
            <w:r>
              <w:rPr>
                <w:rFonts w:ascii="Times New Roman" w:cs="Times New Roman" w:eastAsia="Times New Roman" w:hAnsi="Times New Roman"/>
                <w:sz w:val="16"/>
                <w:szCs w:val="16"/>
                <w:color w:val="auto"/>
              </w:rPr>
              <w:t>Adjustments to reconcile net earnings (loss) from continuing operations to net cash flow</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08"/>
        </w:trPr>
        <w:tc>
          <w:tcPr>
            <w:tcW w:w="7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provided by (used for) operating activities from continuing operations: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1"/>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Programming charges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600" w:type="dxa"/>
            <w:vAlign w:val="bottom"/>
          </w:tcPr>
          <w:p>
            <w:pPr>
              <w:spacing w:after="0"/>
              <w:rPr>
                <w:sz w:val="18"/>
                <w:szCs w:val="18"/>
                <w:color w:val="auto"/>
              </w:rPr>
            </w:pPr>
          </w:p>
        </w:tc>
        <w:tc>
          <w:tcPr>
            <w:tcW w:w="11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2,371</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600" w:type="dxa"/>
            <w:vAlign w:val="bottom"/>
          </w:tcPr>
          <w:p>
            <w:pPr>
              <w:spacing w:after="0"/>
              <w:rPr>
                <w:sz w:val="18"/>
                <w:szCs w:val="18"/>
                <w:color w:val="auto"/>
              </w:rPr>
            </w:pPr>
          </w:p>
        </w:tc>
        <w:tc>
          <w:tcPr>
            <w:tcW w:w="11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418</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r>
      <w:tr>
        <w:trPr>
          <w:trHeight w:val="212"/>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charges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6,130</w:t>
            </w:r>
          </w:p>
        </w:tc>
        <w:tc>
          <w:tcPr>
            <w:tcW w:w="600" w:type="dxa"/>
            <w:vAlign w:val="bottom"/>
          </w:tcPr>
          <w:p>
            <w:pPr>
              <w:spacing w:after="0"/>
              <w:rPr>
                <w:sz w:val="18"/>
                <w:szCs w:val="18"/>
                <w:color w:val="auto"/>
              </w:rPr>
            </w:pPr>
          </w:p>
        </w:tc>
        <w:tc>
          <w:tcPr>
            <w:tcW w:w="11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83</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2"/>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content costs and participation and residuals expense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13,888</w:t>
            </w:r>
          </w:p>
        </w:tc>
        <w:tc>
          <w:tcPr>
            <w:tcW w:w="600" w:type="dxa"/>
            <w:vAlign w:val="bottom"/>
          </w:tcPr>
          <w:p>
            <w:pPr>
              <w:spacing w:after="0"/>
              <w:rPr>
                <w:sz w:val="18"/>
                <w:szCs w:val="18"/>
                <w:color w:val="auto"/>
              </w:rPr>
            </w:pPr>
          </w:p>
        </w:tc>
        <w:tc>
          <w:tcPr>
            <w:tcW w:w="11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14,713</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14,951</w:t>
            </w:r>
          </w:p>
        </w:tc>
      </w:tr>
      <w:tr>
        <w:trPr>
          <w:trHeight w:val="212"/>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tax benefit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600" w:type="dxa"/>
            <w:vAlign w:val="bottom"/>
          </w:tcPr>
          <w:p>
            <w:pPr>
              <w:spacing w:after="0"/>
              <w:rPr>
                <w:sz w:val="18"/>
                <w:szCs w:val="18"/>
                <w:color w:val="auto"/>
              </w:rPr>
            </w:pPr>
          </w:p>
        </w:tc>
        <w:tc>
          <w:tcPr>
            <w:tcW w:w="11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(650)</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12"/>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600" w:type="dxa"/>
            <w:vAlign w:val="bottom"/>
          </w:tcPr>
          <w:p>
            <w:pPr>
              <w:spacing w:after="0"/>
              <w:rPr>
                <w:sz w:val="18"/>
                <w:szCs w:val="18"/>
                <w:color w:val="auto"/>
              </w:rPr>
            </w:pPr>
          </w:p>
        </w:tc>
        <w:tc>
          <w:tcPr>
            <w:tcW w:w="11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177</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12"/>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Gains on dispositions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11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2"/>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from investments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600" w:type="dxa"/>
            <w:vAlign w:val="bottom"/>
          </w:tcPr>
          <w:p>
            <w:pPr>
              <w:spacing w:after="0"/>
              <w:rPr>
                <w:sz w:val="18"/>
                <w:szCs w:val="18"/>
                <w:color w:val="auto"/>
              </w:rPr>
            </w:pPr>
          </w:p>
        </w:tc>
        <w:tc>
          <w:tcPr>
            <w:tcW w:w="11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(168)</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2"/>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extinguishment of debt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11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12"/>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in loss of investee companies, net of tax and distributions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600" w:type="dxa"/>
            <w:vAlign w:val="bottom"/>
          </w:tcPr>
          <w:p>
            <w:pPr>
              <w:spacing w:after="0"/>
              <w:rPr>
                <w:sz w:val="18"/>
                <w:szCs w:val="18"/>
                <w:color w:val="auto"/>
              </w:rPr>
            </w:pPr>
          </w:p>
        </w:tc>
        <w:tc>
          <w:tcPr>
            <w:tcW w:w="11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363</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r>
      <w:tr>
        <w:trPr>
          <w:trHeight w:val="212"/>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assets and liabilities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2"/>
        </w:trPr>
        <w:tc>
          <w:tcPr>
            <w:tcW w:w="7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Decrease (increase) in receivables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600" w:type="dxa"/>
            <w:vAlign w:val="bottom"/>
          </w:tcPr>
          <w:p>
            <w:pPr>
              <w:spacing w:after="0"/>
              <w:rPr>
                <w:sz w:val="18"/>
                <w:szCs w:val="18"/>
                <w:color w:val="auto"/>
              </w:rPr>
            </w:pPr>
          </w:p>
        </w:tc>
        <w:tc>
          <w:tcPr>
            <w:tcW w:w="11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523</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212"/>
        </w:trPr>
        <w:tc>
          <w:tcPr>
            <w:tcW w:w="7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Increase in inventory and related program, participation, and residuals liabilities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(15,812)</w:t>
            </w:r>
          </w:p>
        </w:tc>
        <w:tc>
          <w:tcPr>
            <w:tcW w:w="600" w:type="dxa"/>
            <w:vAlign w:val="bottom"/>
          </w:tcPr>
          <w:p>
            <w:pPr>
              <w:spacing w:after="0"/>
              <w:rPr>
                <w:sz w:val="18"/>
                <w:szCs w:val="18"/>
                <w:color w:val="auto"/>
              </w:rPr>
            </w:pPr>
          </w:p>
        </w:tc>
        <w:tc>
          <w:tcPr>
            <w:tcW w:w="11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(15,518)</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(17,164)</w:t>
            </w:r>
          </w:p>
        </w:tc>
      </w:tr>
      <w:tr>
        <w:trPr>
          <w:trHeight w:val="212"/>
        </w:trPr>
        <w:tc>
          <w:tcPr>
            <w:tcW w:w="7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Increase (decrease) in accounts payable and other liabilities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600" w:type="dxa"/>
            <w:vAlign w:val="bottom"/>
          </w:tcPr>
          <w:p>
            <w:pPr>
              <w:spacing w:after="0"/>
              <w:rPr>
                <w:sz w:val="18"/>
                <w:szCs w:val="18"/>
                <w:color w:val="auto"/>
              </w:rPr>
            </w:pPr>
          </w:p>
        </w:tc>
        <w:tc>
          <w:tcPr>
            <w:tcW w:w="11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(659)</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w:t>
            </w:r>
          </w:p>
        </w:tc>
      </w:tr>
      <w:tr>
        <w:trPr>
          <w:trHeight w:val="212"/>
        </w:trPr>
        <w:tc>
          <w:tcPr>
            <w:tcW w:w="7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Increase (decrease) in pension and postretirement benefit obligations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600" w:type="dxa"/>
            <w:vAlign w:val="bottom"/>
          </w:tcPr>
          <w:p>
            <w:pPr>
              <w:spacing w:after="0"/>
              <w:rPr>
                <w:sz w:val="18"/>
                <w:szCs w:val="18"/>
                <w:color w:val="auto"/>
              </w:rPr>
            </w:pPr>
          </w:p>
        </w:tc>
        <w:tc>
          <w:tcPr>
            <w:tcW w:w="11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(69)</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2"/>
        </w:trPr>
        <w:tc>
          <w:tcPr>
            <w:tcW w:w="7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Increase in income taxes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600" w:type="dxa"/>
            <w:vAlign w:val="bottom"/>
          </w:tcPr>
          <w:p>
            <w:pPr>
              <w:spacing w:after="0"/>
              <w:rPr>
                <w:sz w:val="18"/>
                <w:szCs w:val="18"/>
                <w:color w:val="auto"/>
              </w:rPr>
            </w:pPr>
          </w:p>
        </w:tc>
        <w:tc>
          <w:tcPr>
            <w:tcW w:w="11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267</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r>
      <w:tr>
        <w:trPr>
          <w:trHeight w:val="215"/>
        </w:trPr>
        <w:tc>
          <w:tcPr>
            <w:tcW w:w="73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6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(186)</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06"/>
        </w:trPr>
        <w:tc>
          <w:tcPr>
            <w:tcW w:w="7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cash flow provided by (used for) operating activities from continuing operations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6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rPr>
              <w:t>384</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05"/>
        </w:trPr>
        <w:tc>
          <w:tcPr>
            <w:tcW w:w="7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cash flow provided by operating activities from discontinued operations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rPr>
              <w:t>91</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w:t>
            </w:r>
          </w:p>
        </w:tc>
      </w:tr>
      <w:tr>
        <w:trPr>
          <w:trHeight w:val="205"/>
        </w:trPr>
        <w:tc>
          <w:tcPr>
            <w:tcW w:w="7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cash flow provided by operating activities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6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rPr>
              <w:t>475</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r>
      <w:tr>
        <w:trPr>
          <w:trHeight w:val="205"/>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9"/>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600" w:type="dxa"/>
            <w:vAlign w:val="bottom"/>
          </w:tcPr>
          <w:p>
            <w:pPr>
              <w:spacing w:after="0"/>
              <w:rPr>
                <w:sz w:val="18"/>
                <w:szCs w:val="18"/>
                <w:color w:val="auto"/>
              </w:rPr>
            </w:pPr>
          </w:p>
        </w:tc>
        <w:tc>
          <w:tcPr>
            <w:tcW w:w="11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(322)</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r>
      <w:tr>
        <w:trPr>
          <w:trHeight w:val="212"/>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600" w:type="dxa"/>
            <w:vAlign w:val="bottom"/>
          </w:tcPr>
          <w:p>
            <w:pPr>
              <w:spacing w:after="0"/>
              <w:rPr>
                <w:sz w:val="18"/>
                <w:szCs w:val="18"/>
                <w:color w:val="auto"/>
              </w:rPr>
            </w:pPr>
          </w:p>
        </w:tc>
        <w:tc>
          <w:tcPr>
            <w:tcW w:w="11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(328)</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r>
      <w:tr>
        <w:trPr>
          <w:trHeight w:val="212"/>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dispositions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600" w:type="dxa"/>
            <w:vAlign w:val="bottom"/>
          </w:tcPr>
          <w:p>
            <w:pPr>
              <w:spacing w:after="0"/>
              <w:rPr>
                <w:sz w:val="18"/>
                <w:szCs w:val="18"/>
                <w:color w:val="auto"/>
              </w:rPr>
            </w:pPr>
          </w:p>
        </w:tc>
        <w:tc>
          <w:tcPr>
            <w:tcW w:w="11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71</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5"/>
        </w:trPr>
        <w:tc>
          <w:tcPr>
            <w:tcW w:w="7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6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6"/>
        </w:trPr>
        <w:tc>
          <w:tcPr>
            <w:tcW w:w="7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cash flow used for investing activities from continuing operations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6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(582)</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w:t>
            </w:r>
          </w:p>
        </w:tc>
      </w:tr>
      <w:tr>
        <w:trPr>
          <w:trHeight w:val="205"/>
        </w:trPr>
        <w:tc>
          <w:tcPr>
            <w:tcW w:w="7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cash flow provided by (used for) investing activities from discontinued operations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6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rPr>
              <w:t>1,524</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5"/>
        </w:trPr>
        <w:tc>
          <w:tcPr>
            <w:tcW w:w="7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cash flow provided by (used for) investing activities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rPr>
              <w:t>942</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w:t>
            </w:r>
          </w:p>
        </w:tc>
      </w:tr>
      <w:tr>
        <w:trPr>
          <w:trHeight w:val="205"/>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9"/>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debt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11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45</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w:t>
            </w:r>
          </w:p>
        </w:tc>
      </w:tr>
      <w:tr>
        <w:trPr>
          <w:trHeight w:val="212"/>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 of debt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600" w:type="dxa"/>
            <w:vAlign w:val="bottom"/>
          </w:tcPr>
          <w:p>
            <w:pPr>
              <w:spacing w:after="0"/>
              <w:rPr>
                <w:sz w:val="18"/>
                <w:szCs w:val="18"/>
                <w:color w:val="auto"/>
              </w:rPr>
            </w:pPr>
          </w:p>
        </w:tc>
        <w:tc>
          <w:tcPr>
            <w:tcW w:w="11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(1,277)</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(3,140)</w:t>
            </w:r>
          </w:p>
        </w:tc>
      </w:tr>
      <w:tr>
        <w:trPr>
          <w:trHeight w:val="212"/>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paid on preferred stock</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600" w:type="dxa"/>
            <w:vAlign w:val="bottom"/>
          </w:tcPr>
          <w:p>
            <w:pPr>
              <w:spacing w:after="0"/>
              <w:rPr>
                <w:sz w:val="18"/>
                <w:szCs w:val="18"/>
                <w:color w:val="auto"/>
              </w:rPr>
            </w:pPr>
          </w:p>
        </w:tc>
        <w:tc>
          <w:tcPr>
            <w:tcW w:w="11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(58)</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2"/>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600" w:type="dxa"/>
            <w:vAlign w:val="bottom"/>
          </w:tcPr>
          <w:p>
            <w:pPr>
              <w:spacing w:after="0"/>
              <w:rPr>
                <w:sz w:val="18"/>
                <w:szCs w:val="18"/>
                <w:color w:val="auto"/>
              </w:rPr>
            </w:pPr>
          </w:p>
        </w:tc>
        <w:tc>
          <w:tcPr>
            <w:tcW w:w="11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(389)</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r>
      <w:tr>
        <w:trPr>
          <w:trHeight w:val="212"/>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payroll taxes in lieu of issuing shares for stock-based compensation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600" w:type="dxa"/>
            <w:vAlign w:val="bottom"/>
          </w:tcPr>
          <w:p>
            <w:pPr>
              <w:spacing w:after="0"/>
              <w:rPr>
                <w:sz w:val="18"/>
                <w:szCs w:val="18"/>
                <w:color w:val="auto"/>
              </w:rPr>
            </w:pPr>
          </w:p>
        </w:tc>
        <w:tc>
          <w:tcPr>
            <w:tcW w:w="11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2"/>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to noncontrolling interests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600" w:type="dxa"/>
            <w:vAlign w:val="bottom"/>
          </w:tcPr>
          <w:p>
            <w:pPr>
              <w:spacing w:after="0"/>
              <w:rPr>
                <w:sz w:val="18"/>
                <w:szCs w:val="18"/>
                <w:color w:val="auto"/>
              </w:rPr>
            </w:pPr>
          </w:p>
        </w:tc>
        <w:tc>
          <w:tcPr>
            <w:tcW w:w="11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(93)</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r>
      <w:tr>
        <w:trPr>
          <w:trHeight w:val="215"/>
        </w:trPr>
        <w:tc>
          <w:tcPr>
            <w:tcW w:w="7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6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(40)</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06"/>
        </w:trPr>
        <w:tc>
          <w:tcPr>
            <w:tcW w:w="7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cash flow used for financing activities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6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(1,841)</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(2,981)</w:t>
            </w:r>
          </w:p>
        </w:tc>
      </w:tr>
      <w:tr>
        <w:trPr>
          <w:trHeight w:val="205"/>
        </w:trPr>
        <w:tc>
          <w:tcPr>
            <w:tcW w:w="7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6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0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600" w:type="dxa"/>
            <w:vAlign w:val="bottom"/>
          </w:tcPr>
          <w:p>
            <w:pPr>
              <w:spacing w:after="0"/>
              <w:rPr>
                <w:sz w:val="17"/>
                <w:szCs w:val="17"/>
                <w:color w:val="auto"/>
              </w:rPr>
            </w:pPr>
          </w:p>
        </w:tc>
        <w:tc>
          <w:tcPr>
            <w:tcW w:w="11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(425)</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(3,382)</w:t>
            </w:r>
          </w:p>
        </w:tc>
      </w:tr>
      <w:tr>
        <w:trPr>
          <w:trHeight w:val="214"/>
        </w:trPr>
        <w:tc>
          <w:tcPr>
            <w:tcW w:w="7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2,460</w:t>
            </w:r>
          </w:p>
        </w:tc>
        <w:tc>
          <w:tcPr>
            <w:tcW w:w="6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rPr>
              <w:t>2,885</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6,267</w:t>
            </w:r>
          </w:p>
        </w:tc>
      </w:tr>
      <w:tr>
        <w:trPr>
          <w:trHeight w:val="214"/>
        </w:trPr>
        <w:tc>
          <w:tcPr>
            <w:tcW w:w="7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year</w:t>
            </w: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2,661</w:t>
            </w:r>
          </w:p>
        </w:tc>
        <w:tc>
          <w:tcPr>
            <w:tcW w:w="6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rPr>
              <w:t>2,460</w:t>
            </w:r>
          </w:p>
        </w:tc>
        <w:tc>
          <w:tcPr>
            <w:tcW w:w="2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2,885</w:t>
            </w:r>
          </w:p>
        </w:tc>
      </w:tr>
    </w:tbl>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ind w:left="356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9"/>
          <w:szCs w:val="19"/>
          <w:b w:val="1"/>
          <w:bCs w:val="1"/>
          <w:color w:val="auto"/>
        </w:rPr>
        <w:t>CONSOLIDATED STATEMENTS OF STOCKHOLDERS’ EQUITY</w:t>
      </w:r>
    </w:p>
    <w:p>
      <w:pPr>
        <w:spacing w:after="0" w:line="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2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A and B</w:t>
            </w:r>
          </w:p>
        </w:tc>
        <w:tc>
          <w:tcPr>
            <w:tcW w:w="3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180"/>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vMerge w:val="restart"/>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900" w:type="dxa"/>
            <w:vAlign w:val="bottom"/>
            <w:tcBorders>
              <w:top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60" w:type="dxa"/>
            <w:vAlign w:val="bottom"/>
            <w:tcBorders>
              <w:top w:val="single" w:sz="8" w:color="auto"/>
            </w:tcBorders>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240" w:type="dxa"/>
            <w:vAlign w:val="bottom"/>
            <w:tcBorders>
              <w:top w:val="single" w:sz="8" w:color="auto"/>
            </w:tcBorders>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8"/>
              </w:rPr>
              <w:t>Total Paramount</w:t>
            </w: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49"/>
              <w:spacing w:after="0" w:line="146" w:lineRule="exact"/>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1260" w:type="dxa"/>
            <w:vAlign w:val="bottom"/>
          </w:tcPr>
          <w:p>
            <w:pPr>
              <w:spacing w:after="0"/>
              <w:rPr>
                <w:sz w:val="12"/>
                <w:szCs w:val="12"/>
                <w:color w:val="auto"/>
              </w:rPr>
            </w:pPr>
          </w:p>
        </w:tc>
        <w:tc>
          <w:tcPr>
            <w:tcW w:w="13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0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ind w:right="169"/>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3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940" w:type="dxa"/>
            <w:vAlign w:val="bottom"/>
            <w:gridSpan w:val="2"/>
          </w:tcPr>
          <w:p>
            <w:pPr>
              <w:ind w:left="120"/>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1400" w:type="dxa"/>
            <w:vAlign w:val="bottom"/>
            <w:tcBorders>
              <w:bottom w:val="single" w:sz="8" w:color="auto"/>
            </w:tcBorders>
            <w:gridSpan w:val="3"/>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49"/>
              <w:spacing w:after="0"/>
              <w:rPr>
                <w:sz w:val="20"/>
                <w:szCs w:val="20"/>
                <w:color w:val="auto"/>
              </w:rPr>
            </w:pPr>
            <w:r>
              <w:rPr>
                <w:rFonts w:ascii="Times New Roman" w:cs="Times New Roman" w:eastAsia="Times New Roman" w:hAnsi="Times New Roman"/>
                <w:sz w:val="14"/>
                <w:szCs w:val="14"/>
                <w:b w:val="1"/>
                <w:bCs w:val="1"/>
                <w:color w:val="auto"/>
              </w:rPr>
              <w:t>Loss</w:t>
            </w: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4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940" w:type="dxa"/>
            <w:vAlign w:val="bottom"/>
            <w:tcBorders>
              <w:bottom w:val="single" w:sz="8" w:color="auto"/>
            </w:tcBorders>
            <w:gridSpan w:val="2"/>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2"/>
        </w:trPr>
        <w:tc>
          <w:tcPr>
            <w:tcW w:w="1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i w:val="1"/>
                <w:iCs w:val="1"/>
                <w:color w:val="auto"/>
              </w:rPr>
              <w:t>(Shares)</w:t>
            </w:r>
          </w:p>
        </w:tc>
        <w:tc>
          <w:tcPr>
            <w:tcW w:w="2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i w:val="1"/>
                <w:iCs w:val="1"/>
                <w:color w:val="auto"/>
              </w:rPr>
              <w:t>(Shares)</w:t>
            </w:r>
          </w:p>
        </w:tc>
        <w:tc>
          <w:tcPr>
            <w:tcW w:w="4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w:t>
            </w:r>
          </w:p>
        </w:tc>
        <w:tc>
          <w:tcPr>
            <w:tcW w:w="2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648</w:t>
            </w:r>
          </w:p>
        </w:tc>
        <w:tc>
          <w:tcPr>
            <w:tcW w:w="4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32,918</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(22,958)</w:t>
            </w:r>
          </w:p>
        </w:tc>
        <w:tc>
          <w:tcPr>
            <w:tcW w:w="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14,343</w:t>
            </w:r>
          </w:p>
        </w:tc>
        <w:tc>
          <w:tcPr>
            <w:tcW w:w="4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(1,902)</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22,402</w:t>
            </w:r>
          </w:p>
        </w:tc>
        <w:tc>
          <w:tcPr>
            <w:tcW w:w="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568</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22,970</w:t>
            </w:r>
          </w:p>
        </w:tc>
        <w:tc>
          <w:tcPr>
            <w:tcW w:w="0" w:type="dxa"/>
            <w:vAlign w:val="bottom"/>
          </w:tcPr>
          <w:p>
            <w:pPr>
              <w:spacing w:after="0"/>
              <w:rPr>
                <w:sz w:val="1"/>
                <w:szCs w:val="1"/>
                <w:color w:val="auto"/>
              </w:rPr>
            </w:pPr>
          </w:p>
        </w:tc>
      </w:tr>
      <w:tr>
        <w:trPr>
          <w:trHeight w:val="145"/>
        </w:trPr>
        <w:tc>
          <w:tcPr>
            <w:tcW w:w="12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Stock-based</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26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compensation</w:t>
            </w:r>
          </w:p>
        </w:tc>
        <w:tc>
          <w:tcPr>
            <w:tcW w:w="7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1"/>
                <w:szCs w:val="11"/>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c>
          <w:tcPr>
            <w:tcW w:w="420" w:type="dxa"/>
            <w:vAlign w:val="bottom"/>
          </w:tcPr>
          <w:p>
            <w:pPr>
              <w:spacing w:after="0"/>
              <w:rPr>
                <w:sz w:val="11"/>
                <w:szCs w:val="11"/>
                <w:color w:val="auto"/>
              </w:rPr>
            </w:pPr>
          </w:p>
        </w:tc>
        <w:tc>
          <w:tcPr>
            <w:tcW w:w="32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1"/>
                <w:szCs w:val="11"/>
                <w:color w:val="auto"/>
              </w:rPr>
            </w:pPr>
          </w:p>
        </w:tc>
        <w:tc>
          <w:tcPr>
            <w:tcW w:w="74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145</w:t>
            </w:r>
          </w:p>
        </w:tc>
        <w:tc>
          <w:tcPr>
            <w:tcW w:w="220" w:type="dxa"/>
            <w:vAlign w:val="bottom"/>
          </w:tcPr>
          <w:p>
            <w:pPr>
              <w:spacing w:after="0"/>
              <w:rPr>
                <w:sz w:val="11"/>
                <w:szCs w:val="11"/>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60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1"/>
                <w:szCs w:val="11"/>
                <w:color w:val="auto"/>
              </w:rPr>
            </w:pPr>
          </w:p>
        </w:tc>
        <w:tc>
          <w:tcPr>
            <w:tcW w:w="90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1"/>
                <w:szCs w:val="11"/>
                <w:color w:val="auto"/>
              </w:rPr>
            </w:pPr>
          </w:p>
        </w:tc>
        <w:tc>
          <w:tcPr>
            <w:tcW w:w="88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145</w:t>
            </w:r>
          </w:p>
        </w:tc>
        <w:tc>
          <w:tcPr>
            <w:tcW w:w="280" w:type="dxa"/>
            <w:vAlign w:val="bottom"/>
          </w:tcPr>
          <w:p>
            <w:pPr>
              <w:spacing w:after="0"/>
              <w:rPr>
                <w:sz w:val="11"/>
                <w:szCs w:val="11"/>
                <w:color w:val="auto"/>
              </w:rPr>
            </w:pPr>
          </w:p>
        </w:tc>
        <w:tc>
          <w:tcPr>
            <w:tcW w:w="66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184"/>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activity</w:t>
            </w:r>
          </w:p>
        </w:tc>
        <w:tc>
          <w:tcPr>
            <w:tcW w:w="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26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Preferred stock</w:t>
            </w:r>
          </w:p>
        </w:tc>
        <w:tc>
          <w:tcPr>
            <w:tcW w:w="7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32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3"/>
                <w:szCs w:val="13"/>
                <w:color w:val="auto"/>
              </w:rPr>
            </w:pPr>
          </w:p>
        </w:tc>
        <w:tc>
          <w:tcPr>
            <w:tcW w:w="74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6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(58)</w:t>
            </w:r>
          </w:p>
        </w:tc>
        <w:tc>
          <w:tcPr>
            <w:tcW w:w="460" w:type="dxa"/>
            <w:vAlign w:val="bottom"/>
          </w:tcPr>
          <w:p>
            <w:pPr>
              <w:spacing w:after="0"/>
              <w:rPr>
                <w:sz w:val="13"/>
                <w:szCs w:val="13"/>
                <w:color w:val="auto"/>
              </w:rPr>
            </w:pPr>
          </w:p>
        </w:tc>
        <w:tc>
          <w:tcPr>
            <w:tcW w:w="90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3"/>
                <w:szCs w:val="13"/>
                <w:color w:val="auto"/>
              </w:rPr>
            </w:pPr>
          </w:p>
        </w:tc>
        <w:tc>
          <w:tcPr>
            <w:tcW w:w="88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rPr>
              <w:t>(58)</w:t>
            </w:r>
          </w:p>
        </w:tc>
        <w:tc>
          <w:tcPr>
            <w:tcW w:w="280" w:type="dxa"/>
            <w:vAlign w:val="bottom"/>
          </w:tcPr>
          <w:p>
            <w:pPr>
              <w:spacing w:after="0"/>
              <w:rPr>
                <w:sz w:val="13"/>
                <w:szCs w:val="13"/>
                <w:color w:val="auto"/>
              </w:rPr>
            </w:pPr>
          </w:p>
        </w:tc>
        <w:tc>
          <w:tcPr>
            <w:tcW w:w="66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84"/>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dividends</w:t>
            </w:r>
          </w:p>
        </w:tc>
        <w:tc>
          <w:tcPr>
            <w:tcW w:w="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2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Common stock</w:t>
            </w:r>
          </w:p>
        </w:tc>
        <w:tc>
          <w:tcPr>
            <w:tcW w:w="7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32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74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6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(635)</w:t>
            </w:r>
          </w:p>
        </w:tc>
        <w:tc>
          <w:tcPr>
            <w:tcW w:w="460" w:type="dxa"/>
            <w:vAlign w:val="bottom"/>
          </w:tcPr>
          <w:p>
            <w:pPr>
              <w:spacing w:after="0"/>
              <w:rPr>
                <w:sz w:val="12"/>
                <w:szCs w:val="12"/>
                <w:color w:val="auto"/>
              </w:rPr>
            </w:pPr>
          </w:p>
        </w:tc>
        <w:tc>
          <w:tcPr>
            <w:tcW w:w="90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88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rPr>
              <w:t>(635)</w:t>
            </w:r>
          </w:p>
        </w:tc>
        <w:tc>
          <w:tcPr>
            <w:tcW w:w="280" w:type="dxa"/>
            <w:vAlign w:val="bottom"/>
          </w:tcPr>
          <w:p>
            <w:pPr>
              <w:spacing w:after="0"/>
              <w:rPr>
                <w:sz w:val="12"/>
                <w:szCs w:val="12"/>
                <w:color w:val="auto"/>
              </w:rPr>
            </w:pPr>
          </w:p>
        </w:tc>
        <w:tc>
          <w:tcPr>
            <w:tcW w:w="66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0" w:type="dxa"/>
            <w:vAlign w:val="bottom"/>
          </w:tcPr>
          <w:p>
            <w:pPr>
              <w:spacing w:after="0"/>
              <w:rPr>
                <w:sz w:val="1"/>
                <w:szCs w:val="1"/>
                <w:color w:val="auto"/>
              </w:rPr>
            </w:pPr>
          </w:p>
        </w:tc>
      </w:tr>
      <w:tr>
        <w:trPr>
          <w:trHeight w:val="184"/>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dividends</w:t>
            </w:r>
          </w:p>
        </w:tc>
        <w:tc>
          <w:tcPr>
            <w:tcW w:w="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2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Noncontrolling</w:t>
            </w:r>
          </w:p>
        </w:tc>
        <w:tc>
          <w:tcPr>
            <w:tcW w:w="7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32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74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6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(17)</w:t>
            </w:r>
          </w:p>
        </w:tc>
        <w:tc>
          <w:tcPr>
            <w:tcW w:w="460" w:type="dxa"/>
            <w:vAlign w:val="bottom"/>
          </w:tcPr>
          <w:p>
            <w:pPr>
              <w:spacing w:after="0"/>
              <w:rPr>
                <w:sz w:val="12"/>
                <w:szCs w:val="12"/>
                <w:color w:val="auto"/>
              </w:rPr>
            </w:pPr>
          </w:p>
        </w:tc>
        <w:tc>
          <w:tcPr>
            <w:tcW w:w="90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88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rPr>
              <w:t>(17)</w:t>
            </w:r>
          </w:p>
        </w:tc>
        <w:tc>
          <w:tcPr>
            <w:tcW w:w="280" w:type="dxa"/>
            <w:vAlign w:val="bottom"/>
          </w:tcPr>
          <w:p>
            <w:pPr>
              <w:spacing w:after="0"/>
              <w:rPr>
                <w:sz w:val="12"/>
                <w:szCs w:val="12"/>
                <w:color w:val="auto"/>
              </w:rPr>
            </w:pPr>
          </w:p>
        </w:tc>
        <w:tc>
          <w:tcPr>
            <w:tcW w:w="66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(103)</w:t>
            </w:r>
          </w:p>
        </w:tc>
        <w:tc>
          <w:tcPr>
            <w:tcW w:w="2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84"/>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interests</w:t>
            </w:r>
          </w:p>
        </w:tc>
        <w:tc>
          <w:tcPr>
            <w:tcW w:w="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Net earnings</w:t>
            </w: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6"/>
                <w:szCs w:val="16"/>
                <w:color w:val="auto"/>
              </w:rPr>
            </w:pPr>
          </w:p>
        </w:tc>
        <w:tc>
          <w:tcPr>
            <w:tcW w:w="7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1,104</w:t>
            </w:r>
          </w:p>
        </w:tc>
        <w:tc>
          <w:tcPr>
            <w:tcW w:w="460" w:type="dxa"/>
            <w:vAlign w:val="bottom"/>
          </w:tcPr>
          <w:p>
            <w:pPr>
              <w:spacing w:after="0"/>
              <w:rPr>
                <w:sz w:val="16"/>
                <w:szCs w:val="16"/>
                <w:color w:val="auto"/>
              </w:rPr>
            </w:pPr>
          </w:p>
        </w:tc>
        <w:tc>
          <w:tcPr>
            <w:tcW w:w="9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1,104</w:t>
            </w:r>
          </w:p>
        </w:tc>
        <w:tc>
          <w:tcPr>
            <w:tcW w:w="280" w:type="dxa"/>
            <w:vAlign w:val="bottom"/>
          </w:tcPr>
          <w:p>
            <w:pPr>
              <w:spacing w:after="0"/>
              <w:rPr>
                <w:sz w:val="16"/>
                <w:szCs w:val="16"/>
                <w:color w:val="auto"/>
              </w:rPr>
            </w:pPr>
          </w:p>
        </w:tc>
        <w:tc>
          <w:tcPr>
            <w:tcW w:w="6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110</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w:t>
            </w:r>
          </w:p>
        </w:tc>
        <w:tc>
          <w:tcPr>
            <w:tcW w:w="0" w:type="dxa"/>
            <w:vAlign w:val="bottom"/>
          </w:tcPr>
          <w:p>
            <w:pPr>
              <w:spacing w:after="0"/>
              <w:rPr>
                <w:sz w:val="1"/>
                <w:szCs w:val="1"/>
                <w:color w:val="auto"/>
              </w:rPr>
            </w:pPr>
          </w:p>
        </w:tc>
      </w:tr>
      <w:tr>
        <w:trPr>
          <w:trHeight w:val="157"/>
        </w:trPr>
        <w:tc>
          <w:tcPr>
            <w:tcW w:w="126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Other</w:t>
            </w: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26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comprehensive</w:t>
            </w:r>
          </w:p>
        </w:tc>
        <w:tc>
          <w:tcPr>
            <w:tcW w:w="7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1"/>
                <w:szCs w:val="11"/>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1"/>
                <w:szCs w:val="11"/>
                <w:color w:val="auto"/>
              </w:rPr>
            </w:pPr>
          </w:p>
        </w:tc>
        <w:tc>
          <w:tcPr>
            <w:tcW w:w="32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1"/>
                <w:szCs w:val="11"/>
                <w:color w:val="auto"/>
              </w:rPr>
            </w:pPr>
          </w:p>
        </w:tc>
        <w:tc>
          <w:tcPr>
            <w:tcW w:w="74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60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1"/>
                <w:szCs w:val="11"/>
                <w:color w:val="auto"/>
              </w:rPr>
            </w:pPr>
          </w:p>
        </w:tc>
        <w:tc>
          <w:tcPr>
            <w:tcW w:w="90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rPr>
              <w:t>95</w:t>
            </w:r>
          </w:p>
        </w:tc>
        <w:tc>
          <w:tcPr>
            <w:tcW w:w="360" w:type="dxa"/>
            <w:vAlign w:val="bottom"/>
          </w:tcPr>
          <w:p>
            <w:pPr>
              <w:spacing w:after="0"/>
              <w:rPr>
                <w:sz w:val="11"/>
                <w:szCs w:val="11"/>
                <w:color w:val="auto"/>
              </w:rPr>
            </w:pPr>
          </w:p>
        </w:tc>
        <w:tc>
          <w:tcPr>
            <w:tcW w:w="88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95</w:t>
            </w:r>
          </w:p>
        </w:tc>
        <w:tc>
          <w:tcPr>
            <w:tcW w:w="280" w:type="dxa"/>
            <w:vAlign w:val="bottom"/>
          </w:tcPr>
          <w:p>
            <w:pPr>
              <w:spacing w:after="0"/>
              <w:rPr>
                <w:sz w:val="11"/>
                <w:szCs w:val="11"/>
                <w:color w:val="auto"/>
              </w:rPr>
            </w:pPr>
          </w:p>
        </w:tc>
        <w:tc>
          <w:tcPr>
            <w:tcW w:w="66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84"/>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income (loss)</w:t>
            </w:r>
          </w:p>
        </w:tc>
        <w:tc>
          <w:tcPr>
            <w:tcW w:w="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w:t>
            </w:r>
          </w:p>
        </w:tc>
        <w:tc>
          <w:tcPr>
            <w:tcW w:w="280" w:type="dxa"/>
            <w:vAlign w:val="bottom"/>
          </w:tcPr>
          <w:p>
            <w:pPr>
              <w:spacing w:after="0"/>
              <w:rPr>
                <w:sz w:val="15"/>
                <w:szCs w:val="15"/>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650</w:t>
            </w:r>
          </w:p>
        </w:tc>
        <w:tc>
          <w:tcPr>
            <w:tcW w:w="420" w:type="dxa"/>
            <w:vAlign w:val="bottom"/>
          </w:tcPr>
          <w:p>
            <w:pPr>
              <w:spacing w:after="0"/>
              <w:rPr>
                <w:sz w:val="15"/>
                <w:szCs w:val="15"/>
                <w:color w:val="auto"/>
              </w:rPr>
            </w:pPr>
          </w:p>
        </w:tc>
        <w:tc>
          <w:tcPr>
            <w:tcW w:w="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5"/>
                <w:szCs w:val="15"/>
                <w:color w:val="auto"/>
              </w:rPr>
            </w:pPr>
          </w:p>
        </w:tc>
        <w:tc>
          <w:tcPr>
            <w:tcW w:w="7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33,063</w:t>
            </w:r>
          </w:p>
        </w:tc>
        <w:tc>
          <w:tcPr>
            <w:tcW w:w="220" w:type="dxa"/>
            <w:vAlign w:val="bottom"/>
          </w:tcPr>
          <w:p>
            <w:pPr>
              <w:spacing w:after="0"/>
              <w:rPr>
                <w:sz w:val="15"/>
                <w:szCs w:val="15"/>
                <w:color w:val="auto"/>
              </w:rPr>
            </w:pPr>
          </w:p>
        </w:tc>
        <w:tc>
          <w:tcPr>
            <w:tcW w:w="7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(22,958)</w:t>
            </w:r>
          </w:p>
        </w:tc>
        <w:tc>
          <w:tcPr>
            <w:tcW w:w="300" w:type="dxa"/>
            <w:vAlign w:val="bottom"/>
          </w:tcPr>
          <w:p>
            <w:pPr>
              <w:spacing w:after="0"/>
              <w:rPr>
                <w:sz w:val="15"/>
                <w:szCs w:val="15"/>
                <w:color w:val="auto"/>
              </w:rPr>
            </w:pPr>
          </w:p>
        </w:tc>
        <w:tc>
          <w:tcPr>
            <w:tcW w:w="6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14,737</w:t>
            </w:r>
          </w:p>
        </w:tc>
        <w:tc>
          <w:tcPr>
            <w:tcW w:w="460" w:type="dxa"/>
            <w:vAlign w:val="bottom"/>
          </w:tcPr>
          <w:p>
            <w:pPr>
              <w:spacing w:after="0"/>
              <w:rPr>
                <w:sz w:val="15"/>
                <w:szCs w:val="15"/>
                <w:color w:val="auto"/>
              </w:rPr>
            </w:pPr>
          </w:p>
        </w:tc>
        <w:tc>
          <w:tcPr>
            <w:tcW w:w="9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(1,807)</w:t>
            </w:r>
          </w:p>
        </w:tc>
        <w:tc>
          <w:tcPr>
            <w:tcW w:w="360" w:type="dxa"/>
            <w:vAlign w:val="bottom"/>
          </w:tcPr>
          <w:p>
            <w:pPr>
              <w:spacing w:after="0"/>
              <w:rPr>
                <w:sz w:val="15"/>
                <w:szCs w:val="15"/>
                <w:color w:val="auto"/>
              </w:rPr>
            </w:pPr>
          </w:p>
        </w:tc>
        <w:tc>
          <w:tcPr>
            <w:tcW w:w="8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23,036</w:t>
            </w:r>
          </w:p>
        </w:tc>
        <w:tc>
          <w:tcPr>
            <w:tcW w:w="280" w:type="dxa"/>
            <w:vAlign w:val="bottom"/>
          </w:tcPr>
          <w:p>
            <w:pPr>
              <w:spacing w:after="0"/>
              <w:rPr>
                <w:sz w:val="15"/>
                <w:szCs w:val="15"/>
                <w:color w:val="auto"/>
              </w:rPr>
            </w:pPr>
          </w:p>
        </w:tc>
        <w:tc>
          <w:tcPr>
            <w:tcW w:w="6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570</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23,606</w:t>
            </w:r>
          </w:p>
        </w:tc>
        <w:tc>
          <w:tcPr>
            <w:tcW w:w="0" w:type="dxa"/>
            <w:vAlign w:val="bottom"/>
          </w:tcPr>
          <w:p>
            <w:pPr>
              <w:spacing w:after="0"/>
              <w:rPr>
                <w:sz w:val="1"/>
                <w:szCs w:val="1"/>
                <w:color w:val="auto"/>
              </w:rPr>
            </w:pPr>
          </w:p>
        </w:tc>
      </w:tr>
      <w:tr>
        <w:trPr>
          <w:trHeight w:val="145"/>
        </w:trPr>
        <w:tc>
          <w:tcPr>
            <w:tcW w:w="12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Stock-based</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26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compensation</w:t>
            </w:r>
          </w:p>
        </w:tc>
        <w:tc>
          <w:tcPr>
            <w:tcW w:w="7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1"/>
                <w:szCs w:val="11"/>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420" w:type="dxa"/>
            <w:vAlign w:val="bottom"/>
          </w:tcPr>
          <w:p>
            <w:pPr>
              <w:spacing w:after="0"/>
              <w:rPr>
                <w:sz w:val="11"/>
                <w:szCs w:val="11"/>
                <w:color w:val="auto"/>
              </w:rPr>
            </w:pPr>
          </w:p>
        </w:tc>
        <w:tc>
          <w:tcPr>
            <w:tcW w:w="32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1"/>
                <w:szCs w:val="11"/>
                <w:color w:val="auto"/>
              </w:rPr>
            </w:pPr>
          </w:p>
        </w:tc>
        <w:tc>
          <w:tcPr>
            <w:tcW w:w="74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147</w:t>
            </w:r>
          </w:p>
        </w:tc>
        <w:tc>
          <w:tcPr>
            <w:tcW w:w="220" w:type="dxa"/>
            <w:vAlign w:val="bottom"/>
          </w:tcPr>
          <w:p>
            <w:pPr>
              <w:spacing w:after="0"/>
              <w:rPr>
                <w:sz w:val="11"/>
                <w:szCs w:val="11"/>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60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19</w:t>
            </w:r>
          </w:p>
        </w:tc>
        <w:tc>
          <w:tcPr>
            <w:tcW w:w="460" w:type="dxa"/>
            <w:vAlign w:val="bottom"/>
          </w:tcPr>
          <w:p>
            <w:pPr>
              <w:spacing w:after="0"/>
              <w:rPr>
                <w:sz w:val="11"/>
                <w:szCs w:val="11"/>
                <w:color w:val="auto"/>
              </w:rPr>
            </w:pPr>
          </w:p>
        </w:tc>
        <w:tc>
          <w:tcPr>
            <w:tcW w:w="90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1"/>
                <w:szCs w:val="11"/>
                <w:color w:val="auto"/>
              </w:rPr>
            </w:pPr>
          </w:p>
        </w:tc>
        <w:tc>
          <w:tcPr>
            <w:tcW w:w="88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166</w:t>
            </w:r>
          </w:p>
        </w:tc>
        <w:tc>
          <w:tcPr>
            <w:tcW w:w="280" w:type="dxa"/>
            <w:vAlign w:val="bottom"/>
          </w:tcPr>
          <w:p>
            <w:pPr>
              <w:spacing w:after="0"/>
              <w:rPr>
                <w:sz w:val="11"/>
                <w:szCs w:val="11"/>
                <w:color w:val="auto"/>
              </w:rPr>
            </w:pPr>
          </w:p>
        </w:tc>
        <w:tc>
          <w:tcPr>
            <w:tcW w:w="66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84"/>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activity and other</w:t>
            </w:r>
          </w:p>
        </w:tc>
        <w:tc>
          <w:tcPr>
            <w:tcW w:w="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26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Preferred stock</w:t>
            </w:r>
          </w:p>
        </w:tc>
        <w:tc>
          <w:tcPr>
            <w:tcW w:w="7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32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3"/>
                <w:szCs w:val="13"/>
                <w:color w:val="auto"/>
              </w:rPr>
            </w:pPr>
          </w:p>
        </w:tc>
        <w:tc>
          <w:tcPr>
            <w:tcW w:w="74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6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(58)</w:t>
            </w:r>
          </w:p>
        </w:tc>
        <w:tc>
          <w:tcPr>
            <w:tcW w:w="460" w:type="dxa"/>
            <w:vAlign w:val="bottom"/>
          </w:tcPr>
          <w:p>
            <w:pPr>
              <w:spacing w:after="0"/>
              <w:rPr>
                <w:sz w:val="13"/>
                <w:szCs w:val="13"/>
                <w:color w:val="auto"/>
              </w:rPr>
            </w:pPr>
          </w:p>
        </w:tc>
        <w:tc>
          <w:tcPr>
            <w:tcW w:w="90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3"/>
                <w:szCs w:val="13"/>
                <w:color w:val="auto"/>
              </w:rPr>
            </w:pPr>
          </w:p>
        </w:tc>
        <w:tc>
          <w:tcPr>
            <w:tcW w:w="88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rPr>
              <w:t>(58)</w:t>
            </w:r>
          </w:p>
        </w:tc>
        <w:tc>
          <w:tcPr>
            <w:tcW w:w="280" w:type="dxa"/>
            <w:vAlign w:val="bottom"/>
          </w:tcPr>
          <w:p>
            <w:pPr>
              <w:spacing w:after="0"/>
              <w:rPr>
                <w:sz w:val="13"/>
                <w:szCs w:val="13"/>
                <w:color w:val="auto"/>
              </w:rPr>
            </w:pPr>
          </w:p>
        </w:tc>
        <w:tc>
          <w:tcPr>
            <w:tcW w:w="66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84"/>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dividends</w:t>
            </w:r>
          </w:p>
        </w:tc>
        <w:tc>
          <w:tcPr>
            <w:tcW w:w="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2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Common stock</w:t>
            </w:r>
          </w:p>
        </w:tc>
        <w:tc>
          <w:tcPr>
            <w:tcW w:w="7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32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74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6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(261)</w:t>
            </w:r>
          </w:p>
        </w:tc>
        <w:tc>
          <w:tcPr>
            <w:tcW w:w="460" w:type="dxa"/>
            <w:vAlign w:val="bottom"/>
          </w:tcPr>
          <w:p>
            <w:pPr>
              <w:spacing w:after="0"/>
              <w:rPr>
                <w:sz w:val="12"/>
                <w:szCs w:val="12"/>
                <w:color w:val="auto"/>
              </w:rPr>
            </w:pPr>
          </w:p>
        </w:tc>
        <w:tc>
          <w:tcPr>
            <w:tcW w:w="90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88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rPr>
              <w:t>(261)</w:t>
            </w:r>
          </w:p>
        </w:tc>
        <w:tc>
          <w:tcPr>
            <w:tcW w:w="280" w:type="dxa"/>
            <w:vAlign w:val="bottom"/>
          </w:tcPr>
          <w:p>
            <w:pPr>
              <w:spacing w:after="0"/>
              <w:rPr>
                <w:sz w:val="12"/>
                <w:szCs w:val="12"/>
                <w:color w:val="auto"/>
              </w:rPr>
            </w:pPr>
          </w:p>
        </w:tc>
        <w:tc>
          <w:tcPr>
            <w:tcW w:w="66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0" w:type="dxa"/>
            <w:vAlign w:val="bottom"/>
          </w:tcPr>
          <w:p>
            <w:pPr>
              <w:spacing w:after="0"/>
              <w:rPr>
                <w:sz w:val="1"/>
                <w:szCs w:val="1"/>
                <w:color w:val="auto"/>
              </w:rPr>
            </w:pPr>
          </w:p>
        </w:tc>
      </w:tr>
      <w:tr>
        <w:trPr>
          <w:trHeight w:val="184"/>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dividends</w:t>
            </w:r>
          </w:p>
        </w:tc>
        <w:tc>
          <w:tcPr>
            <w:tcW w:w="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2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Noncontrolling</w:t>
            </w:r>
          </w:p>
        </w:tc>
        <w:tc>
          <w:tcPr>
            <w:tcW w:w="7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32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60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90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88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6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(81)</w:t>
            </w:r>
          </w:p>
        </w:tc>
        <w:tc>
          <w:tcPr>
            <w:tcW w:w="2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84"/>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interests</w:t>
            </w:r>
          </w:p>
        </w:tc>
        <w:tc>
          <w:tcPr>
            <w:tcW w:w="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Net earnings (loss)</w:t>
            </w: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6"/>
                <w:szCs w:val="16"/>
                <w:color w:val="auto"/>
              </w:rPr>
            </w:pPr>
          </w:p>
        </w:tc>
        <w:tc>
          <w:tcPr>
            <w:tcW w:w="7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(608)</w:t>
            </w:r>
          </w:p>
        </w:tc>
        <w:tc>
          <w:tcPr>
            <w:tcW w:w="460" w:type="dxa"/>
            <w:vAlign w:val="bottom"/>
          </w:tcPr>
          <w:p>
            <w:pPr>
              <w:spacing w:after="0"/>
              <w:rPr>
                <w:sz w:val="16"/>
                <w:szCs w:val="16"/>
                <w:color w:val="auto"/>
              </w:rPr>
            </w:pPr>
          </w:p>
        </w:tc>
        <w:tc>
          <w:tcPr>
            <w:tcW w:w="9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(608)</w:t>
            </w:r>
          </w:p>
        </w:tc>
        <w:tc>
          <w:tcPr>
            <w:tcW w:w="280" w:type="dxa"/>
            <w:vAlign w:val="bottom"/>
          </w:tcPr>
          <w:p>
            <w:pPr>
              <w:spacing w:after="0"/>
              <w:rPr>
                <w:sz w:val="16"/>
                <w:szCs w:val="16"/>
                <w:color w:val="auto"/>
              </w:rPr>
            </w:pPr>
          </w:p>
        </w:tc>
        <w:tc>
          <w:tcPr>
            <w:tcW w:w="6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32</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0" w:type="dxa"/>
            <w:vAlign w:val="bottom"/>
          </w:tcPr>
          <w:p>
            <w:pPr>
              <w:spacing w:after="0"/>
              <w:rPr>
                <w:sz w:val="1"/>
                <w:szCs w:val="1"/>
                <w:color w:val="auto"/>
              </w:rPr>
            </w:pPr>
          </w:p>
        </w:tc>
      </w:tr>
      <w:tr>
        <w:trPr>
          <w:trHeight w:val="157"/>
        </w:trPr>
        <w:tc>
          <w:tcPr>
            <w:tcW w:w="126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Other</w:t>
            </w: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26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comprehensive</w:t>
            </w:r>
          </w:p>
        </w:tc>
        <w:tc>
          <w:tcPr>
            <w:tcW w:w="7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1"/>
                <w:szCs w:val="11"/>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1"/>
                <w:szCs w:val="11"/>
                <w:color w:val="auto"/>
              </w:rPr>
            </w:pPr>
          </w:p>
        </w:tc>
        <w:tc>
          <w:tcPr>
            <w:tcW w:w="32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1"/>
                <w:szCs w:val="11"/>
                <w:color w:val="auto"/>
              </w:rPr>
            </w:pPr>
          </w:p>
        </w:tc>
        <w:tc>
          <w:tcPr>
            <w:tcW w:w="74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60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1"/>
                <w:szCs w:val="11"/>
                <w:color w:val="auto"/>
              </w:rPr>
            </w:pPr>
          </w:p>
        </w:tc>
        <w:tc>
          <w:tcPr>
            <w:tcW w:w="90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rPr>
              <w:t>251</w:t>
            </w:r>
          </w:p>
        </w:tc>
        <w:tc>
          <w:tcPr>
            <w:tcW w:w="360" w:type="dxa"/>
            <w:vAlign w:val="bottom"/>
          </w:tcPr>
          <w:p>
            <w:pPr>
              <w:spacing w:after="0"/>
              <w:rPr>
                <w:sz w:val="11"/>
                <w:szCs w:val="11"/>
                <w:color w:val="auto"/>
              </w:rPr>
            </w:pPr>
          </w:p>
        </w:tc>
        <w:tc>
          <w:tcPr>
            <w:tcW w:w="88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251</w:t>
            </w:r>
          </w:p>
        </w:tc>
        <w:tc>
          <w:tcPr>
            <w:tcW w:w="280" w:type="dxa"/>
            <w:vAlign w:val="bottom"/>
          </w:tcPr>
          <w:p>
            <w:pPr>
              <w:spacing w:after="0"/>
              <w:rPr>
                <w:sz w:val="11"/>
                <w:szCs w:val="11"/>
                <w:color w:val="auto"/>
              </w:rPr>
            </w:pPr>
          </w:p>
        </w:tc>
        <w:tc>
          <w:tcPr>
            <w:tcW w:w="66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0" w:type="dxa"/>
            <w:vAlign w:val="bottom"/>
          </w:tcPr>
          <w:p>
            <w:pPr>
              <w:spacing w:after="0"/>
              <w:rPr>
                <w:sz w:val="1"/>
                <w:szCs w:val="1"/>
                <w:color w:val="auto"/>
              </w:rPr>
            </w:pPr>
          </w:p>
        </w:tc>
      </w:tr>
      <w:tr>
        <w:trPr>
          <w:trHeight w:val="184"/>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income</w:t>
            </w:r>
          </w:p>
        </w:tc>
        <w:tc>
          <w:tcPr>
            <w:tcW w:w="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w:t>
            </w:r>
          </w:p>
        </w:tc>
        <w:tc>
          <w:tcPr>
            <w:tcW w:w="280" w:type="dxa"/>
            <w:vAlign w:val="bottom"/>
          </w:tcPr>
          <w:p>
            <w:pPr>
              <w:spacing w:after="0"/>
              <w:rPr>
                <w:sz w:val="15"/>
                <w:szCs w:val="15"/>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653</w:t>
            </w:r>
          </w:p>
        </w:tc>
        <w:tc>
          <w:tcPr>
            <w:tcW w:w="420" w:type="dxa"/>
            <w:vAlign w:val="bottom"/>
          </w:tcPr>
          <w:p>
            <w:pPr>
              <w:spacing w:after="0"/>
              <w:rPr>
                <w:sz w:val="15"/>
                <w:szCs w:val="15"/>
                <w:color w:val="auto"/>
              </w:rPr>
            </w:pPr>
          </w:p>
        </w:tc>
        <w:tc>
          <w:tcPr>
            <w:tcW w:w="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5"/>
                <w:szCs w:val="15"/>
                <w:color w:val="auto"/>
              </w:rPr>
            </w:pPr>
          </w:p>
        </w:tc>
        <w:tc>
          <w:tcPr>
            <w:tcW w:w="7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33,210</w:t>
            </w:r>
          </w:p>
        </w:tc>
        <w:tc>
          <w:tcPr>
            <w:tcW w:w="220" w:type="dxa"/>
            <w:vAlign w:val="bottom"/>
          </w:tcPr>
          <w:p>
            <w:pPr>
              <w:spacing w:after="0"/>
              <w:rPr>
                <w:sz w:val="15"/>
                <w:szCs w:val="15"/>
                <w:color w:val="auto"/>
              </w:rPr>
            </w:pPr>
          </w:p>
        </w:tc>
        <w:tc>
          <w:tcPr>
            <w:tcW w:w="7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(22,958)</w:t>
            </w:r>
          </w:p>
        </w:tc>
        <w:tc>
          <w:tcPr>
            <w:tcW w:w="300" w:type="dxa"/>
            <w:vAlign w:val="bottom"/>
          </w:tcPr>
          <w:p>
            <w:pPr>
              <w:spacing w:after="0"/>
              <w:rPr>
                <w:sz w:val="15"/>
                <w:szCs w:val="15"/>
                <w:color w:val="auto"/>
              </w:rPr>
            </w:pPr>
          </w:p>
        </w:tc>
        <w:tc>
          <w:tcPr>
            <w:tcW w:w="6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13,829</w:t>
            </w:r>
          </w:p>
        </w:tc>
        <w:tc>
          <w:tcPr>
            <w:tcW w:w="460" w:type="dxa"/>
            <w:vAlign w:val="bottom"/>
          </w:tcPr>
          <w:p>
            <w:pPr>
              <w:spacing w:after="0"/>
              <w:rPr>
                <w:sz w:val="15"/>
                <w:szCs w:val="15"/>
                <w:color w:val="auto"/>
              </w:rPr>
            </w:pPr>
          </w:p>
        </w:tc>
        <w:tc>
          <w:tcPr>
            <w:tcW w:w="9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(1,556)</w:t>
            </w:r>
          </w:p>
        </w:tc>
        <w:tc>
          <w:tcPr>
            <w:tcW w:w="360" w:type="dxa"/>
            <w:vAlign w:val="bottom"/>
          </w:tcPr>
          <w:p>
            <w:pPr>
              <w:spacing w:after="0"/>
              <w:rPr>
                <w:sz w:val="15"/>
                <w:szCs w:val="15"/>
                <w:color w:val="auto"/>
              </w:rPr>
            </w:pPr>
          </w:p>
        </w:tc>
        <w:tc>
          <w:tcPr>
            <w:tcW w:w="8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22,526</w:t>
            </w:r>
          </w:p>
        </w:tc>
        <w:tc>
          <w:tcPr>
            <w:tcW w:w="280" w:type="dxa"/>
            <w:vAlign w:val="bottom"/>
          </w:tcPr>
          <w:p>
            <w:pPr>
              <w:spacing w:after="0"/>
              <w:rPr>
                <w:sz w:val="15"/>
                <w:szCs w:val="15"/>
                <w:color w:val="auto"/>
              </w:rPr>
            </w:pPr>
          </w:p>
        </w:tc>
        <w:tc>
          <w:tcPr>
            <w:tcW w:w="6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524</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23,050</w:t>
            </w:r>
          </w:p>
        </w:tc>
        <w:tc>
          <w:tcPr>
            <w:tcW w:w="0" w:type="dxa"/>
            <w:vAlign w:val="bottom"/>
          </w:tcPr>
          <w:p>
            <w:pPr>
              <w:spacing w:after="0"/>
              <w:rPr>
                <w:sz w:val="1"/>
                <w:szCs w:val="1"/>
                <w:color w:val="auto"/>
              </w:rPr>
            </w:pPr>
          </w:p>
        </w:tc>
      </w:tr>
      <w:tr>
        <w:trPr>
          <w:trHeight w:val="145"/>
        </w:trPr>
        <w:tc>
          <w:tcPr>
            <w:tcW w:w="12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Stock-based</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26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compensation</w:t>
            </w:r>
          </w:p>
        </w:tc>
        <w:tc>
          <w:tcPr>
            <w:tcW w:w="7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1"/>
                <w:szCs w:val="11"/>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6</w:t>
            </w:r>
          </w:p>
        </w:tc>
        <w:tc>
          <w:tcPr>
            <w:tcW w:w="420" w:type="dxa"/>
            <w:vAlign w:val="bottom"/>
          </w:tcPr>
          <w:p>
            <w:pPr>
              <w:spacing w:after="0"/>
              <w:rPr>
                <w:sz w:val="11"/>
                <w:szCs w:val="11"/>
                <w:color w:val="auto"/>
              </w:rPr>
            </w:pPr>
          </w:p>
        </w:tc>
        <w:tc>
          <w:tcPr>
            <w:tcW w:w="32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1"/>
                <w:szCs w:val="11"/>
                <w:color w:val="auto"/>
              </w:rPr>
            </w:pPr>
          </w:p>
        </w:tc>
        <w:tc>
          <w:tcPr>
            <w:tcW w:w="74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184</w:t>
            </w:r>
          </w:p>
        </w:tc>
        <w:tc>
          <w:tcPr>
            <w:tcW w:w="220" w:type="dxa"/>
            <w:vAlign w:val="bottom"/>
          </w:tcPr>
          <w:p>
            <w:pPr>
              <w:spacing w:after="0"/>
              <w:rPr>
                <w:sz w:val="11"/>
                <w:szCs w:val="11"/>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60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1"/>
                <w:szCs w:val="11"/>
                <w:color w:val="auto"/>
              </w:rPr>
            </w:pPr>
          </w:p>
        </w:tc>
        <w:tc>
          <w:tcPr>
            <w:tcW w:w="90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1"/>
                <w:szCs w:val="11"/>
                <w:color w:val="auto"/>
              </w:rPr>
            </w:pPr>
          </w:p>
        </w:tc>
        <w:tc>
          <w:tcPr>
            <w:tcW w:w="88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184</w:t>
            </w:r>
          </w:p>
        </w:tc>
        <w:tc>
          <w:tcPr>
            <w:tcW w:w="280" w:type="dxa"/>
            <w:vAlign w:val="bottom"/>
          </w:tcPr>
          <w:p>
            <w:pPr>
              <w:spacing w:after="0"/>
              <w:rPr>
                <w:sz w:val="11"/>
                <w:szCs w:val="11"/>
                <w:color w:val="auto"/>
              </w:rPr>
            </w:pPr>
          </w:p>
        </w:tc>
        <w:tc>
          <w:tcPr>
            <w:tcW w:w="66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184"/>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activity</w:t>
            </w:r>
          </w:p>
        </w:tc>
        <w:tc>
          <w:tcPr>
            <w:tcW w:w="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Stock conversion</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80" w:type="dxa"/>
            <w:vAlign w:val="bottom"/>
          </w:tcPr>
          <w:p>
            <w:pPr>
              <w:spacing w:after="0"/>
              <w:rPr>
                <w:sz w:val="17"/>
                <w:szCs w:val="17"/>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w:t>
            </w:r>
          </w:p>
        </w:tc>
        <w:tc>
          <w:tcPr>
            <w:tcW w:w="420" w:type="dxa"/>
            <w:vAlign w:val="bottom"/>
          </w:tcPr>
          <w:p>
            <w:pPr>
              <w:spacing w:after="0"/>
              <w:rPr>
                <w:sz w:val="17"/>
                <w:szCs w:val="17"/>
                <w:color w:val="auto"/>
              </w:rPr>
            </w:pPr>
          </w:p>
        </w:tc>
        <w:tc>
          <w:tcPr>
            <w:tcW w:w="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7"/>
                <w:szCs w:val="17"/>
                <w:color w:val="auto"/>
              </w:rPr>
            </w:pPr>
          </w:p>
        </w:tc>
        <w:tc>
          <w:tcPr>
            <w:tcW w:w="7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6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9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8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6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7"/>
        </w:trPr>
        <w:tc>
          <w:tcPr>
            <w:tcW w:w="126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Preferred stock</w:t>
            </w:r>
          </w:p>
        </w:tc>
        <w:tc>
          <w:tcPr>
            <w:tcW w:w="7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32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3"/>
                <w:szCs w:val="13"/>
                <w:color w:val="auto"/>
              </w:rPr>
            </w:pPr>
          </w:p>
        </w:tc>
        <w:tc>
          <w:tcPr>
            <w:tcW w:w="74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6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(14)</w:t>
            </w:r>
          </w:p>
        </w:tc>
        <w:tc>
          <w:tcPr>
            <w:tcW w:w="460" w:type="dxa"/>
            <w:vAlign w:val="bottom"/>
          </w:tcPr>
          <w:p>
            <w:pPr>
              <w:spacing w:after="0"/>
              <w:rPr>
                <w:sz w:val="13"/>
                <w:szCs w:val="13"/>
                <w:color w:val="auto"/>
              </w:rPr>
            </w:pPr>
          </w:p>
        </w:tc>
        <w:tc>
          <w:tcPr>
            <w:tcW w:w="90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3"/>
                <w:szCs w:val="13"/>
                <w:color w:val="auto"/>
              </w:rPr>
            </w:pPr>
          </w:p>
        </w:tc>
        <w:tc>
          <w:tcPr>
            <w:tcW w:w="88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rPr>
              <w:t>(14)</w:t>
            </w:r>
          </w:p>
        </w:tc>
        <w:tc>
          <w:tcPr>
            <w:tcW w:w="280" w:type="dxa"/>
            <w:vAlign w:val="bottom"/>
          </w:tcPr>
          <w:p>
            <w:pPr>
              <w:spacing w:after="0"/>
              <w:rPr>
                <w:sz w:val="13"/>
                <w:szCs w:val="13"/>
                <w:color w:val="auto"/>
              </w:rPr>
            </w:pPr>
          </w:p>
        </w:tc>
        <w:tc>
          <w:tcPr>
            <w:tcW w:w="66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4"/>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dividends</w:t>
            </w:r>
          </w:p>
        </w:tc>
        <w:tc>
          <w:tcPr>
            <w:tcW w:w="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2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Common stock</w:t>
            </w:r>
          </w:p>
        </w:tc>
        <w:tc>
          <w:tcPr>
            <w:tcW w:w="7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32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74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6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(138)</w:t>
            </w:r>
          </w:p>
        </w:tc>
        <w:tc>
          <w:tcPr>
            <w:tcW w:w="460" w:type="dxa"/>
            <w:vAlign w:val="bottom"/>
          </w:tcPr>
          <w:p>
            <w:pPr>
              <w:spacing w:after="0"/>
              <w:rPr>
                <w:sz w:val="12"/>
                <w:szCs w:val="12"/>
                <w:color w:val="auto"/>
              </w:rPr>
            </w:pPr>
          </w:p>
        </w:tc>
        <w:tc>
          <w:tcPr>
            <w:tcW w:w="90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88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rPr>
              <w:t>(138)</w:t>
            </w:r>
          </w:p>
        </w:tc>
        <w:tc>
          <w:tcPr>
            <w:tcW w:w="280" w:type="dxa"/>
            <w:vAlign w:val="bottom"/>
          </w:tcPr>
          <w:p>
            <w:pPr>
              <w:spacing w:after="0"/>
              <w:rPr>
                <w:sz w:val="12"/>
                <w:szCs w:val="12"/>
                <w:color w:val="auto"/>
              </w:rPr>
            </w:pPr>
          </w:p>
        </w:tc>
        <w:tc>
          <w:tcPr>
            <w:tcW w:w="66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84"/>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dividends</w:t>
            </w:r>
          </w:p>
        </w:tc>
        <w:tc>
          <w:tcPr>
            <w:tcW w:w="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2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Noncontrolling</w:t>
            </w:r>
          </w:p>
        </w:tc>
        <w:tc>
          <w:tcPr>
            <w:tcW w:w="7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32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74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60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90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88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6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84"/>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interests</w:t>
            </w:r>
          </w:p>
        </w:tc>
        <w:tc>
          <w:tcPr>
            <w:tcW w:w="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Net earnings (loss)</w:t>
            </w: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6"/>
                <w:szCs w:val="16"/>
                <w:color w:val="auto"/>
              </w:rPr>
            </w:pPr>
          </w:p>
        </w:tc>
        <w:tc>
          <w:tcPr>
            <w:tcW w:w="7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(6,190)</w:t>
            </w:r>
          </w:p>
        </w:tc>
        <w:tc>
          <w:tcPr>
            <w:tcW w:w="460" w:type="dxa"/>
            <w:vAlign w:val="bottom"/>
          </w:tcPr>
          <w:p>
            <w:pPr>
              <w:spacing w:after="0"/>
              <w:rPr>
                <w:sz w:val="16"/>
                <w:szCs w:val="16"/>
                <w:color w:val="auto"/>
              </w:rPr>
            </w:pPr>
          </w:p>
        </w:tc>
        <w:tc>
          <w:tcPr>
            <w:tcW w:w="9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(6,190)</w:t>
            </w:r>
          </w:p>
        </w:tc>
        <w:tc>
          <w:tcPr>
            <w:tcW w:w="280" w:type="dxa"/>
            <w:vAlign w:val="bottom"/>
          </w:tcPr>
          <w:p>
            <w:pPr>
              <w:spacing w:after="0"/>
              <w:rPr>
                <w:sz w:val="16"/>
                <w:szCs w:val="16"/>
                <w:color w:val="auto"/>
              </w:rPr>
            </w:pPr>
          </w:p>
        </w:tc>
        <w:tc>
          <w:tcPr>
            <w:tcW w:w="6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41</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(6,149)</w:t>
            </w:r>
          </w:p>
        </w:tc>
        <w:tc>
          <w:tcPr>
            <w:tcW w:w="0" w:type="dxa"/>
            <w:vAlign w:val="bottom"/>
          </w:tcPr>
          <w:p>
            <w:pPr>
              <w:spacing w:after="0"/>
              <w:rPr>
                <w:sz w:val="1"/>
                <w:szCs w:val="1"/>
                <w:color w:val="auto"/>
              </w:rPr>
            </w:pPr>
          </w:p>
        </w:tc>
      </w:tr>
      <w:tr>
        <w:trPr>
          <w:trHeight w:val="157"/>
        </w:trPr>
        <w:tc>
          <w:tcPr>
            <w:tcW w:w="126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Other</w:t>
            </w: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26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comprehensive</w:t>
            </w:r>
          </w:p>
        </w:tc>
        <w:tc>
          <w:tcPr>
            <w:tcW w:w="7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1"/>
                <w:szCs w:val="11"/>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1"/>
                <w:szCs w:val="11"/>
                <w:color w:val="auto"/>
              </w:rPr>
            </w:pPr>
          </w:p>
        </w:tc>
        <w:tc>
          <w:tcPr>
            <w:tcW w:w="32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1"/>
                <w:szCs w:val="11"/>
                <w:color w:val="auto"/>
              </w:rPr>
            </w:pPr>
          </w:p>
        </w:tc>
        <w:tc>
          <w:tcPr>
            <w:tcW w:w="74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60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1"/>
                <w:szCs w:val="11"/>
                <w:color w:val="auto"/>
              </w:rPr>
            </w:pPr>
          </w:p>
        </w:tc>
        <w:tc>
          <w:tcPr>
            <w:tcW w:w="900" w:type="dxa"/>
            <w:vAlign w:val="bottom"/>
            <w:vMerge w:val="restart"/>
          </w:tcPr>
          <w:p>
            <w:pPr>
              <w:jc w:val="right"/>
              <w:ind w:right="189"/>
              <w:spacing w:after="0"/>
              <w:rPr>
                <w:sz w:val="20"/>
                <w:szCs w:val="20"/>
                <w:color w:val="auto"/>
              </w:rPr>
            </w:pPr>
            <w:r>
              <w:rPr>
                <w:rFonts w:ascii="Times New Roman" w:cs="Times New Roman" w:eastAsia="Times New Roman" w:hAnsi="Times New Roman"/>
                <w:sz w:val="14"/>
                <w:szCs w:val="14"/>
                <w:color w:val="auto"/>
              </w:rPr>
              <w:t>(48)</w:t>
            </w:r>
          </w:p>
        </w:tc>
        <w:tc>
          <w:tcPr>
            <w:tcW w:w="360" w:type="dxa"/>
            <w:vAlign w:val="bottom"/>
          </w:tcPr>
          <w:p>
            <w:pPr>
              <w:spacing w:after="0"/>
              <w:rPr>
                <w:sz w:val="11"/>
                <w:szCs w:val="11"/>
                <w:color w:val="auto"/>
              </w:rPr>
            </w:pPr>
          </w:p>
        </w:tc>
        <w:tc>
          <w:tcPr>
            <w:tcW w:w="88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rPr>
              <w:t>(48)</w:t>
            </w:r>
          </w:p>
        </w:tc>
        <w:tc>
          <w:tcPr>
            <w:tcW w:w="280" w:type="dxa"/>
            <w:vAlign w:val="bottom"/>
          </w:tcPr>
          <w:p>
            <w:pPr>
              <w:spacing w:after="0"/>
              <w:rPr>
                <w:sz w:val="11"/>
                <w:szCs w:val="11"/>
                <w:color w:val="auto"/>
              </w:rPr>
            </w:pPr>
          </w:p>
        </w:tc>
        <w:tc>
          <w:tcPr>
            <w:tcW w:w="66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84"/>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loss</w:t>
            </w:r>
          </w:p>
        </w:tc>
        <w:tc>
          <w:tcPr>
            <w:tcW w:w="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7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671</w:t>
            </w:r>
          </w:p>
        </w:tc>
        <w:tc>
          <w:tcPr>
            <w:tcW w:w="4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33,394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(22,958)</w:t>
            </w:r>
          </w:p>
        </w:tc>
        <w:tc>
          <w:tcPr>
            <w:tcW w:w="3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7,487</w:t>
            </w:r>
          </w:p>
        </w:tc>
        <w:tc>
          <w:tcPr>
            <w:tcW w:w="4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(1,604)</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16,320</w:t>
            </w:r>
          </w:p>
        </w:tc>
        <w:tc>
          <w:tcPr>
            <w:tcW w:w="2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462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16,782</w:t>
            </w:r>
          </w:p>
        </w:tc>
        <w:tc>
          <w:tcPr>
            <w:tcW w:w="0" w:type="dxa"/>
            <w:vAlign w:val="bottom"/>
          </w:tcPr>
          <w:p>
            <w:pPr>
              <w:spacing w:after="0"/>
              <w:rPr>
                <w:sz w:val="1"/>
                <w:szCs w:val="1"/>
                <w:color w:val="auto"/>
              </w:rPr>
            </w:pPr>
          </w:p>
        </w:tc>
      </w:tr>
    </w:tbl>
    <w:p>
      <w:pPr>
        <w:spacing w:after="0" w:line="1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II-47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81915</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60" w:top="1067" w:right="359" w:bottom="1440" w:gutter="0" w:footer="0" w:header="0"/>
        </w:sectPr>
      </w:pPr>
    </w:p>
    <w:bookmarkStart w:id="92" w:name="page93"/>
    <w:bookmarkEnd w:id="92"/>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 BASIS OF PRESENTATION AND SUMMARY OF SIGNIFICANT ACCOUNTING POLICIES</w:t>
      </w:r>
    </w:p>
    <w:p>
      <w:pPr>
        <w:spacing w:after="0" w:line="155" w:lineRule="exact"/>
        <w:rPr>
          <w:sz w:val="20"/>
          <w:szCs w:val="20"/>
          <w:color w:val="auto"/>
        </w:rPr>
      </w:pPr>
    </w:p>
    <w:p>
      <w:pPr>
        <w:ind w:right="20"/>
        <w:spacing w:after="0" w:line="302" w:lineRule="auto"/>
        <w:rPr>
          <w:sz w:val="20"/>
          <w:szCs w:val="20"/>
          <w:color w:val="auto"/>
        </w:rPr>
      </w:pPr>
      <w:r>
        <w:rPr>
          <w:rFonts w:ascii="Times New Roman" w:cs="Times New Roman" w:eastAsia="Times New Roman" w:hAnsi="Times New Roman"/>
          <w:sz w:val="19"/>
          <w:szCs w:val="19"/>
          <w:i w:val="1"/>
          <w:iCs w:val="1"/>
          <w:color w:val="auto"/>
        </w:rPr>
        <w:t>Description of Business</w:t>
      </w:r>
      <w:r>
        <w:rPr>
          <w:rFonts w:ascii="Times New Roman" w:cs="Times New Roman" w:eastAsia="Times New Roman" w:hAnsi="Times New Roman"/>
          <w:sz w:val="19"/>
          <w:szCs w:val="19"/>
          <w:color w:val="auto"/>
        </w:rPr>
        <w:t>—Paramount Global is a global media, streaming and entertainment company that creates premium content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experiences for audiences worldwide and is comprised of the following segments:</w:t>
      </w:r>
    </w:p>
    <w:p>
      <w:pPr>
        <w:spacing w:after="0" w:line="152" w:lineRule="exact"/>
        <w:rPr>
          <w:sz w:val="20"/>
          <w:szCs w:val="20"/>
          <w:color w:val="auto"/>
        </w:rPr>
      </w:pPr>
    </w:p>
    <w:p>
      <w:pPr>
        <w:jc w:val="both"/>
        <w:ind w:left="640" w:hanging="316"/>
        <w:spacing w:after="0" w:line="263" w:lineRule="auto"/>
        <w:tabs>
          <w:tab w:leader="none" w:pos="633" w:val="left"/>
        </w:tabs>
        <w:numPr>
          <w:ilvl w:val="0"/>
          <w:numId w:val="34"/>
        </w:numPr>
        <w:rPr>
          <w:rFonts w:ascii="Calibri" w:cs="Calibri" w:eastAsia="Calibri" w:hAnsi="Calibri"/>
          <w:sz w:val="19"/>
          <w:szCs w:val="19"/>
          <w:b w:val="1"/>
          <w:bCs w:val="1"/>
          <w:i w:val="1"/>
          <w:iCs w:val="1"/>
          <w:color w:val="auto"/>
        </w:rPr>
      </w:pP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Our</w:t>
      </w:r>
      <w:r>
        <w:rPr>
          <w:rFonts w:ascii="Times New Roman" w:cs="Times New Roman" w:eastAsia="Times New Roman" w:hAnsi="Times New Roman"/>
          <w:sz w:val="19"/>
          <w:szCs w:val="19"/>
          <w:i w:val="1"/>
          <w:iCs w:val="1"/>
          <w:color w:val="auto"/>
        </w:rPr>
        <w:t xml:space="preserve"> TV Media </w:t>
      </w:r>
      <w:r>
        <w:rPr>
          <w:rFonts w:ascii="Times New Roman" w:cs="Times New Roman" w:eastAsia="Times New Roman" w:hAnsi="Times New Roman"/>
          <w:sz w:val="19"/>
          <w:szCs w:val="19"/>
          <w:color w:val="auto"/>
        </w:rPr>
        <w:t>segment consists of our (1) broadcast operations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the CBS Television Network, our domestic broadcast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television network; CBS Stations, our owned television stations; and our international free-to-air networks, Network 10, Channel 5, Telefe, and Chilevisión; (2) domestic premium and basic cable networks, including Paramount+ with Showtime, MTV, Comedy Central, Paramount Network, The Smithsonian Channel, Nickelodeon, BET Media Group, CBS Sports Network, and international extensions of certain of these brands; and (3) domestic and international television studio operations, including CBS Studios and Showtime/MTV Entertainment Studios, as well as CBS Media Ventures, which produces and distributes first-run syndicated programming.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also includes a number of digital properties such as CBS News Streaming for 24-hour news and CBS Sports HQ for sports news and analysis.</w:t>
      </w:r>
    </w:p>
    <w:p>
      <w:pPr>
        <w:spacing w:after="0" w:line="389" w:lineRule="exact"/>
        <w:rPr>
          <w:rFonts w:ascii="Calibri" w:cs="Calibri" w:eastAsia="Calibri" w:hAnsi="Calibri"/>
          <w:sz w:val="19"/>
          <w:szCs w:val="19"/>
          <w:b w:val="1"/>
          <w:bCs w:val="1"/>
          <w:i w:val="1"/>
          <w:iCs w:val="1"/>
          <w:color w:val="auto"/>
        </w:rPr>
      </w:pPr>
    </w:p>
    <w:p>
      <w:pPr>
        <w:jc w:val="both"/>
        <w:ind w:left="640" w:hanging="316"/>
        <w:spacing w:after="0" w:line="273" w:lineRule="auto"/>
        <w:tabs>
          <w:tab w:leader="none" w:pos="633" w:val="left"/>
        </w:tabs>
        <w:numPr>
          <w:ilvl w:val="0"/>
          <w:numId w:val="34"/>
        </w:numPr>
        <w:rPr>
          <w:rFonts w:ascii="Calibri" w:cs="Calibri" w:eastAsia="Calibri" w:hAnsi="Calibri"/>
          <w:sz w:val="19"/>
          <w:szCs w:val="19"/>
          <w:b w:val="1"/>
          <w:bCs w:val="1"/>
          <w:i w:val="1"/>
          <w:iCs w:val="1"/>
          <w:color w:val="auto"/>
        </w:rPr>
      </w:pP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Our</w:t>
      </w:r>
      <w:r>
        <w:rPr>
          <w:rFonts w:ascii="Times New Roman" w:cs="Times New Roman" w:eastAsia="Times New Roman" w:hAnsi="Times New Roman"/>
          <w:sz w:val="19"/>
          <w:szCs w:val="19"/>
          <w:i w:val="1"/>
          <w:iCs w:val="1"/>
          <w:color w:val="auto"/>
        </w:rPr>
        <w:t xml:space="preserve"> Direct-to-Consumer </w:t>
      </w:r>
      <w:r>
        <w:rPr>
          <w:rFonts w:ascii="Times New Roman" w:cs="Times New Roman" w:eastAsia="Times New Roman" w:hAnsi="Times New Roman"/>
          <w:sz w:val="19"/>
          <w:szCs w:val="19"/>
          <w:color w:val="auto"/>
        </w:rPr>
        <w:t>segment includes our portfolio of domestic and international pay and free streaming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services, including Paramount+, Pluto TV, and BET+. Effective April 30, 2024, Showtime Networks’ domestic premium subscription streaming service was no longer available.</w:t>
      </w:r>
    </w:p>
    <w:p>
      <w:pPr>
        <w:spacing w:after="0" w:line="140" w:lineRule="exact"/>
        <w:rPr>
          <w:rFonts w:ascii="Calibri" w:cs="Calibri" w:eastAsia="Calibri" w:hAnsi="Calibri"/>
          <w:sz w:val="19"/>
          <w:szCs w:val="19"/>
          <w:b w:val="1"/>
          <w:bCs w:val="1"/>
          <w:i w:val="1"/>
          <w:iCs w:val="1"/>
          <w:color w:val="auto"/>
        </w:rPr>
      </w:pPr>
    </w:p>
    <w:p>
      <w:pPr>
        <w:ind w:left="640" w:hanging="316"/>
        <w:spacing w:after="0" w:line="301" w:lineRule="auto"/>
        <w:tabs>
          <w:tab w:leader="none" w:pos="633" w:val="left"/>
        </w:tabs>
        <w:numPr>
          <w:ilvl w:val="0"/>
          <w:numId w:val="34"/>
        </w:numPr>
        <w:rPr>
          <w:rFonts w:ascii="Calibri" w:cs="Calibri" w:eastAsia="Calibri" w:hAnsi="Calibri"/>
          <w:sz w:val="19"/>
          <w:szCs w:val="19"/>
          <w:i w:val="1"/>
          <w:iCs w:val="1"/>
          <w:color w:val="auto"/>
        </w:rPr>
      </w:pP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Our</w:t>
      </w:r>
      <w:r>
        <w:rPr>
          <w:rFonts w:ascii="Times New Roman" w:cs="Times New Roman" w:eastAsia="Times New Roman" w:hAnsi="Times New Roman"/>
          <w:sz w:val="19"/>
          <w:szCs w:val="19"/>
          <w:i w:val="1"/>
          <w:iCs w:val="1"/>
          <w:color w:val="auto"/>
        </w:rPr>
        <w:t xml:space="preserve"> Filmed Entertainment </w:t>
      </w:r>
      <w:r>
        <w:rPr>
          <w:rFonts w:ascii="Times New Roman" w:cs="Times New Roman" w:eastAsia="Times New Roman" w:hAnsi="Times New Roman"/>
          <w:sz w:val="19"/>
          <w:szCs w:val="19"/>
          <w:color w:val="auto"/>
        </w:rPr>
        <w:t>segment consists of Paramount Pictures, Paramount Players, Paramount Animation,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Nickelodeon Studio, Awesomeness, and Miramax.</w:t>
      </w:r>
    </w:p>
    <w:p>
      <w:pPr>
        <w:spacing w:after="0" w:line="15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References to “Paramount,” the “Company,” “we,” “us” and “our” refer to Paramount Global and its consolidated subsidiaries, unless the context otherwise requires.</w:t>
      </w:r>
    </w:p>
    <w:p>
      <w:pPr>
        <w:spacing w:after="0" w:line="1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i w:val="1"/>
          <w:iCs w:val="1"/>
          <w:color w:val="auto"/>
        </w:rPr>
        <w:t>Skydance Transactions</w:t>
      </w:r>
      <w:r>
        <w:rPr>
          <w:rFonts w:ascii="Times New Roman" w:cs="Times New Roman" w:eastAsia="Times New Roman" w:hAnsi="Times New Roman"/>
          <w:sz w:val="19"/>
          <w:szCs w:val="19"/>
          <w:color w:val="auto"/>
        </w:rPr>
        <w:t>—On July 7, 2024, Paramount entered into a transaction agreement (the “Transaction Agreement”) with Skydance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Media, LLC (“Skydance”) and other parties pursuant to which Paramount and Skydance will become subsidiaries of a new holding company, currently referred to as New Paramount (the transactions contemplated by the Transaction Agreement, the “Transactions”). Concurrent with the execution of the Transaction Agreement, certain affiliates of existing investors of Skydance (the “NAI Equity Investors”), including entities controlled by members of the Ellison Family, and affiliates of RedBird Capital Partners, entered into an agreement with National Amusements, Inc. (“NAI”), the controlling stockholder of the Company, to purchase all of the outstanding equity interests of NAI (the “NAI Transaction”). In addition, the NAI Equity Investors and certain other affiliates of investors of Skydance will make an investment of up to $6.0 billion into New Paramount in exchange for up to 400 million newly issued shares of Class B Common Stock of New Paramount (“New Paramount Class B Common Stock”), subject to ratable reduction, for a purchase price of $15.00 per share, and the NAI Equity Investors will also receive warrants to purchase 200 million shares of New Paramount Class B Common Stock at an initial exercise price of $30.50 per share (subject to customary anti-dilution adjustments), which expire five years after issuance. Up to $4.5 billion of the proceeds from this investment will be used to fund the cash-stock election discussed below and a minimum of $1.5 billion of cash (less a subscription discount of 1.875%) will remain at New Paramount. If the cash-stock elections are undersubscribed, up to an additional $1.5 billion (less a subscription discount of 1.875%) of the unused portion of the $4.5 billion will also remain at New Paramount.</w:t>
      </w:r>
    </w:p>
    <w:p>
      <w:pPr>
        <w:spacing w:after="0" w:line="21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The Transactions will also include: (1) a transaction pursuant to which existing Skydance investors will receive 317 million shares of New Paramount Class B Common Stock, and (2) a cash-stock election pursuant to which (a)</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57" w:right="339" w:bottom="1440" w:gutter="0" w:footer="0" w:header="0"/>
        </w:sectPr>
      </w:pPr>
    </w:p>
    <w:bookmarkStart w:id="93" w:name="page94"/>
    <w:bookmarkEnd w:id="93"/>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shares of our Class A Common Stock held by stockholders other than NAI will be converted, at the stockholders’ election, into the right to receive either $23.00 in cash or 1.5333 shares of New Paramount Class B Common Stock, and (b) shares of our Class B Common Stock held by stockholders other than NAI, the NAI Equity Investors and certain other affiliates of investors of Skydance referred to above will be converted, at the stockholders’ election, into the right to receive either $15.00 in cash (subject to proration) or one share of New Paramount Class B Common Stock. The shares that are settled in cash will cease to exist after the completion of the Transactions.</w:t>
      </w:r>
    </w:p>
    <w:p>
      <w:pPr>
        <w:spacing w:after="0" w:line="20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At the closing of the Transactions, our voting Class A Common Stock and non-voting Class B Common Stock (currently listed and traded on The Nasdaq Stock Market LLC under the symbols “PARAA” and “PARA,” respectively) will cease to be listed, and only the shares of New Paramount Class B Common Stock will be listed on The Nasdaq Stock Market LLC. New Paramount Class B Common Stock will not have any voting rights while shares of New Paramount Class A Common Stock (the “New Paramount Class A Common Stock” together with New Paramount Class B Common Stock, the “New Paramount Common Stock”) will be entitled to one vote per share with respect to all matters on which the holders of New Paramount Common Stock are entitled to vote. Following the Transactions, NAI and its applicable subsidiaries will hold 100% of the New Paramount Class A Common Stock.</w:t>
      </w:r>
    </w:p>
    <w:p>
      <w:pPr>
        <w:spacing w:after="0" w:line="19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The Transactions are subject to customary closing conditions, including regulatory approvals, and are expected to close in the first half of 2025. Consummation of the foregoing transactions is also subject to the contemporaneous consummation of each other transaction described above. In the event of a termination of the Transaction Agreement under certain specified circumstances, we will be required to pay Skydance a termination fee in the amount of $400 million.</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i w:val="1"/>
          <w:iCs w:val="1"/>
          <w:color w:val="auto"/>
        </w:rPr>
        <w:t>Leadership Changes</w:t>
      </w:r>
      <w:r>
        <w:rPr>
          <w:rFonts w:ascii="Times New Roman" w:cs="Times New Roman" w:eastAsia="Times New Roman" w:hAnsi="Times New Roman"/>
          <w:sz w:val="19"/>
          <w:szCs w:val="19"/>
          <w:color w:val="auto"/>
        </w:rPr>
        <w:t>—On April 29, 2024, the Board of Directors of the Company established an Office of the Chief Executive Officer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(“CEO”), consisting of the following three senior company executives who were appointed as co-CEOs: George Cheeks, President and Chief Executive Officer of CBS; Chris McCarthy, President and Chief Executive Officer, Showtime/MTV Entertainment Studios and Paramount Media Networks; and Brian Robbins, President and Chief Executive Officer of Paramount Pictures and Nickelodeon. On April 30, 2024, Robert M. Bakish stepped down as the Company’s President and Chief Executive Officer and resigned from the Board of Directors. Mr. Bakish remained employed with the Company as a Senior Advisor until October 31, 2024 to help ensure a seamless transition of his duties.</w:t>
      </w:r>
    </w:p>
    <w:p>
      <w:pPr>
        <w:spacing w:after="0" w:line="20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i w:val="1"/>
          <w:iCs w:val="1"/>
          <w:color w:val="auto"/>
        </w:rPr>
        <w:t>Discontinued Operations</w:t>
      </w:r>
      <w:r>
        <w:rPr>
          <w:rFonts w:ascii="Times New Roman" w:cs="Times New Roman" w:eastAsia="Times New Roman" w:hAnsi="Times New Roman"/>
          <w:sz w:val="19"/>
          <w:szCs w:val="19"/>
          <w:color w:val="auto"/>
        </w:rPr>
        <w:t>—Simon &amp; Schuster, which was sold during the fourth quarter of 2023, is presented as a discontinued operation in our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consolidated financial statements for all periods presented (see Note 18). Simon &amp; Schuster was reported as the </w:t>
      </w:r>
      <w:r>
        <w:rPr>
          <w:rFonts w:ascii="Times New Roman" w:cs="Times New Roman" w:eastAsia="Times New Roman" w:hAnsi="Times New Roman"/>
          <w:sz w:val="19"/>
          <w:szCs w:val="19"/>
          <w:i w:val="1"/>
          <w:iCs w:val="1"/>
          <w:color w:val="auto"/>
        </w:rPr>
        <w:t>Publishing</w:t>
      </w:r>
      <w:r>
        <w:rPr>
          <w:rFonts w:ascii="Times New Roman" w:cs="Times New Roman" w:eastAsia="Times New Roman" w:hAnsi="Times New Roman"/>
          <w:sz w:val="19"/>
          <w:szCs w:val="19"/>
          <w:color w:val="auto"/>
        </w:rPr>
        <w:t xml:space="preserve"> segment until we began presenting it as a discontinued operation in the fourth quarter of 2020.</w:t>
      </w:r>
    </w:p>
    <w:p>
      <w:pPr>
        <w:spacing w:after="0" w:line="1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i w:val="1"/>
          <w:iCs w:val="1"/>
          <w:color w:val="auto"/>
        </w:rPr>
        <w:t>Principles of Consolidation</w:t>
      </w:r>
      <w:r>
        <w:rPr>
          <w:rFonts w:ascii="Times New Roman" w:cs="Times New Roman" w:eastAsia="Times New Roman" w:hAnsi="Times New Roman"/>
          <w:sz w:val="19"/>
          <w:szCs w:val="19"/>
          <w:color w:val="auto"/>
        </w:rPr>
        <w:t>—The consolidated financial statements include the accounts of Paramount, its subsidiaries in which a controlling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interest is maintained and variable interest entities (“VIEs”) where we are considered the primary beneficiary, after the elimination of intercompany transactions. Controlling interest is determined by majority ownership interest and the absence of substantive third party participating rights. Investments over which we have a significant influence, without a controlling interest, are accounted for under the equity method. For these investments, our proportionate share of net earnings or loss of the entity is recorded in “Equity in loss of investee companies, net of tax” on the Consolidated Statements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Reclassifications</w:t>
      </w:r>
      <w:r>
        <w:rPr>
          <w:rFonts w:ascii="Times New Roman" w:cs="Times New Roman" w:eastAsia="Times New Roman" w:hAnsi="Times New Roman"/>
          <w:sz w:val="19"/>
          <w:szCs w:val="19"/>
          <w:color w:val="auto"/>
        </w:rPr>
        <w:t>—Certain amounts reported for prior years have been reclassified to conform to the current year’s presentation.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94" w:name="page95"/>
    <w:bookmarkEnd w:id="94"/>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i w:val="1"/>
          <w:iCs w:val="1"/>
          <w:color w:val="auto"/>
        </w:rPr>
        <w:t>Use of Estimates</w:t>
      </w:r>
      <w:r>
        <w:rPr>
          <w:rFonts w:ascii="Times New Roman" w:cs="Times New Roman" w:eastAsia="Times New Roman" w:hAnsi="Times New Roman"/>
          <w:sz w:val="19"/>
          <w:szCs w:val="19"/>
          <w:color w:val="auto"/>
        </w:rPr>
        <w:t>—The preparation of our financial statements in conformity with accounting principles generally accepted in the United States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(“U.S. GAAP” or “GAAP”) requires management to make estimates, judgments and assumptions that affect the reported amounts of assets and liabilities, the disclosures of contingent assets and liabilities as of the date of the financial statements, and the reported amounts of revenues and expenses during the periods presented.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vary from these estimates under different assumptions or conditions.</w:t>
      </w:r>
    </w:p>
    <w:p>
      <w:pPr>
        <w:spacing w:after="0" w:line="20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i w:val="1"/>
          <w:iCs w:val="1"/>
          <w:color w:val="auto"/>
        </w:rPr>
        <w:t>Business Combinations</w:t>
      </w:r>
      <w:r>
        <w:rPr>
          <w:rFonts w:ascii="Times New Roman" w:cs="Times New Roman" w:eastAsia="Times New Roman" w:hAnsi="Times New Roman"/>
          <w:sz w:val="19"/>
          <w:szCs w:val="19"/>
          <w:color w:val="auto"/>
        </w:rPr>
        <w:t>—We generally account for business combinations using the acquisition method of accounting. Under the acquisition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method, once control is obtained of a business, 100% of the assets, liabilities and certain contingent liabilities acquired, as well as amounts attributed to noncontrolling interests, are recorded at fair value. Any transaction costs are expensed as incurred.</w:t>
      </w:r>
    </w:p>
    <w:p>
      <w:pPr>
        <w:spacing w:after="0" w:line="17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9"/>
          <w:szCs w:val="19"/>
          <w:i w:val="1"/>
          <w:iCs w:val="1"/>
          <w:color w:val="auto"/>
        </w:rPr>
        <w:t>Cash and Cash Equivalents</w:t>
      </w:r>
      <w:r>
        <w:rPr>
          <w:rFonts w:ascii="Times New Roman" w:cs="Times New Roman" w:eastAsia="Times New Roman" w:hAnsi="Times New Roman"/>
          <w:sz w:val="19"/>
          <w:szCs w:val="19"/>
          <w:color w:val="auto"/>
        </w:rPr>
        <w:t>—Cash and cash equivalents consist of cash on hand and highly liquid investments with maturities of three months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 less at the date of purchase, including money market funds, U.S. Treasury bills, and bank time deposits.</w:t>
      </w:r>
    </w:p>
    <w:p>
      <w:pPr>
        <w:spacing w:after="0" w:line="1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i w:val="1"/>
          <w:iCs w:val="1"/>
          <w:color w:val="auto"/>
        </w:rPr>
        <w:t>Programming Inventory</w:t>
      </w:r>
      <w:r>
        <w:rPr>
          <w:rFonts w:ascii="Times New Roman" w:cs="Times New Roman" w:eastAsia="Times New Roman" w:hAnsi="Times New Roman"/>
          <w:sz w:val="19"/>
          <w:szCs w:val="19"/>
          <w:color w:val="auto"/>
        </w:rPr>
        <w:t>—We produce and acquire rights to programming to exhibit on our broadcast and cable networks, streaming services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broadcast television stations, and in theaters. We also produce programming for third parties. Costs for internally-produced and acquired programming inventory, including prepayments for such costs, are recorded within the non-current portion of “Programming and other inventory” on the Consolidated Balance Sheets. Prepayments for the rights to air sporting and other live events that are expected to be expensed over the next 12 months are classified within the current portion of “Programming and other inventory” on the Consolidated Balance Sheets.</w:t>
      </w:r>
    </w:p>
    <w:p>
      <w:pPr>
        <w:spacing w:after="0" w:line="20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Costs incurred to produce television programs and feature films (which include direct production costs, production overhead, acquisition costs and development costs) are capitalized when incurred and amortized over the projected life of each television program or feature film. Costs incurred to acquire television series and feature film programming rights, including advances, are capitalized when the license period has begun and the program is accepted and available for airing and amortized over the shorter of the license period or the period in which an economic benefit is expected to be derived.</w:t>
      </w:r>
    </w:p>
    <w:p>
      <w:pPr>
        <w:spacing w:after="0" w:line="19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In addition, production inventory is reduced by contributions from co-production partners, as applicable, and tax incentives earned for qualified production spending in certain U.S. states and international locations. As a result, the benefit of these items will be recognized through reduced amortization over the life of the related content. Included in “Other current assets” and “Other assets” on the Consolidated Balance Sheet at December 31, 2024 were receivables for production tax incentives of $0.6 billion and $1.3 billion, respectively.</w:t>
      </w:r>
    </w:p>
    <w:p>
      <w:pPr>
        <w:spacing w:after="0" w:line="20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We categorize our capitalized production and programming costs based on the expected predominant monetization strategy throughout the life of the content. Our programming that is expected to be predominantly monetized through licensing and distribution on third-party platforms is considered individually monetized and our programming that is expected to be predominantly monetized on our networks and streaming services together with other programming, is considered to be monetized as part of a film group. The predominant monetization strategy is determined when capitalization of production costs commences and is reassessed if there is a significant change to the expected future monetization strategy. This reassessment will include an assessment of the monetization strategy throughout the entire life of the programming.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95" w:name="page96"/>
    <w:bookmarkEnd w:id="95"/>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For internally-produced television programs and feature films that are predominantly monetized on an individual basis, we use an individual-film-forecast computation method to amortize capitalized production costs and to accrue estimated liabilities for participations and residuals over the applicable title’s life cycle based upon the ratio of current period revenues to estimated remaining total gross revenues to be earned (“Ultimate Revenues”) for each title. The estimate of Ultimate Revenues impacts the timing of amortization of capitalized production costs and expensing of participations and residual costs. For television programming, our estimate of Ultimate Revenues includes revenues to be earned within 10 years from the delivery of the first episode, or, if still in production, five years from the delivery of the most recent episode, if later. These estimates are based on the past performance of similar television programs in a market, the performance in the initial markets and future firm commitments to license programs.</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For feature films, our estimate of Ultimate Revenues includes revenues from all sources that are estimated to be earned within 10 years from the date of a film’s initial release. Prior to the release of feature films, we estimate Ultimate Revenues based on the historical performance of similar content and pre-release market research (including test market screenings), as well as factors relating to the specific film, including the expected number of theaters and markets in which the original content will be released, the genre of the original content and the past box office performance of the lead actors and actresses. Upon a film’s initial release, we update our estimate of Ultimate Revenues based on actual and expected future performance. Our estimates of revenues from succeeding windows and markets are revised based on historical relationships to theatrical performance and an analysis of current market trends. For acquired television and film libraries, our estimate of Ultimate Revenues is for a period within 20 years from the date of acquisition. Ultimate Revenue estimates are periodically reviewed and adjustments, if any, will result in changes to inventory amortization rates and estimated accruals for residuals and participations.</w:t>
      </w:r>
    </w:p>
    <w:p>
      <w:pPr>
        <w:spacing w:after="0" w:line="194"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Film development costs that have not been set for production are expensed within three years unless they are abandoned earlier, in which case these projects are written down to their estimated fair value in the period the decision to abandon the project is determined.</w:t>
      </w:r>
    </w:p>
    <w:p>
      <w:pPr>
        <w:spacing w:after="0" w:line="1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For programming that is predominantly monetized as part of a film group, capitalized costs are amortized based on an estimate of the timing of our usage of and benefit from such programming. The costs of programming rights licensed under multi-year sports programming agreements are capitalized if the rights payments are made before the related economic benefit has been received and amortized over the period in which an economic benefit is expected to be derived based on the relative value of the events broadcast by us during a period in relation to the estimated total value of the events over the term of the sports programming agreement.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For content that is predominantly monetized on an individual basis, a television program or feature film is tested for impairment when events or circumstances indicate that its fair value may be less than its unamortized cost. Content that is predominantly monetized within a film group is assessed for impairment at the film group level and would similarly be tested for impairment if circumstances indicate that the fair value of the film group is less than its unamortized costs. If the carrying value of a film group or individual television program or feature film exceeds the estimated fair value, an impairment charge will then be recorded in the amount of the difference. A change in the monetization strategy of content, whether monetized individually or as part of a film group, will result in a reassessment of the predominant monetization strategy and may trigger an assessment of the content for impairment. Any resulting impairment test will be performed either at the individual level or at the film group level where the future cash flows will be generated, as appropriate. In addition, unamortized costs for internally-produced or acquired programming that has been abandoned are written 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96" w:name="page97"/>
    <w:bookmarkEnd w:id="96"/>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Television and feature film programming and production costs, including inventory amortization, development costs, residuals and participations and impairment charges that occur as part of our normal operations are included within “Operating expenses” on the Consolidated Statements of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2024 and 2023, we incurred programming charges as a result of major strategic changes to our content strategy, as further described in Note</w:t>
      </w:r>
    </w:p>
    <w:p>
      <w:pPr>
        <w:spacing w:after="0" w:line="29" w:lineRule="exact"/>
        <w:rPr>
          <w:sz w:val="20"/>
          <w:szCs w:val="20"/>
          <w:color w:val="auto"/>
        </w:rPr>
      </w:pPr>
    </w:p>
    <w:p>
      <w:pPr>
        <w:ind w:firstLine="6"/>
        <w:spacing w:after="0" w:line="275" w:lineRule="auto"/>
        <w:tabs>
          <w:tab w:leader="none" w:pos="216"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These programming charges, which include impairment charges, development cost write-offs and contract termination costs, are included within “Programming charges” on the Consolidated Statements of Operations (see Note 3).</w:t>
      </w:r>
    </w:p>
    <w:p>
      <w:pPr>
        <w:spacing w:after="0" w:line="19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9"/>
          <w:szCs w:val="19"/>
          <w:i w:val="1"/>
          <w:iCs w:val="1"/>
          <w:color w:val="auto"/>
        </w:rPr>
        <w:t>Property and Equipment</w:t>
      </w:r>
      <w:r>
        <w:rPr>
          <w:rFonts w:ascii="Times New Roman" w:cs="Times New Roman" w:eastAsia="Times New Roman" w:hAnsi="Times New Roman"/>
          <w:sz w:val="19"/>
          <w:szCs w:val="19"/>
          <w:color w:val="auto"/>
        </w:rPr>
        <w:t>—Property and equipment is stated at cost. Depreciation is calculated using the straight-line method over estimated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useful lives as follows:</w:t>
      </w:r>
    </w:p>
    <w:p>
      <w:pPr>
        <w:spacing w:after="0" w:line="62" w:lineRule="exact"/>
        <w:rPr>
          <w:sz w:val="20"/>
          <w:szCs w:val="20"/>
          <w:color w:val="auto"/>
        </w:rPr>
      </w:pPr>
    </w:p>
    <w:tbl>
      <w:tblPr>
        <w:tblLayout w:type="fixed"/>
        <w:tblInd w:w="880" w:type="dxa"/>
        <w:tblCellMar>
          <w:top w:w="0" w:type="dxa"/>
          <w:left w:w="0" w:type="dxa"/>
          <w:bottom w:w="0" w:type="dxa"/>
          <w:right w:w="0" w:type="dxa"/>
        </w:tblCellMar>
      </w:tblPr>
      <w:tr>
        <w:trPr>
          <w:trHeight w:val="252"/>
        </w:trPr>
        <w:tc>
          <w:tcPr>
            <w:tcW w:w="4780" w:type="dxa"/>
            <w:vAlign w:val="bottom"/>
          </w:tcPr>
          <w:p>
            <w:pPr>
              <w:spacing w:after="0"/>
              <w:rPr>
                <w:sz w:val="20"/>
                <w:szCs w:val="20"/>
                <w:color w:val="auto"/>
              </w:rPr>
            </w:pPr>
            <w:r>
              <w:rPr>
                <w:rFonts w:ascii="Times New Roman" w:cs="Times New Roman" w:eastAsia="Times New Roman" w:hAnsi="Times New Roman"/>
                <w:sz w:val="19"/>
                <w:szCs w:val="19"/>
                <w:color w:val="auto"/>
              </w:rPr>
              <w:t>Buildings and building improvements</w:t>
            </w:r>
          </w:p>
        </w:tc>
        <w:tc>
          <w:tcPr>
            <w:tcW w:w="3760" w:type="dxa"/>
            <w:vAlign w:val="bottom"/>
          </w:tcPr>
          <w:p>
            <w:pPr>
              <w:jc w:val="center"/>
              <w:ind w:left="1003"/>
              <w:spacing w:after="0"/>
              <w:rPr>
                <w:sz w:val="20"/>
                <w:szCs w:val="20"/>
                <w:color w:val="auto"/>
              </w:rPr>
            </w:pPr>
            <w:r>
              <w:rPr>
                <w:rFonts w:ascii="Times New Roman" w:cs="Times New Roman" w:eastAsia="Times New Roman" w:hAnsi="Times New Roman"/>
                <w:sz w:val="19"/>
                <w:szCs w:val="19"/>
                <w:color w:val="auto"/>
              </w:rPr>
              <w:t>10 to 40 years</w:t>
            </w:r>
          </w:p>
        </w:tc>
      </w:tr>
      <w:tr>
        <w:trPr>
          <w:trHeight w:val="252"/>
        </w:trPr>
        <w:tc>
          <w:tcPr>
            <w:tcW w:w="4780" w:type="dxa"/>
            <w:vAlign w:val="bottom"/>
          </w:tcPr>
          <w:p>
            <w:pPr>
              <w:spacing w:after="0"/>
              <w:rPr>
                <w:sz w:val="20"/>
                <w:szCs w:val="20"/>
                <w:color w:val="auto"/>
              </w:rPr>
            </w:pPr>
            <w:r>
              <w:rPr>
                <w:rFonts w:ascii="Times New Roman" w:cs="Times New Roman" w:eastAsia="Times New Roman" w:hAnsi="Times New Roman"/>
                <w:sz w:val="19"/>
                <w:szCs w:val="19"/>
                <w:color w:val="auto"/>
              </w:rPr>
              <w:t>Leasehold improvements</w:t>
            </w:r>
          </w:p>
        </w:tc>
        <w:tc>
          <w:tcPr>
            <w:tcW w:w="3760" w:type="dxa"/>
            <w:vAlign w:val="bottom"/>
          </w:tcPr>
          <w:p>
            <w:pPr>
              <w:jc w:val="center"/>
              <w:ind w:left="1003"/>
              <w:spacing w:after="0"/>
              <w:rPr>
                <w:sz w:val="20"/>
                <w:szCs w:val="20"/>
                <w:color w:val="auto"/>
              </w:rPr>
            </w:pPr>
            <w:r>
              <w:rPr>
                <w:rFonts w:ascii="Times New Roman" w:cs="Times New Roman" w:eastAsia="Times New Roman" w:hAnsi="Times New Roman"/>
                <w:sz w:val="19"/>
                <w:szCs w:val="19"/>
                <w:color w:val="auto"/>
              </w:rPr>
              <w:t>Shorter of lease term or useful life</w:t>
            </w:r>
          </w:p>
        </w:tc>
      </w:tr>
      <w:tr>
        <w:trPr>
          <w:trHeight w:val="253"/>
        </w:trPr>
        <w:tc>
          <w:tcPr>
            <w:tcW w:w="4780" w:type="dxa"/>
            <w:vAlign w:val="bottom"/>
          </w:tcPr>
          <w:p>
            <w:pPr>
              <w:spacing w:after="0"/>
              <w:rPr>
                <w:sz w:val="20"/>
                <w:szCs w:val="20"/>
                <w:color w:val="auto"/>
              </w:rPr>
            </w:pPr>
            <w:r>
              <w:rPr>
                <w:rFonts w:ascii="Times New Roman" w:cs="Times New Roman" w:eastAsia="Times New Roman" w:hAnsi="Times New Roman"/>
                <w:sz w:val="19"/>
                <w:szCs w:val="19"/>
                <w:color w:val="auto"/>
              </w:rPr>
              <w:t>Equipment and other (including finance leases)</w:t>
            </w:r>
          </w:p>
        </w:tc>
        <w:tc>
          <w:tcPr>
            <w:tcW w:w="3760" w:type="dxa"/>
            <w:vAlign w:val="bottom"/>
          </w:tcPr>
          <w:p>
            <w:pPr>
              <w:jc w:val="center"/>
              <w:ind w:left="983"/>
              <w:spacing w:after="0"/>
              <w:rPr>
                <w:sz w:val="20"/>
                <w:szCs w:val="20"/>
                <w:color w:val="auto"/>
              </w:rPr>
            </w:pPr>
            <w:r>
              <w:rPr>
                <w:rFonts w:ascii="Times New Roman" w:cs="Times New Roman" w:eastAsia="Times New Roman" w:hAnsi="Times New Roman"/>
                <w:sz w:val="19"/>
                <w:szCs w:val="19"/>
                <w:color w:val="auto"/>
              </w:rPr>
              <w:t>3 to 20 years</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Costs associated with repairs and maintenance of property and equipment are expensed as incurred.</w:t>
      </w:r>
    </w:p>
    <w:p>
      <w:pPr>
        <w:spacing w:after="0" w:line="2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i w:val="1"/>
          <w:iCs w:val="1"/>
          <w:color w:val="auto"/>
        </w:rPr>
        <w:t>Impairment of Long-Lived Assets</w:t>
      </w:r>
      <w:r>
        <w:rPr>
          <w:rFonts w:ascii="Times New Roman" w:cs="Times New Roman" w:eastAsia="Times New Roman" w:hAnsi="Times New Roman"/>
          <w:sz w:val="19"/>
          <w:szCs w:val="19"/>
          <w:color w:val="auto"/>
        </w:rPr>
        <w:t>—We assess long-lived assets and intangible assets, other than goodwill and intangible assets with indefinite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lives, for impairment whenever there is an indication that the carrying amount of the asset group may not be recoverable. Recoverability of these asset groups is determined by comparing the forecasted undiscounted cash flows expected to be generated by these asset groups to their net carrying value. If the carrying value is not recoverable, the amount of impairment charge, if any, is measured by the difference between the net carrying value and the estimated fair value of the assets.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i w:val="1"/>
          <w:iCs w:val="1"/>
          <w:color w:val="auto"/>
        </w:rPr>
        <w:t>Investments</w:t>
      </w:r>
      <w:r>
        <w:rPr>
          <w:rFonts w:ascii="Times New Roman" w:cs="Times New Roman" w:eastAsia="Times New Roman" w:hAnsi="Times New Roman"/>
          <w:sz w:val="19"/>
          <w:szCs w:val="19"/>
          <w:color w:val="auto"/>
        </w:rPr>
        <w:t>—Investments over which we have a significant influence, without a controlling interest, are accounted for under the equity method.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Equity investments for which we have no significant influence are measured at fair value where a readily determinable fair value exists. Equity investments that do not have a readily determinable fair value are measured at cost less impairment, if any, and adjusted for observable price changes. Gains and losses resulting from changes in the fair value of equity investments are recorded in “Gain (loss) from investments” on the Consolidated Statements of Operations. We monitor our investments for impairment and reduce the carrying value of the investment if we determine that an impairment charge is required based on qualitative and quantitative information. Our investments are included in “Other assets” on the Consolidated Balance Sheets.</w:t>
      </w:r>
    </w:p>
    <w:p>
      <w:pPr>
        <w:spacing w:after="0" w:line="20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i w:val="1"/>
          <w:iCs w:val="1"/>
          <w:color w:val="auto"/>
        </w:rPr>
        <w:t>Goodwill and Intangible Assets</w:t>
      </w:r>
      <w:r>
        <w:rPr>
          <w:rFonts w:ascii="Times New Roman" w:cs="Times New Roman" w:eastAsia="Times New Roman" w:hAnsi="Times New Roman"/>
          <w:sz w:val="19"/>
          <w:szCs w:val="19"/>
          <w:color w:val="auto"/>
        </w:rPr>
        <w:t>—Goodwill is allocated to various reporting units, which are at or one level below our operating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segments. Intangible assets with finite lives, which primarily consist of trade names, licenses, and customer agreements are generally amortized using the straight-line method over their estimated useful lives, which range from 5 to 40 years. Goodwill and other intangible assets with indefinite lives, which consist primarily of FCC licenses, are not amortized but are tested for impairment on an annual basis and between annual tests if events occur or circumstances change that would more likely than not reduce the fair value below its carrying amount. If the carrying value of goodwill or the indefinite-lived intangible asset exceeds its fair value, an impairment charge is recognized (see Note 4).</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9"/>
          <w:szCs w:val="19"/>
          <w:i w:val="1"/>
          <w:iCs w:val="1"/>
          <w:color w:val="auto"/>
        </w:rPr>
        <w:t>Guarantees</w:t>
      </w:r>
      <w:r>
        <w:rPr>
          <w:rFonts w:ascii="Times New Roman" w:cs="Times New Roman" w:eastAsia="Times New Roman" w:hAnsi="Times New Roman"/>
          <w:sz w:val="19"/>
          <w:szCs w:val="19"/>
          <w:color w:val="auto"/>
        </w:rPr>
        <w:t>—At the inception of a guarantee, we recognize a liability for the fair value of an obligation assumed by issuing the guarantee.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related liability is subsequently reduced as utilized or extinguished and increased if there is a probable loss associated with the guarantee which exceeds the value of the recorded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97" w:name="page98"/>
    <w:bookmarkEnd w:id="97"/>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i w:val="1"/>
          <w:iCs w:val="1"/>
          <w:color w:val="auto"/>
        </w:rPr>
        <w:t>Treasury Stock</w:t>
      </w:r>
      <w:r>
        <w:rPr>
          <w:rFonts w:ascii="Times New Roman" w:cs="Times New Roman" w:eastAsia="Times New Roman" w:hAnsi="Times New Roman"/>
          <w:sz w:val="19"/>
          <w:szCs w:val="19"/>
          <w:color w:val="auto"/>
        </w:rPr>
        <w:t>—Treasury stock is accounted for using the cost method. Retirements of treasury stock are reflected as a reduction to additional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paid-in capital.</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i w:val="1"/>
          <w:iCs w:val="1"/>
          <w:color w:val="auto"/>
        </w:rPr>
        <w:t>Fair Value Measurements</w:t>
      </w:r>
      <w:r>
        <w:rPr>
          <w:rFonts w:ascii="Times New Roman" w:cs="Times New Roman" w:eastAsia="Times New Roman" w:hAnsi="Times New Roman"/>
          <w:sz w:val="19"/>
          <w:szCs w:val="19"/>
          <w:color w:val="auto"/>
        </w:rPr>
        <w:t>—Fair value is defined as the price that would be received to sell an asset or paid to transfer a liability in an orderly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transaction between market participants. The framework for measuring fair value provides a hierarchy that prioritizes the inputs to valuation techniques used in measuring fair value. Level 1 is based on publicly quoted prices for the asset or liability in active markets. Level 2 is based on inputs that are observable other than quoted market prices in active markets, such as quoted prices for the asset or liability in inactive markets or quoted prices for similar assets or liabilities. Level 3 is based on unobservable inputs reflecting our own assumptions about the assumptions that market participants would use in pricing the asset or liability. Certain assets and liabilities, including foreign currency hedges and deferred compensation liabilities, are measured and recorded at fair value on a recurring basis. Other assets and liabilities, including television and film production costs, lease assets, goodwill, intangible assets, and equity-method investments are recorded at fair value only if an impairment charge is recognized. Impairment charges, if applicable, are generally determined using discounted cash flows, which is a Level 3 valuation technique.</w:t>
      </w:r>
    </w:p>
    <w:p>
      <w:pPr>
        <w:spacing w:after="0" w:line="200" w:lineRule="exact"/>
        <w:rPr>
          <w:sz w:val="20"/>
          <w:szCs w:val="20"/>
          <w:color w:val="auto"/>
        </w:rPr>
      </w:pPr>
    </w:p>
    <w:p>
      <w:pPr>
        <w:spacing w:after="0" w:line="23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i w:val="1"/>
          <w:iCs w:val="1"/>
          <w:color w:val="auto"/>
        </w:rPr>
        <w:t>Derivative Financial Instruments</w:t>
      </w:r>
      <w:r>
        <w:rPr>
          <w:rFonts w:ascii="Times New Roman" w:cs="Times New Roman" w:eastAsia="Times New Roman" w:hAnsi="Times New Roman"/>
          <w:sz w:val="19"/>
          <w:szCs w:val="19"/>
          <w:color w:val="auto"/>
        </w:rPr>
        <w:t>—Derivative financial instruments are recorded on the Consolidated Balance Sheets as assets or liabilities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measured at fair value. For derivatives designated as hedges of the fair value of assets or liabilities, the changes in fair value of both the derivatives and the hedged items are recorded in “Other items, net” on the Consolidated Statements of Operations. For derivatives designated as cash flow hedges, the effective portion of the changes in fair value of the derivatives is recorded in “Accumulated other comprehensive loss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on the Consolidated Balance Sheets and subsequently recognized in net earnings when the hedged items are recognized.</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i w:val="1"/>
          <w:iCs w:val="1"/>
          <w:color w:val="auto"/>
        </w:rPr>
        <w:t>Pension and Postretirement Benefits</w:t>
      </w:r>
      <w:r>
        <w:rPr>
          <w:rFonts w:ascii="Times New Roman" w:cs="Times New Roman" w:eastAsia="Times New Roman" w:hAnsi="Times New Roman"/>
          <w:sz w:val="19"/>
          <w:szCs w:val="19"/>
          <w:color w:val="auto"/>
        </w:rPr>
        <w:t>—The service cost component of net benefit cost for our pension and postretirement benefits is recorded 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same line items on the Consolidated Statements of Operations as other compensation costs of the related employees. All of the other components of net benefit cost are presented separately from the service cost component and below the subtotal of operating income in “Other items, net” on the Consolidated Statements of Operations.</w:t>
      </w:r>
    </w:p>
    <w:p>
      <w:pPr>
        <w:spacing w:after="0" w:line="18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9"/>
          <w:szCs w:val="19"/>
          <w:i w:val="1"/>
          <w:iCs w:val="1"/>
          <w:color w:val="auto"/>
        </w:rPr>
        <w:t>Other Liabilities</w:t>
      </w:r>
      <w:r>
        <w:rPr>
          <w:rFonts w:ascii="Times New Roman" w:cs="Times New Roman" w:eastAsia="Times New Roman" w:hAnsi="Times New Roman"/>
          <w:sz w:val="19"/>
          <w:szCs w:val="19"/>
          <w:color w:val="auto"/>
        </w:rPr>
        <w:t>—Other liabilities consist primarily of the noncurrent portion of residual liabilities of previously disposed businesses, long-term</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income tax liabilities, deferred compensation and other employee benefit accruals.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Revenues</w:t>
      </w:r>
    </w:p>
    <w:p>
      <w:pPr>
        <w:spacing w:after="0" w:line="15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Revenue is recognized when control of a good or service is transferred to a customer. Control is considered to be transferred when the customer has the ability to direct the use of and obtain substantially all of the remaining benefits of that good or service.</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i w:val="1"/>
          <w:iCs w:val="1"/>
          <w:color w:val="auto"/>
        </w:rPr>
        <w:t>Advertising Revenues</w:t>
      </w:r>
      <w:r>
        <w:rPr>
          <w:rFonts w:ascii="Times New Roman" w:cs="Times New Roman" w:eastAsia="Times New Roman" w:hAnsi="Times New Roman"/>
          <w:sz w:val="19"/>
          <w:szCs w:val="19"/>
          <w:color w:val="auto"/>
        </w:rPr>
        <w:t>—Advertising revenues are recognized when the advertising spots are aired on television or streamed or displayed 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digital platforms. Advertising spots are typically sold as part of advertising campaigns consisting of multiple commercial units. If a contract includes a guarantee to deliver a targeted audience rating or number of impressions, the delivery of the advertising spots that achieve the guarantee represents the performance obligation to be satisfied over time and revenues are recognized based on the proportion of the audience rating or impressions delivered to the total guaranteed in the contract. Audience ratings and impressions are determined based on data provided by independent third-party companies. To the extent the amounts billed exceed the amount of revenue recognized, such excess is deferred until the guaranteed audience ratings or impressions are delivered. For contracts that do not include impressions guarantees, the individual advertising spots are the performance obligation and consideration is allocated among the individual advertising spots based on relative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98" w:name="page99"/>
    <w:bookmarkEnd w:id="98"/>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standalone selling price. Advertising contracts, which are generally short-term, are billed monthly, with payments due shortly after the invoice date.</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i w:val="1"/>
          <w:iCs w:val="1"/>
          <w:color w:val="auto"/>
        </w:rPr>
        <w:t>Affiliate and Subscription Revenues</w:t>
      </w:r>
      <w:r>
        <w:rPr>
          <w:rFonts w:ascii="Times New Roman" w:cs="Times New Roman" w:eastAsia="Times New Roman" w:hAnsi="Times New Roman"/>
          <w:sz w:val="19"/>
          <w:szCs w:val="19"/>
          <w:color w:val="auto"/>
        </w:rPr>
        <w:t>—Affiliate and subscription revenues are principally comprised of affiliate fees received from distributors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for carriage of our cable networks (“cable affiliate fees”) and our owned television stations (“retransmission fees”); affiliate fees received from television stations for their affiliation with the CBS Television Network (“reverse compensation”); and subscription fees for our subscription streaming services. Costs incurred for advertising, marketing and other services provided to us by cable, satellite and other distributors that are in exchange for a distinct service are recorded as expenses. If a distinct service is not received, such costs are recorded as a reduction to revenues.</w:t>
      </w:r>
    </w:p>
    <w:p>
      <w:pPr>
        <w:spacing w:after="0" w:line="200" w:lineRule="exact"/>
        <w:rPr>
          <w:sz w:val="20"/>
          <w:szCs w:val="20"/>
          <w:color w:val="auto"/>
        </w:rPr>
      </w:pP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 performance obligation for our affiliate agreements is a license to our programming provided through the continuous delivery of live linear feeds and, for agreements with certain distributors, also includes a license to programming for video-on-demand viewing. Affiliate revenues are recognized over the term of the agreement as we satisfy our performance obligation by continuously providing our customer with the right to use our programming. For agreements that provide for a variable fee, revenues are determined each month based on an agreed upon contractual rate applied to the number of subscribers to our customer’s service. For agreements that provide for a fixed fee, revenues are recognized based on the relative fair value of the content provided over the term of the agreement. These agreements primarily include agreements with television stations affiliated with the CBS Television Network (“network affiliates”) for which fair value is determined based on the fair value of the network affiliate’s service and the value of our programming. For affiliate revenues, payments are generally due monthly. Subscription revenues to our streaming services are recognized evenly over the subscription period.</w:t>
      </w:r>
    </w:p>
    <w:p>
      <w:pPr>
        <w:spacing w:after="0" w:line="19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9"/>
          <w:szCs w:val="19"/>
          <w:i w:val="1"/>
          <w:iCs w:val="1"/>
          <w:color w:val="auto"/>
        </w:rPr>
        <w:t>Theatrical Revenues</w:t>
      </w:r>
      <w:r>
        <w:rPr>
          <w:rFonts w:ascii="Times New Roman" w:cs="Times New Roman" w:eastAsia="Times New Roman" w:hAnsi="Times New Roman"/>
          <w:sz w:val="19"/>
          <w:szCs w:val="19"/>
          <w:color w:val="auto"/>
        </w:rPr>
        <w:t>—Theatrical revenue is earned from the theatrical distribution of our films during the exhibition period. Under these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arrangements, revenues are recognized based on sales to the end customer.</w:t>
      </w:r>
    </w:p>
    <w:p>
      <w:pPr>
        <w:spacing w:after="0" w:line="15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i w:val="1"/>
          <w:iCs w:val="1"/>
          <w:color w:val="auto"/>
        </w:rPr>
        <w:t>Licensing and Other Revenues</w:t>
      </w:r>
      <w:r>
        <w:rPr>
          <w:rFonts w:ascii="Times New Roman" w:cs="Times New Roman" w:eastAsia="Times New Roman" w:hAnsi="Times New Roman"/>
          <w:sz w:val="19"/>
          <w:szCs w:val="19"/>
          <w:color w:val="auto"/>
        </w:rPr>
        <w:t>—Licensing and other revenues are principally comprised of fees from the licensing of the rights to exhibit our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internally-produced television and film programming on various platforms in the secondary market after its initial exhibition on our owned or third-party platforms; license fees from content produced or distributed for third parties; home entertainment revenues, which include revenues from the viewing of our content on a transactional basis through transactional video-on-demand (TVOD) and electronic sell-through services, and the sale and distribution of our content through DVDs and Blu-ray discs to wholesale and retail partners; fees from the use of our trademarks and brands for consumer products, recreation and live events; and revenues from studio rentals and production services.</w:t>
      </w:r>
    </w:p>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For licenses of exhibition rights for internally-produced programming, each individual episode or film delivered represents a separate performance obligation and revenues are recognized when the episode or film is made available to the licensee for exhibition and the license period has begun. For license agreements that include delivery of content on one or more dates for a fixed fee, consideration is allocated based on the relative standalone selling price of each episode or film. Estimation of standalone selling prices requires judgment, which can impact the timing of recognizing revenues. Agreements to license programming are often long term, with collection terms ranging from one to five years.</w:t>
      </w:r>
    </w:p>
    <w:p>
      <w:pPr>
        <w:spacing w:after="0" w:line="20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When payment is due from a customer more than one year before or after revenue is recognized, we consider the contract to contain a significant financing component and the transaction price is adjusted for the effects of the time value of money. We do not adjust the transaction price for the time value of money if payment is expected within one year of recognizing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99" w:name="page100"/>
    <w:bookmarkEnd w:id="99"/>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We also license our programming to distributors of transactional video-on-demand and similar services. Under these arrangements, our performance obligation is the delivery of our content to such distributors who then license our content to the end customer. Our revenues are determined each month based on a contractual rate applied to the number of licenses to the distributors’ end customers. Similarly, revenues earned from electronic sell-through services are recognized as each program is downloaded by the end customer.</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Revenues associated with the licensing of our brands for consumer products, recreation and live events are generally determined based on contractual royalty rates applied to sales reported by the licensees. For consumer products and recreation arrangements that include minimum guaranteed consideration, revenue is recognized as sales occur by the licensee, if the sales-based consideration is expected to exceed the minimum guarantee, or ratably if it is not expected to exceed the minimum guarantee. For live events, we recognize revenue when the event is held.</w:t>
      </w:r>
    </w:p>
    <w:p>
      <w:pPr>
        <w:spacing w:after="0" w:line="200" w:lineRule="exact"/>
        <w:rPr>
          <w:sz w:val="20"/>
          <w:szCs w:val="20"/>
          <w:color w:val="auto"/>
        </w:rPr>
      </w:pPr>
    </w:p>
    <w:p>
      <w:pPr>
        <w:spacing w:after="0" w:line="22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Revenues from the sales of DVDs and Blu-ray discs to wholesalers and retailers are recognized upon the later of the physical delivery to the customer or the date that any sales restrictions on the retailers are lifted.</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We earn revenues from the distribution of content on behalf of third parties. We also have arrangements for the distribution or sale of our content by third parties. Under such arrangements, we determine whether revenues should be recognized based on the gross amount of consideration received from the customer or the net amount of revenue we retain after payment to the third party producer or distributor, based on an assessment of which party controls the good or service being transferred.</w:t>
      </w:r>
    </w:p>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i w:val="1"/>
          <w:iCs w:val="1"/>
          <w:color w:val="auto"/>
        </w:rPr>
        <w:t>Revenue Allowances</w:t>
      </w:r>
      <w:r>
        <w:rPr>
          <w:rFonts w:ascii="Times New Roman" w:cs="Times New Roman" w:eastAsia="Times New Roman" w:hAnsi="Times New Roman"/>
          <w:sz w:val="19"/>
          <w:szCs w:val="19"/>
          <w:color w:val="auto"/>
        </w:rPr>
        <w:t>—DVDs and Blu-ray discs are generally sold with a right of return. We record a provision for sales returns and allowances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at the time of sale based upon an estimate of future returns, rebates and other incentives. In determining this provision, we consider sources of qualitative and quantitative evidence including forecast sales data, customers’ rights of return, sales levels for units already shipped, historical return rates for similar products, current economic trends, the competitive environment, promotions and our sales strategies. Reserves for sales returns and allowances of $17 million and $40 million at December 31, 2024 and 2023, respectively, are recorded in “Other current liabilities” on the Consolidated Balance Sheets.</w:t>
      </w:r>
    </w:p>
    <w:p>
      <w:pPr>
        <w:spacing w:after="0" w:line="19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Reserves for accounts receivable reflect our expected credit losses, which are estimated based on historical experience, as well as current and expected economic conditions and industry trends. Our allowance for credit losses was $125 million and $120 million at December 31, 2024 and 2023, respectively. The provision for doubtful accounts charged to expense was $39 million in 2024, $26 million in 2023 and $40 million in 2022.</w:t>
      </w:r>
    </w:p>
    <w:p>
      <w:pPr>
        <w:spacing w:after="0" w:line="200" w:lineRule="exact"/>
        <w:rPr>
          <w:sz w:val="20"/>
          <w:szCs w:val="20"/>
          <w:color w:val="auto"/>
        </w:rPr>
      </w:pPr>
    </w:p>
    <w:p>
      <w:pPr>
        <w:spacing w:after="0" w:line="2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i w:val="1"/>
          <w:iCs w:val="1"/>
          <w:color w:val="auto"/>
        </w:rPr>
        <w:t>Contract Liabilities</w:t>
      </w:r>
      <w:r>
        <w:rPr>
          <w:rFonts w:ascii="Times New Roman" w:cs="Times New Roman" w:eastAsia="Times New Roman" w:hAnsi="Times New Roman"/>
          <w:sz w:val="19"/>
          <w:szCs w:val="19"/>
          <w:color w:val="auto"/>
        </w:rPr>
        <w:t>—A contract liability is recorded when consideration is received from a customer prior to fully satisfying a performance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obligation in a contract. Our contract liabilities primarily consist of cash received related to advertising arrangements for which the required audience rating or impressions have not been delivered; consumer products arrangements with minimum guarantees; and content licensing arrangements under which the content has not yet been made available to the customer. These contract liabilities will be recognized as revenues when control of the related product or service is transferred to the customer. Contract liabilities are included within “Deferred revenues” and “Other liabilities” on the Consolidated Balance Sheets.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i w:val="1"/>
          <w:iCs w:val="1"/>
          <w:color w:val="auto"/>
        </w:rPr>
        <w:t>Collaborative Arrangements</w:t>
      </w:r>
      <w:r>
        <w:rPr>
          <w:rFonts w:ascii="Times New Roman" w:cs="Times New Roman" w:eastAsia="Times New Roman" w:hAnsi="Times New Roman"/>
          <w:sz w:val="19"/>
          <w:szCs w:val="19"/>
          <w:color w:val="auto"/>
        </w:rPr>
        <w:t>—Collaborative arrangements primarily consist of joint efforts with third parties to produce and distribute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programming such as television series and live sporting events, including the agreement between us and Turner Broadcasting System, Inc. to telecast the </w:t>
      </w:r>
      <w:r>
        <w:rPr>
          <w:rFonts w:ascii="Times New Roman" w:cs="Times New Roman" w:eastAsia="Times New Roman" w:hAnsi="Times New Roman"/>
          <w:sz w:val="19"/>
          <w:szCs w:val="19"/>
          <w:i w:val="1"/>
          <w:iCs w:val="1"/>
          <w:color w:val="auto"/>
        </w:rPr>
        <w:t>NCAA Division I Men’s Basketball Championship</w:t>
      </w:r>
      <w:r>
        <w:rPr>
          <w:rFonts w:ascii="Times New Roman" w:cs="Times New Roman" w:eastAsia="Times New Roman" w:hAnsi="Times New Roman"/>
          <w:sz w:val="19"/>
          <w:szCs w:val="19"/>
          <w:color w:val="auto"/>
        </w:rPr>
        <w:t xml:space="preserve"> (the “NCAA Tournament”), which runs through 2032. In connection with this agreement for the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00" w:name="page101"/>
    <w:bookmarkEnd w:id="100"/>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NCAA Tournament, advertisements aired on the CBS Television Network are recorded as revenues and our share of the program rights fees and other operating costs are recorded as operating expenses.</w:t>
      </w:r>
    </w:p>
    <w:p>
      <w:pPr>
        <w:spacing w:after="0" w:line="1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We also enter into collaborative arrangements with other studios to jointly finance and distribute film and television programming, under which each partner is responsible for distribution of the program in specific territories or distribution windows. Under these arrangements, our share of costs for co-productions are initially capitalized as programming inventory and amortized over the estimated economic life of the program. In such arrangements where we have distribution rights, all proceeds generated from such distribution are recorded as revenues and any participation profits due to third party collaborators are recorded as participation expenses. In co-production arrangements where third party collaborators have distribution rights, our net participating profits are recorded as revenues.</w:t>
      </w:r>
    </w:p>
    <w:p>
      <w:pPr>
        <w:spacing w:after="0" w:line="20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Amounts attributable to transactions arising from collaborative arrangements between participants were not material to the consolidated financial statements for any period presented.</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i w:val="1"/>
          <w:iCs w:val="1"/>
          <w:color w:val="auto"/>
        </w:rPr>
        <w:t>Leases</w:t>
      </w:r>
      <w:r>
        <w:rPr>
          <w:rFonts w:ascii="Times New Roman" w:cs="Times New Roman" w:eastAsia="Times New Roman" w:hAnsi="Times New Roman"/>
          <w:sz w:val="19"/>
          <w:szCs w:val="19"/>
          <w:color w:val="auto"/>
        </w:rPr>
        <w:t>—Our leases are principally comprised of operating leases for office space, equipment, satellite transponders and studio facilities. We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determine that a contract contains a lease if we obtain substantially all of the economic benefits of, and the right to direct the use of, an asset identified in the contract. For leases with terms greater than 12 months, we record a right-of-use asset and a lease liability representing the present value of future lease payments. The discount rate used to measure the lease asset and liability is determined at the beginning of the lease term using the rate implicit in the lease, if readily determinable, or our collateralized incremental borrowing rate. For those contracts that include fixed rental payments for both the use of the asset (“lease costs”) as well as for other occupancy or service costs relating to the asset (“non-lease costs”), we generally include both the lease costs and non-lease costs in the measurement of the lease asset and liability. We also own buildings and production facilities where we lease space to lessees.</w:t>
      </w:r>
    </w:p>
    <w:p>
      <w:pPr>
        <w:spacing w:after="0" w:line="20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Our leases generally have remaining terms of up to 14 years and often contain renewal options to extend the lease for periods of generally up to 10 years. For leases that contain renewal options, we include the renewal period in the lease term if it is reasonably certain that the option will be exercised. Lease expense and income for our operating leases are recognized on a straight-line basis over the lease term, with the exception of variable lease costs, which are expensed as incurred, and leases of assets used in the production of programming, which are capitalized in programming assets and amortized over the projected useful life of the related programming.</w:t>
      </w:r>
    </w:p>
    <w:p>
      <w:pPr>
        <w:spacing w:after="0" w:line="2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9"/>
          <w:szCs w:val="19"/>
          <w:i w:val="1"/>
          <w:iCs w:val="1"/>
          <w:color w:val="auto"/>
        </w:rPr>
        <w:t>Advertising</w:t>
      </w:r>
      <w:r>
        <w:rPr>
          <w:rFonts w:ascii="Times New Roman" w:cs="Times New Roman" w:eastAsia="Times New Roman" w:hAnsi="Times New Roman"/>
          <w:sz w:val="19"/>
          <w:szCs w:val="19"/>
          <w:color w:val="auto"/>
        </w:rPr>
        <w:t>—Advertising costs are expensed as incurred. We incurred total advertising expenses of $2.53 billion in 2024, $2.90 billion in 2023</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$2.69 billion in 2022.</w:t>
      </w:r>
    </w:p>
    <w:p>
      <w:pPr>
        <w:spacing w:after="0" w:line="18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9"/>
          <w:szCs w:val="19"/>
          <w:i w:val="1"/>
          <w:iCs w:val="1"/>
          <w:color w:val="auto"/>
        </w:rPr>
        <w:t>Interest</w:t>
      </w:r>
      <w:r>
        <w:rPr>
          <w:rFonts w:ascii="Times New Roman" w:cs="Times New Roman" w:eastAsia="Times New Roman" w:hAnsi="Times New Roman"/>
          <w:sz w:val="19"/>
          <w:szCs w:val="19"/>
          <w:color w:val="auto"/>
        </w:rPr>
        <w:t>—Costs associated with the refinancing or issuance of debt, as well as debt discounts or premiums, are recorded as interest over the term</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the related debt.</w:t>
      </w:r>
    </w:p>
    <w:p>
      <w:pPr>
        <w:spacing w:after="0" w:line="18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i w:val="1"/>
          <w:iCs w:val="1"/>
          <w:color w:val="auto"/>
        </w:rPr>
        <w:t>Income Taxes</w:t>
      </w:r>
      <w:r>
        <w:rPr>
          <w:rFonts w:ascii="Times New Roman" w:cs="Times New Roman" w:eastAsia="Times New Roman" w:hAnsi="Times New Roman"/>
          <w:sz w:val="19"/>
          <w:szCs w:val="19"/>
          <w:color w:val="auto"/>
        </w:rPr>
        <w:t>—The provision for/benefit from income taxes includes federal, state, local, and foreign taxes. We recognize the tax on global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intangible low-taxed income, a U.S. tax on certain income earned by our foreign subsidiaries, within the provision for income taxes as a period cost when incurred. Deferred tax assets and liabilities are recognized for the estimated future tax effects of temporary differences between the</w:t>
      </w:r>
    </w:p>
    <w:p>
      <w:pPr>
        <w:spacing w:after="0" w:line="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financial statement carrying amounts and their respective tax basis. Deferred tax assets and liabilities are measured using enacted tax rates expected to apply to taxable income in the year in which the temporary differences are expected to be reversed. We evaluate the realizability of deferred tax assets and establish a valuation allowance when it is more likely than not that all or a portion of deferred tax assets will not be realized. Deferred tax assets and deferred tax liabilities are classified as noncurrent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01" w:name="page102"/>
    <w:bookmarkEnd w:id="101"/>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For tax positions taken in a previously filed tax return or expected to be taken in a future tax return, we evaluate each position to determine whether it is more likely than not that the tax position will be sustained upon examination, based on the technical merits of the position. A tax position that meets the more-likely-than-not recognition threshold is subject to a measurement assessment to determine the amount of benefit to be recognized in the Consolidated Statement of Operations and the appropriate reserve to establish, if any. If a tax position does not meet the more-likely-than-not recognition threshold, a tax reserve is established and no benefit is recognized. A number of years may elapse before a tax return containing tax matters for which a reserve has been established is audited and finally resolved. We recognize interest and penalty charges related to the reserve for uncertain tax positions as income tax expense.</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i w:val="1"/>
          <w:iCs w:val="1"/>
          <w:color w:val="auto"/>
        </w:rPr>
        <w:t>Foreign Currency Translation and Transactions</w:t>
      </w:r>
      <w:r>
        <w:rPr>
          <w:rFonts w:ascii="Times New Roman" w:cs="Times New Roman" w:eastAsia="Times New Roman" w:hAnsi="Times New Roman"/>
          <w:sz w:val="19"/>
          <w:szCs w:val="19"/>
          <w:color w:val="auto"/>
        </w:rPr>
        <w:t>—Assets and liabilities of subsidiaries with a functional currency other than the U.S. Dollar are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translated into U.S. Dollars at foreign exchange rates in effect at the balance sheet date, while results of operations are translated at average foreign exchange rates for the respective periods. The resulting translation gains and losses are included as a separate component of stockholders’ equity in “Accumulated other comprehensive loss” on the Consolidated Balance Sheets. Argentina has been designated as a highly inflationary economy during all periods presented. Transactions denominated in currencies other than the functional currency will result in remeasurement gains and losses, which are included in “Other items, net” on the Consolidated Statements of Operations.</w:t>
      </w:r>
    </w:p>
    <w:p>
      <w:pPr>
        <w:spacing w:after="0" w:line="2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i w:val="1"/>
          <w:iCs w:val="1"/>
          <w:color w:val="auto"/>
        </w:rPr>
        <w:t>Net Earnings (Loss) per Common Share</w:t>
      </w:r>
      <w:r>
        <w:rPr>
          <w:rFonts w:ascii="Times New Roman" w:cs="Times New Roman" w:eastAsia="Times New Roman" w:hAnsi="Times New Roman"/>
          <w:sz w:val="19"/>
          <w:szCs w:val="19"/>
          <w:color w:val="auto"/>
        </w:rPr>
        <w:t>—Basic net earnings (loss) per share (“EPS”) is based upon net earnings (loss) available to common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stockholders divided by the weighted average number of common shares outstanding during the period. Net earnings (loss) available to common stockholders is calculated as net earnings (loss) from continuing operations or net earnings (loss), as applicable, adjusted to include dividends on our 5.75% Series A Mandatory Convertible Preferred Stock (“Mandatory Convertible Preferred Stock”). On April 1, 2024, all outstanding shares of our Mandatory Convertible Preferred Stock were automatically and mandatorily converted into shares of our Class B Common Stock. The final dividend on the Mandatory Convertible Preferred Stock was declared during the first quarter of 2024 and paid on April 1, 2024 (see Note 13).</w:t>
      </w:r>
    </w:p>
    <w:p>
      <w:pPr>
        <w:spacing w:after="0" w:line="200" w:lineRule="exact"/>
        <w:rPr>
          <w:sz w:val="20"/>
          <w:szCs w:val="20"/>
          <w:color w:val="auto"/>
        </w:rPr>
      </w:pPr>
    </w:p>
    <w:p>
      <w:pPr>
        <w:spacing w:after="0" w:line="2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Weighted average shares for diluted EPS reflect the effect of the assumed exercise of stock options and vesting of restricted share units (“RSUs”) or performance share units (“PSUs”) only in the periods in which such effect would have been dilutive. In periods prior to the conversion of our preferred stock, diluted EPS also reflected the effect of the assumed conversion of preferred stock, when dilutive, which included the issuance of common shares in the weighted average number of shares and excluded the above-mentioned preferred stock dividend adjustment to net earnings (loss) available to common stockholders.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All of our stock options and RSUs, which totaled 28 million and 19 million for the years ended December 31, 2024 and 2023, respectively, were excluded from the calculations of diluted EPS because their inclusion would have been antidilutive since we reported a net loss in each of these years. Stock options and RSUs totaling 11 million for the year ended December 31, 2022 were excluded from the calculation of diluted EPS because their inclusion would have been antidilutive. Also excluded from the calculation of diluted EPS for the year ended December 31, 2024 prior to the preferred stock conversion discussed above, and for the years ended December 31, 2023 and 2022, was the effect of the assumed conversion of our 10 million shares of Mandatory Convertible Preferred Stock into shares of common stock because the impact would have been antidilutive. The table below presents a reconciliation of weighted average shares used in the calculation of basic and diluted 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02" w:name="page103"/>
    <w:bookmarkEnd w:id="102"/>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420" w:type="dxa"/>
        <w:tblCellMar>
          <w:top w:w="0" w:type="dxa"/>
          <w:left w:w="0" w:type="dxa"/>
          <w:bottom w:w="0" w:type="dxa"/>
          <w:right w:w="0" w:type="dxa"/>
        </w:tblCellMar>
      </w:tblPr>
      <w:tr>
        <w:trPr>
          <w:trHeight w:val="252"/>
        </w:trPr>
        <w:tc>
          <w:tcPr>
            <w:tcW w:w="6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92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8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5"/>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for basic EPS</w:t>
            </w:r>
          </w:p>
        </w:tc>
        <w:tc>
          <w:tcPr>
            <w:tcW w:w="19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664</w:t>
            </w:r>
          </w:p>
        </w:tc>
        <w:tc>
          <w:tcPr>
            <w:tcW w:w="13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652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30"/>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shares issuable under stock-based compensation plans</w:t>
            </w:r>
          </w:p>
        </w:tc>
        <w:tc>
          <w:tcPr>
            <w:tcW w:w="19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for diluted EPS</w:t>
            </w:r>
          </w:p>
        </w:tc>
        <w:tc>
          <w:tcPr>
            <w:tcW w:w="19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664</w:t>
            </w:r>
          </w:p>
        </w:tc>
        <w:tc>
          <w:tcPr>
            <w:tcW w:w="13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652</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r>
    </w:tbl>
    <w:p>
      <w:pPr>
        <w:spacing w:after="0" w:line="21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Because the impact of the assumed conversion of the Mandatory Convertible Preferred Stock would have been antidilutive, net earnings (loss) from continuing operations and net earnings (loss) used in our calculation of diluted EPS for each of the years ended December 31, 2024, 2023 and 2022 include a reduction for the preferred stock dividends recorded during the periods prior to the April 2024 conversion. The table below presents a reconciliation of net earnings (loss) from continuing operations and net earnings (loss) to the amounts used in the calculations of basic and diluted EPS.</w:t>
      </w:r>
    </w:p>
    <w:p>
      <w:pPr>
        <w:spacing w:after="0" w:line="139" w:lineRule="exact"/>
        <w:rPr>
          <w:sz w:val="20"/>
          <w:szCs w:val="20"/>
          <w:color w:val="auto"/>
        </w:rPr>
      </w:pPr>
    </w:p>
    <w:tbl>
      <w:tblPr>
        <w:tblLayout w:type="fixed"/>
        <w:tblInd w:w="420" w:type="dxa"/>
        <w:tblCellMar>
          <w:top w:w="0" w:type="dxa"/>
          <w:left w:w="0" w:type="dxa"/>
          <w:bottom w:w="0" w:type="dxa"/>
          <w:right w:w="0" w:type="dxa"/>
        </w:tblCellMar>
      </w:tblPr>
      <w:tr>
        <w:trPr>
          <w:trHeight w:val="252"/>
        </w:trPr>
        <w:tc>
          <w:tcPr>
            <w:tcW w:w="56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Amounts attributable to Paramount:</w:t>
            </w: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5"/>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 from continuing operations</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(6,204)</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(1,284)</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r>
      <w:tr>
        <w:trPr>
          <w:trHeight w:val="230"/>
        </w:trPr>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1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(58)</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174"/>
        </w:trPr>
        <w:tc>
          <w:tcPr>
            <w:tcW w:w="568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Net earnings (loss) from continuing operations for basic and diluted</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7"/>
        </w:trPr>
        <w:tc>
          <w:tcPr>
            <w:tcW w:w="5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EPS calculation</w:t>
            </w:r>
          </w:p>
        </w:tc>
        <w:tc>
          <w:tcPr>
            <w:tcW w:w="11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(6,218)</w:t>
            </w:r>
          </w:p>
        </w:tc>
        <w:tc>
          <w:tcPr>
            <w:tcW w:w="3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(1,342)</w:t>
            </w:r>
          </w:p>
        </w:tc>
        <w:tc>
          <w:tcPr>
            <w:tcW w:w="3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r>
      <w:tr>
        <w:trPr>
          <w:trHeight w:val="472"/>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Amounts attributable to Paramount:</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5"/>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(6,190)</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(608)</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r>
      <w:tr>
        <w:trPr>
          <w:trHeight w:val="230"/>
        </w:trPr>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1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(58)</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5"/>
        </w:trPr>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 (loss) for basic and diluted EPS calculation</w:t>
            </w:r>
          </w:p>
        </w:tc>
        <w:tc>
          <w:tcPr>
            <w:tcW w:w="11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(6,204)</w:t>
            </w:r>
          </w:p>
        </w:tc>
        <w:tc>
          <w:tcPr>
            <w:tcW w:w="3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(666)</w:t>
            </w:r>
          </w:p>
        </w:tc>
        <w:tc>
          <w:tcPr>
            <w:tcW w:w="3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r>
    </w:tbl>
    <w:p>
      <w:pPr>
        <w:spacing w:after="0" w:line="22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i w:val="1"/>
          <w:iCs w:val="1"/>
          <w:color w:val="auto"/>
        </w:rPr>
        <w:t>Stock-based Compensation</w:t>
      </w:r>
      <w:r>
        <w:rPr>
          <w:rFonts w:ascii="Times New Roman" w:cs="Times New Roman" w:eastAsia="Times New Roman" w:hAnsi="Times New Roman"/>
          <w:sz w:val="19"/>
          <w:szCs w:val="19"/>
          <w:color w:val="auto"/>
        </w:rPr>
        <w:t>—We measure the cost of employee services received in exchange for an award of equity instruments based on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grant date fair value of the award. The cost is recognized over the vesting period during which an employee is required to provide service in exchange for the award.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Recently Adopted Accounting Pronouncements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Segment Reporting</w:t>
      </w:r>
    </w:p>
    <w:p>
      <w:pPr>
        <w:spacing w:after="0" w:line="1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During the fourth quarter of 2024, we adopted amended Financial Accounting Standards Board (“FASB”) guidance for segment reporting, which requires the disclosure of significant segment expenses that are regularly provided to the chief operating decision maker (“CODM”) and included within the reported measure of segment profit or loss (“segment measure”), as well as the disclosure of the other segment items comprising the difference between segment revenues less these significant segment expenses and the segment measure. The update also requires us to disclose the title and position of the CODM and to describe how the CODM utilizes the segment measure to assess segment performance and allocate resources. In addition, the update aligns the interim disclosure requirements for segment profit or loss and assets with the annual requirements. We applied this guidance to all periods presented (See Note 17).</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Accounting Pronouncements Not Yet Adopted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Income Taxes</w:t>
      </w:r>
    </w:p>
    <w:p>
      <w:pPr>
        <w:spacing w:after="0" w:line="155"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9"/>
          <w:szCs w:val="19"/>
          <w:color w:val="auto"/>
        </w:rPr>
        <w:t>In December 2023, the FASB issued guidance enhancing annual income tax disclosures. Under this guidance, certain enhancements to the effective tax rate reconciliation disclosure are required, including the inclusion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03" w:name="page104"/>
    <w:bookmarkEnd w:id="103"/>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both percentages and amounts, specific categories, and additional information for reconciling items meeting a quantitative threshold defined by the guidance. Additionally, disclosures of income taxes paid and income tax expense must be disaggregated by federal, state and foreign taxes, with income taxes paid further disaggregated for individual jurisdictions that represent 5 percent or more of total income taxes paid. The guidance is effective for us starting with the year ended December 31, 2025, with early adoption permitted. The amendment will be applied on a prospective basis, with the option to apply the guidance retrospectively.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Disaggregation of Income Statement Expenses</w:t>
      </w:r>
    </w:p>
    <w:p>
      <w:pPr>
        <w:spacing w:after="0" w:line="155"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9"/>
          <w:szCs w:val="19"/>
          <w:color w:val="auto"/>
        </w:rPr>
        <w:t>In November 2024, the FASB issued guidance requiring disclosure in the notes to the financial statements of the disaggregation of relevant expense captions on the income statement into specified expense categories, including employee compensation, as well as disclosure of total selling expenses. The guidance is effective for us for the year ended December 31, 2027, and for all interim and annual periods thereafter, and may be applied either prospectively or retrospectively.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 PROPERTY AND EQUIPMENT</w:t>
      </w:r>
    </w:p>
    <w:p>
      <w:pPr>
        <w:spacing w:after="0" w:line="186" w:lineRule="exact"/>
        <w:rPr>
          <w:sz w:val="20"/>
          <w:szCs w:val="20"/>
          <w:color w:val="auto"/>
        </w:rPr>
      </w:pPr>
    </w:p>
    <w:tbl>
      <w:tblPr>
        <w:tblLayout w:type="fixed"/>
        <w:tblInd w:w="460" w:type="dxa"/>
        <w:tblCellMar>
          <w:top w:w="0" w:type="dxa"/>
          <w:left w:w="0" w:type="dxa"/>
          <w:bottom w:w="0" w:type="dxa"/>
          <w:right w:w="0" w:type="dxa"/>
        </w:tblCellMar>
      </w:tblPr>
      <w:tr>
        <w:trPr>
          <w:trHeight w:val="252"/>
        </w:trPr>
        <w:tc>
          <w:tcPr>
            <w:tcW w:w="50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29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2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370</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25"/>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298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889</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30"/>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Equipment and other</w:t>
            </w:r>
          </w:p>
        </w:tc>
        <w:tc>
          <w:tcPr>
            <w:tcW w:w="29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3,987</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3,916</w:t>
            </w:r>
          </w:p>
        </w:tc>
      </w:tr>
      <w:tr>
        <w:trPr>
          <w:trHeight w:val="213"/>
        </w:trPr>
        <w:tc>
          <w:tcPr>
            <w:tcW w:w="50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5,246</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w:t>
            </w:r>
          </w:p>
        </w:tc>
      </w:tr>
      <w:tr>
        <w:trPr>
          <w:trHeight w:val="230"/>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9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3,680</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3,504</w:t>
            </w:r>
          </w:p>
        </w:tc>
      </w:tr>
      <w:tr>
        <w:trPr>
          <w:trHeight w:val="225"/>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9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1,566</w:t>
            </w: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w:t>
            </w:r>
          </w:p>
        </w:tc>
      </w:tr>
    </w:tbl>
    <w:p>
      <w:pPr>
        <w:spacing w:after="0" w:line="232" w:lineRule="exact"/>
        <w:rPr>
          <w:sz w:val="20"/>
          <w:szCs w:val="20"/>
          <w:color w:val="auto"/>
        </w:rPr>
      </w:pPr>
    </w:p>
    <w:tbl>
      <w:tblPr>
        <w:tblLayout w:type="fixed"/>
        <w:tblInd w:w="680" w:type="dxa"/>
        <w:tblCellMar>
          <w:top w:w="0" w:type="dxa"/>
          <w:left w:w="0" w:type="dxa"/>
          <w:bottom w:w="0" w:type="dxa"/>
          <w:right w:w="0" w:type="dxa"/>
        </w:tblCellMar>
      </w:tblPr>
      <w:tr>
        <w:trPr>
          <w:trHeight w:val="252"/>
        </w:trPr>
        <w:tc>
          <w:tcPr>
            <w:tcW w:w="4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5"/>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29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364</w:t>
            </w:r>
          </w:p>
        </w:tc>
        <w:tc>
          <w:tcPr>
            <w:tcW w:w="9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383</w:t>
            </w: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04" w:name="page105"/>
    <w:bookmarkEnd w:id="104"/>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3) PROGRAMMING AND OTHER INVENTORY</w:t>
      </w:r>
    </w:p>
    <w:p>
      <w:pPr>
        <w:spacing w:after="0" w:line="15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The following table presents our programming and other inventory at December 31, 2024 and 2023, grouped by type and predominant monetization strategy.</w:t>
      </w:r>
    </w:p>
    <w:p>
      <w:pPr>
        <w:spacing w:after="0" w:line="53" w:lineRule="exact"/>
        <w:rPr>
          <w:sz w:val="20"/>
          <w:szCs w:val="20"/>
          <w:color w:val="auto"/>
        </w:rPr>
      </w:pPr>
    </w:p>
    <w:tbl>
      <w:tblPr>
        <w:tblLayout w:type="fixed"/>
        <w:tblInd w:w="900" w:type="dxa"/>
        <w:tblCellMar>
          <w:top w:w="0" w:type="dxa"/>
          <w:left w:w="0" w:type="dxa"/>
          <w:bottom w:w="0" w:type="dxa"/>
          <w:right w:w="0" w:type="dxa"/>
        </w:tblCellMar>
      </w:tblPr>
      <w:tr>
        <w:trPr>
          <w:trHeight w:val="252"/>
        </w:trPr>
        <w:tc>
          <w:tcPr>
            <w:tcW w:w="5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17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3"/>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Film Group Monetization:</w:t>
            </w:r>
          </w:p>
        </w:tc>
        <w:tc>
          <w:tcPr>
            <w:tcW w:w="1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5"/>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Acquired program rights, including prepaid sports rights</w:t>
            </w:r>
          </w:p>
        </w:tc>
        <w:tc>
          <w:tcPr>
            <w:tcW w:w="17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3,168</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w:t>
            </w:r>
          </w:p>
        </w:tc>
      </w:tr>
      <w:tr>
        <w:trPr>
          <w:trHeight w:val="225"/>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Internally-produced television and film programming:</w:t>
            </w:r>
          </w:p>
        </w:tc>
        <w:tc>
          <w:tcPr>
            <w:tcW w:w="1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5"/>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Released</w:t>
            </w:r>
          </w:p>
        </w:tc>
        <w:tc>
          <w:tcPr>
            <w:tcW w:w="1700" w:type="dxa"/>
            <w:vAlign w:val="bottom"/>
          </w:tcPr>
          <w:p>
            <w:pPr>
              <w:spacing w:after="0"/>
              <w:rPr>
                <w:sz w:val="19"/>
                <w:szCs w:val="19"/>
                <w:color w:val="auto"/>
              </w:rPr>
            </w:pP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6,847</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w:t>
            </w:r>
          </w:p>
        </w:tc>
      </w:tr>
      <w:tr>
        <w:trPr>
          <w:trHeight w:val="231"/>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 process and other</w:t>
            </w:r>
          </w:p>
        </w:tc>
        <w:tc>
          <w:tcPr>
            <w:tcW w:w="1700" w:type="dxa"/>
            <w:vAlign w:val="bottom"/>
          </w:tcPr>
          <w:p>
            <w:pPr>
              <w:spacing w:after="0"/>
              <w:rPr>
                <w:sz w:val="20"/>
                <w:szCs w:val="20"/>
                <w:color w:val="auto"/>
              </w:rPr>
            </w:pP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2,292</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r>
      <w:tr>
        <w:trPr>
          <w:trHeight w:val="325"/>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Individual Monetization:</w:t>
            </w:r>
          </w:p>
        </w:tc>
        <w:tc>
          <w:tcPr>
            <w:tcW w:w="1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5"/>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Acquired libraries</w:t>
            </w:r>
          </w:p>
        </w:tc>
        <w:tc>
          <w:tcPr>
            <w:tcW w:w="1700" w:type="dxa"/>
            <w:vAlign w:val="bottom"/>
          </w:tcPr>
          <w:p>
            <w:pPr>
              <w:spacing w:after="0"/>
              <w:rPr>
                <w:sz w:val="19"/>
                <w:szCs w:val="19"/>
                <w:color w:val="auto"/>
              </w:rPr>
            </w:pP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308</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25"/>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Films:</w:t>
            </w:r>
          </w:p>
        </w:tc>
        <w:tc>
          <w:tcPr>
            <w:tcW w:w="1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5"/>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Released</w:t>
            </w:r>
          </w:p>
        </w:tc>
        <w:tc>
          <w:tcPr>
            <w:tcW w:w="1700" w:type="dxa"/>
            <w:vAlign w:val="bottom"/>
          </w:tcPr>
          <w:p>
            <w:pPr>
              <w:spacing w:after="0"/>
              <w:rPr>
                <w:sz w:val="19"/>
                <w:szCs w:val="19"/>
                <w:color w:val="auto"/>
              </w:rPr>
            </w:pP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877</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225"/>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Completed, not yet released</w:t>
            </w:r>
          </w:p>
        </w:tc>
        <w:tc>
          <w:tcPr>
            <w:tcW w:w="1700" w:type="dxa"/>
            <w:vAlign w:val="bottom"/>
          </w:tcPr>
          <w:p>
            <w:pPr>
              <w:spacing w:after="0"/>
              <w:rPr>
                <w:sz w:val="19"/>
                <w:szCs w:val="19"/>
                <w:color w:val="auto"/>
              </w:rPr>
            </w:pP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42</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5"/>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 process and other</w:t>
            </w:r>
          </w:p>
        </w:tc>
        <w:tc>
          <w:tcPr>
            <w:tcW w:w="1700" w:type="dxa"/>
            <w:vAlign w:val="bottom"/>
          </w:tcPr>
          <w:p>
            <w:pPr>
              <w:spacing w:after="0"/>
              <w:rPr>
                <w:sz w:val="19"/>
                <w:szCs w:val="19"/>
                <w:color w:val="auto"/>
              </w:rPr>
            </w:pP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960</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25"/>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Internally-produced television programming:</w:t>
            </w:r>
          </w:p>
        </w:tc>
        <w:tc>
          <w:tcPr>
            <w:tcW w:w="1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5"/>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Released</w:t>
            </w:r>
          </w:p>
        </w:tc>
        <w:tc>
          <w:tcPr>
            <w:tcW w:w="1700" w:type="dxa"/>
            <w:vAlign w:val="bottom"/>
          </w:tcPr>
          <w:p>
            <w:pPr>
              <w:spacing w:after="0"/>
              <w:rPr>
                <w:sz w:val="19"/>
                <w:szCs w:val="19"/>
                <w:color w:val="auto"/>
              </w:rPr>
            </w:pP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638</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25"/>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 process and other</w:t>
            </w:r>
          </w:p>
        </w:tc>
        <w:tc>
          <w:tcPr>
            <w:tcW w:w="1700" w:type="dxa"/>
            <w:vAlign w:val="bottom"/>
          </w:tcPr>
          <w:p>
            <w:pPr>
              <w:spacing w:after="0"/>
              <w:rPr>
                <w:sz w:val="19"/>
                <w:szCs w:val="19"/>
                <w:color w:val="auto"/>
              </w:rPr>
            </w:pP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195</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30"/>
        </w:trPr>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Home entertainment</w:t>
            </w:r>
          </w:p>
        </w:tc>
        <w:tc>
          <w:tcPr>
            <w:tcW w:w="17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26</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Total programming and other inventory</w:t>
            </w:r>
          </w:p>
        </w:tc>
        <w:tc>
          <w:tcPr>
            <w:tcW w:w="1700" w:type="dxa"/>
            <w:vAlign w:val="bottom"/>
          </w:tcPr>
          <w:p>
            <w:pPr>
              <w:spacing w:after="0"/>
              <w:rPr>
                <w:sz w:val="18"/>
                <w:szCs w:val="18"/>
                <w:color w:val="auto"/>
              </w:rPr>
            </w:pP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15,353</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15,265</w:t>
            </w:r>
          </w:p>
        </w:tc>
      </w:tr>
      <w:tr>
        <w:trPr>
          <w:trHeight w:val="230"/>
        </w:trPr>
        <w:tc>
          <w:tcPr>
            <w:tcW w:w="5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Less current portion</w:t>
            </w:r>
          </w:p>
        </w:tc>
        <w:tc>
          <w:tcPr>
            <w:tcW w:w="17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1,429</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w:t>
            </w:r>
          </w:p>
        </w:tc>
      </w:tr>
      <w:tr>
        <w:trPr>
          <w:trHeight w:val="225"/>
        </w:trPr>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noncurrent programming and other inventory</w:t>
            </w:r>
          </w:p>
        </w:tc>
        <w:tc>
          <w:tcPr>
            <w:tcW w:w="17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13,924</w:t>
            </w:r>
          </w:p>
        </w:tc>
        <w:tc>
          <w:tcPr>
            <w:tcW w:w="5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13,851</w:t>
            </w:r>
          </w:p>
        </w:tc>
      </w:tr>
    </w:tbl>
    <w:p>
      <w:pPr>
        <w:spacing w:after="0" w:line="20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The following table presents amortization of our television and film programming and production costs, which is included within “Operating expenses” on the Consolidated Statements of Operations.</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52"/>
        </w:trPr>
        <w:tc>
          <w:tcPr>
            <w:tcW w:w="6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5"/>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program rights</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5,482</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5,331</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w:t>
            </w:r>
          </w:p>
        </w:tc>
      </w:tr>
      <w:tr>
        <w:trPr>
          <w:trHeight w:val="267"/>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Internally-produced television and film programming, and acquired libraries:</w:t>
            </w:r>
          </w:p>
        </w:tc>
        <w:tc>
          <w:tcPr>
            <w:tcW w:w="7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25"/>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Individual monetization</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1,608</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2,065</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r>
      <w:tr>
        <w:trPr>
          <w:trHeight w:val="237"/>
        </w:trPr>
        <w:tc>
          <w:tcPr>
            <w:tcW w:w="6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Film group monetization</w:t>
            </w:r>
          </w:p>
        </w:tc>
        <w:tc>
          <w:tcPr>
            <w:tcW w:w="7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4,898</w:t>
            </w:r>
          </w:p>
        </w:tc>
        <w:tc>
          <w:tcPr>
            <w:tcW w:w="3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5,097</w:t>
            </w:r>
          </w:p>
        </w:tc>
        <w:tc>
          <w:tcPr>
            <w:tcW w:w="3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5,187</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Programming Charges</w:t>
      </w:r>
    </w:p>
    <w:p>
      <w:pPr>
        <w:spacing w:after="0" w:line="1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During 2023 and 2024, we implemented major strategic changes to our content strategy that resulted in the removal of significant levels of content from our platforms, abandonment of development projects and termination of certain programming agreements. In 2023, we combined Paramount+ and Showtime into a single integrated product offering across both the linear and streaming services and began a strategic review of our international content portfolio in order to rationalize our international product offerings as we shifted to a global programming strategy. Leading up to these changes, we performed a comprehensive review of the combined content portfolio of Showtime and Paramount+ and our international content portfolio. As a result of this review, we identified content that did not align with the strategy for our newly combined product offering and content that was not aligned with the type of programming being utilized across our various platforms in accordance with a global programming strategy, which led to content being removed from our platforms, the abandonment of development projects, and the termination of programming agreements. This review continued in the first quarter of 2024 and resulted in the removal of a significant volume of additional content from our platforms, the abandonment of development projects, and the termination of programming agreements, particularly</w:t>
      </w:r>
    </w:p>
    <w:p>
      <w:pPr>
        <w:sectPr>
          <w:pgSz w:w="11900" w:h="16838" w:orient="portrait"/>
          <w:cols w:equalWidth="0" w:num="1">
            <w:col w:w="11240"/>
          </w:cols>
          <w:pgMar w:left="320" w:top="4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type w:val="continuous"/>
        </w:sectPr>
      </w:pPr>
    </w:p>
    <w:bookmarkStart w:id="105" w:name="page106"/>
    <w:bookmarkEnd w:id="105"/>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internationally, including locally-produced content and domestic titles that no longer aligned with our shift to a global programming strategy.</w:t>
      </w:r>
    </w:p>
    <w:p>
      <w:pPr>
        <w:spacing w:after="0" w:line="2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The removal of this content from our platforms was a triggering event that required us to assess whether the affected programming assets were impaired. Our impairment review compared the current carrying value of each title with its fair value, which considered (1) that the titles were no longer being utilized on our platforms and we had no intention to use the titles on our platforms in the future and (2) the estimated future cash flows associated with any anticipated licensing of the titles to third parties, which was minimal. As a result, we recorded programming charges in the applicable periods to write down the carrying value of the impacted titles to their estimated fair value. Programming charges totaled $1.12 billion in 2024, and were comprised of $909 million for the impairment of content to its estimated fair value, as well as $209 million for development cost write-offs and contract termination costs. Programming charges in 2023 totaled $2.37 billion, and were comprised of $1.97 billion for the impairment of content to its estimated fair value and $402 million for development cost write-offs and contract termination costs.</w:t>
      </w:r>
    </w:p>
    <w:p>
      <w:pPr>
        <w:spacing w:after="0" w:line="200" w:lineRule="exact"/>
        <w:rPr>
          <w:sz w:val="20"/>
          <w:szCs w:val="20"/>
          <w:color w:val="auto"/>
        </w:rPr>
      </w:pPr>
    </w:p>
    <w:p>
      <w:pPr>
        <w:spacing w:after="0" w:line="24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The following table presents the estimated expected amortization over each of the next three years of released programming inventory on the Consolidated Balance Sheet at December 31, 2024.</w:t>
      </w:r>
    </w:p>
    <w:p>
      <w:pPr>
        <w:spacing w:after="0" w:line="93" w:lineRule="exact"/>
        <w:rPr>
          <w:sz w:val="20"/>
          <w:szCs w:val="20"/>
          <w:color w:val="auto"/>
        </w:rPr>
      </w:pPr>
    </w:p>
    <w:tbl>
      <w:tblPr>
        <w:tblLayout w:type="fixed"/>
        <w:tblInd w:w="460" w:type="dxa"/>
        <w:tblCellMar>
          <w:top w:w="0" w:type="dxa"/>
          <w:left w:w="0" w:type="dxa"/>
          <w:bottom w:w="0" w:type="dxa"/>
          <w:right w:w="0" w:type="dxa"/>
        </w:tblCellMar>
      </w:tblPr>
      <w:tr>
        <w:trPr>
          <w:trHeight w:val="252"/>
        </w:trPr>
        <w:tc>
          <w:tcPr>
            <w:tcW w:w="60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2027</w:t>
            </w:r>
          </w:p>
        </w:tc>
      </w:tr>
      <w:tr>
        <w:trPr>
          <w:trHeight w:val="225"/>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program rights</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2,292</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470</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67"/>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Internally-produced television and film programming, and acquired libraries:</w:t>
            </w:r>
          </w:p>
        </w:tc>
        <w:tc>
          <w:tcPr>
            <w:tcW w:w="8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25"/>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Individual monetization</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935</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193</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37"/>
        </w:trPr>
        <w:tc>
          <w:tcPr>
            <w:tcW w:w="6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Film group monetization</w:t>
            </w:r>
          </w:p>
        </w:tc>
        <w:tc>
          <w:tcPr>
            <w:tcW w:w="8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3,266</w:t>
            </w: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1,666</w:t>
            </w: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r>
    </w:tbl>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During the year ending December 31, 2025, we expect to amortize approximately $33 million of our completed, not yet released film inventory, which is monetized on an individual basis.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4) GOODWILL AND OTHER INTANGIBLE ASSETS</w:t>
      </w:r>
    </w:p>
    <w:p>
      <w:pPr>
        <w:spacing w:after="0" w:line="15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We perform fair value-based impairment tests of goodwill and intangible assets with indefinite lives, comprised primarily of television FCC licenses, on an annual basis, and also between annual tests if an event occurs or if circumstances change that would more likely than not reduce the fair value of a reporting unit or an indefinite-lived intangible asset below its carrying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Goodwill</w:t>
      </w:r>
    </w:p>
    <w:p>
      <w:pPr>
        <w:spacing w:after="0" w:line="15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Goodwill is tested for impairment at the reporting unit level, which is an operating segment, or one level below. At December 31, 2024, we had five reporting units.</w:t>
      </w:r>
    </w:p>
    <w:p>
      <w:pPr>
        <w:spacing w:after="0" w:line="1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9"/>
          <w:szCs w:val="19"/>
          <w:i w:val="1"/>
          <w:iCs w:val="1"/>
          <w:color w:val="auto"/>
        </w:rPr>
        <w:t>Interim Impairment Tests</w:t>
      </w:r>
    </w:p>
    <w:p>
      <w:pPr>
        <w:spacing w:after="0" w:line="1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For the second quarter of 2024, we assessed the relevant factors that could impact the fair value of our reporting units, including indicators in the linear affiliate marketplace and the estimated total company market value indicated by the Transactions and the NAI Transaction announced on July 7, 2024. Based on this assessment, we determined that an interim goodwill impairment test was necessary for each of our five reporting units.</w:t>
      </w:r>
    </w:p>
    <w:p>
      <w:pPr>
        <w:spacing w:after="0" w:line="200" w:lineRule="exact"/>
        <w:rPr>
          <w:sz w:val="20"/>
          <w:szCs w:val="20"/>
          <w:color w:val="auto"/>
        </w:rPr>
      </w:pP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 xml:space="preserve">The impairment test for our Cable Networks reporting unit indicated that a goodwill impairment charge of $5.98 billion was required, which represented the goodwill balance of the reporting unit prior to the impairment test. The impairment charge, which was recorded within the </w:t>
      </w:r>
      <w:r>
        <w:rPr>
          <w:rFonts w:ascii="Times New Roman" w:cs="Times New Roman" w:eastAsia="Times New Roman" w:hAnsi="Times New Roman"/>
          <w:sz w:val="19"/>
          <w:szCs w:val="19"/>
          <w:i w:val="1"/>
          <w:iCs w:val="1"/>
          <w:color w:val="auto"/>
        </w:rPr>
        <w:t>TV</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Media </w:t>
      </w:r>
      <w:r>
        <w:rPr>
          <w:rFonts w:ascii="Times New Roman" w:cs="Times New Roman" w:eastAsia="Times New Roman" w:hAnsi="Times New Roman"/>
          <w:sz w:val="19"/>
          <w:szCs w:val="19"/>
          <w:color w:val="auto"/>
        </w:rPr>
        <w:t>segment during the second quarter of 2024, resulted from a downward adjustment to the reporting unit’s expected cash flows, primarily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because of the linear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06" w:name="page107"/>
    <w:bookmarkEnd w:id="106"/>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affiliate market indicators noted above, and the estimated total company market value indicated by the Transactions and the NAI Transaction. The estimated fair value of our Cable Networks reporting unit was based on the discounted cash flow method. The discounted cash flow method, which estimates fair value based on the present value of future cash flows, requires us to make various assumptions regarding the timing and amount of these cash flows, including growth rates, operating margins and capital expenditures for a projection period, plus the terminal value of the business at the end of the projection period. The assumptions about future cash flows are based on our internal forecasts of the applicable reporting unit, which incorporate our long-term business plans and historical trends. The terminal value is estimated using a long-term growth rate, which is based on expected trends and projections for the relevant industry. A discount rate is determined for the reporting unit based on the risks of achieving the future cash flows, including risks applicable to the industry and market as a whole, as well as the capital structure of comparable entities. For the impairment test of our Cable Networks reporting unit, we utilized a discount rate of 11% and a terminal value that was based on a long-term growth rate of (3)%.</w:t>
      </w:r>
    </w:p>
    <w:p>
      <w:pPr>
        <w:spacing w:after="0" w:line="21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The fair values of the remaining reporting units exceeded their respective carrying values and therefore no impairment charge was required. Three reporting units had fair values that exceeded their respective carrying values by less than 10% and the remaining reporting unit had a fair value that exceeded its carrying value by a significant amount.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Annual Impairment Tests</w:t>
      </w:r>
    </w:p>
    <w:p>
      <w:pPr>
        <w:spacing w:after="0" w:line="1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For the 2024 annual impairment test, we performed qualitative assessments for all of our reporting units with goodwill balances. For each reporting unit, we weighed the relative impact of reporting-unit-specific, industry, and macroeconomic factors, and considered changes in each since the second quarter quantitative impairment tests. The reporting unit specific factors that were considered included updated financial forecasts, actual performance and changes to the reporting units’ carrying amounts. For each industry in which the reporting units operate, we considered changes to revenue and earnings multiples of publicly traded companies with operations and economic characteristics comparable to each of our reporting units, growth projections from independent sources and significant developments within the industry. We also considered macroeconomic and market factors, including changes in interest rates and changes in our market capitalization.</w:t>
      </w:r>
    </w:p>
    <w:p>
      <w:pPr>
        <w:spacing w:after="0" w:line="19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Considering the aggregation of all relevant factors, we concluded that it is not more likely than not that the fair values of our reporting units are less than their respective carrying values. Therefore, performing a quantitative impairment test for these reporting units was unnecessary.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FCC Licenses</w:t>
      </w:r>
    </w:p>
    <w:p>
      <w:pPr>
        <w:spacing w:after="0" w:line="16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FCC licenses are tested for impairment at the geographic market level. We consider each geographic market, which is comprised of all of our television stations within that geographic market, to be a single unit of accounting because the FCC licenses at this level represent their highest and best use. At December 31, 2024, we had 14 television markets with FCC license book values.</w:t>
      </w:r>
    </w:p>
    <w:p>
      <w:pPr>
        <w:spacing w:after="0" w:line="1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Quantitative impairment tests for our FCC licenses are performed using the Greenfield Discounted Cash Flow Method, which estimates the fair values of the licenses by valuing a hypothetical start-up station in the relevant market by adding discounted cash flows over a five-year build-up period to a residual value. The assumptions for the build-up period include industry projections of overall market revenues; the start-up station’s operating costs and capital expenditures, which are based on both industry and internal data; and average market share. The discount rate is determined based on the industry and market-based risk of achieving the projected cash flows, and the residual value is calculated using a long-term growth rate, which is based on projected long-range inflation and industry projections.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07" w:name="page108"/>
    <w:bookmarkEnd w:id="107"/>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9"/>
          <w:szCs w:val="19"/>
          <w:i w:val="1"/>
          <w:iCs w:val="1"/>
          <w:color w:val="auto"/>
        </w:rPr>
        <w:t>Interim Impairment Tests</w:t>
      </w:r>
    </w:p>
    <w:p>
      <w:pPr>
        <w:spacing w:after="0" w:line="1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 xml:space="preserve">For the second quarter of 2024, we assessed the relevant factors that could impact the fair value of our FCC licenses, including projections by geographic market, and determined that quantitative interim impairment tests were necessary for eight television markets in which we hold FCC licenses. These tests, for which we used a discount rate of 8% and a long-term growth rate of 0%, indicated that the estimated fair values of FCC licenses in two of the eight markets tested were below their respective carrying values. Accordingly, we recorded an impairment charge of $15 million during the three months ended June 30, 2024 to write down the carrying values of these FCC licenses to their aggregate estimated fair value. The impairment charge, which was recorded within the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segment, was primarily the result of recent declines in industry projections.</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 xml:space="preserve">For the third quarter of 2024, as a result of a further decline in industry-projected long-term growth rates, we determined that a quantitative interim impairment test was necessary for each of our 14 markets with FCC license book values, which totaled $2.29 billion prior to the impairment tests. The tests indicated that the estimated fair values of FCC licenses in five of the 14 markets were below their respective carrying values. Accordingly, we recorded an impairment charge of $104 million during the three months ended September 30, 2024, to write down the carrying values of FCC licenses in these five markets to their aggregate estimated fair value. The impairment charge, which was recorded within the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segment, was primarily the result of a reduction in the long-term growth rate utilized in the impairment tests to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 The estimated fair values of FCC licenses in the remaining nine markets exceeded their carrying values by more than 10%.</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Annual Impairment Tests</w:t>
      </w:r>
    </w:p>
    <w:p>
      <w:pPr>
        <w:spacing w:after="0" w:line="1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For the 2024 annual impairment test, we performed qualitative assessments for nine television markets. For each market, we weighed the relative impact of market-specific and macroeconomic factors as well as the changes in these factors and their impact on discount rates and growth rates since our last quantitative test in the third quarter of 2024. The market-specific factors considered include recent projections by geographic market from both independent and internal sources for revenue and operating costs, as well as average market share. Based on the qualitative assessments, we concluded that it is not more likely than not that the fair values of the FCC licenses in each of these television markets are less than their respective carrying values. Therefore, performing a quantitative impairment test on these markets was unnecessary.</w:t>
      </w:r>
    </w:p>
    <w:p>
      <w:pPr>
        <w:spacing w:after="0" w:line="19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 xml:space="preserve">We performed a quantitative impairment test for the FCC licenses in the remaining five markets. The FCC licenses in these markets were written down to their fair value as of September 30, 2024 in connection with the third quarter 2024 interim impairment test discussed above. The discount rate and the long-term growth rate used in the annual test were 7.5% and (2)%, respectively. The annual impairment tests indicated that the estimated fair values of FCC licenses in each of the markets were below their respective carrying values. Accordingly, we recorded an impairment charge of $22 million within the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segment during the fourth quarter of 2024 to write down the carrying values of these FCC licenses to their aggregate estimated fair value of $1.01 billion. This impairment charge was primarily the result of updated market data.</w:t>
      </w:r>
    </w:p>
    <w:p>
      <w:pPr>
        <w:spacing w:after="0" w:line="20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 xml:space="preserve">In addition, we performed a quantitative impairment test for our Australian broadcast licenses using the Greenfield Discounted Cash Flow Method, which indicated that the estimated fair value of these licenses was lower than their carrying value. Accordingly, we recorded an impairment charge of $8 million within the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segment to write down the carrying value of these licenses to $13 million.</w:t>
      </w:r>
    </w:p>
    <w:p>
      <w:pPr>
        <w:spacing w:after="0" w:line="19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For the 2023 annual test for FCC licenses, we performed a quantitative impairment test for eight U.S. television markets. The impairment tests indicated that the estimated fair values of FCC licenses in five of the markets were below their respective carrying values. Accordingly, we recorded an impairment charge of $83 million to write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08" w:name="page109"/>
    <w:bookmarkEnd w:id="108"/>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3" w:lineRule="exact"/>
        <w:rPr>
          <w:sz w:val="20"/>
          <w:szCs w:val="20"/>
          <w:color w:val="auto"/>
        </w:rPr>
      </w:pPr>
    </w:p>
    <w:p>
      <w:pPr>
        <w:jc w:val="both"/>
        <w:ind w:right="100"/>
        <w:spacing w:after="0" w:line="274" w:lineRule="auto"/>
        <w:rPr>
          <w:sz w:val="20"/>
          <w:szCs w:val="20"/>
          <w:color w:val="auto"/>
        </w:rPr>
      </w:pPr>
      <w:r>
        <w:rPr>
          <w:rFonts w:ascii="Times New Roman" w:cs="Times New Roman" w:eastAsia="Times New Roman" w:hAnsi="Times New Roman"/>
          <w:sz w:val="19"/>
          <w:szCs w:val="19"/>
          <w:color w:val="auto"/>
        </w:rPr>
        <w:t xml:space="preserve">down the carrying values of these FCC licenses to their aggregate estimated fair value. The impairment charge, which is recorded within the </w:t>
      </w:r>
      <w:r>
        <w:rPr>
          <w:rFonts w:ascii="Times New Roman" w:cs="Times New Roman" w:eastAsia="Times New Roman" w:hAnsi="Times New Roman"/>
          <w:sz w:val="19"/>
          <w:szCs w:val="19"/>
          <w:i w:val="1"/>
          <w:iCs w:val="1"/>
          <w:color w:val="auto"/>
        </w:rPr>
        <w:t>TV</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Media </w:t>
      </w:r>
      <w:r>
        <w:rPr>
          <w:rFonts w:ascii="Times New Roman" w:cs="Times New Roman" w:eastAsia="Times New Roman" w:hAnsi="Times New Roman"/>
          <w:sz w:val="19"/>
          <w:szCs w:val="19"/>
          <w:color w:val="auto"/>
        </w:rPr>
        <w:t>segment, was primarily due to increased market volatility and higher interest rates in the fourth quarter of 2023 compared to the prior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quarters of 2023 and the fourth quarter of 2022, which resulted in a higher discount rate.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tables present the changes in the book value of goodwill by segment for the years ended December 31, 2024 and 2023.</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28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44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center"/>
              <w:ind w:right="372"/>
              <w:spacing w:after="0"/>
              <w:rPr>
                <w:sz w:val="20"/>
                <w:szCs w:val="20"/>
                <w:color w:val="auto"/>
              </w:rPr>
            </w:pPr>
            <w:r>
              <w:rPr>
                <w:rFonts w:ascii="Times New Roman" w:cs="Times New Roman" w:eastAsia="Times New Roman" w:hAnsi="Times New Roman"/>
                <w:sz w:val="18"/>
                <w:szCs w:val="18"/>
                <w:b w:val="1"/>
                <w:bCs w:val="1"/>
                <w:color w:val="auto"/>
                <w:w w:val="96"/>
              </w:rPr>
              <w:t>Foreign</w:t>
            </w:r>
          </w:p>
        </w:tc>
        <w:tc>
          <w:tcPr>
            <w:tcW w:w="36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Balance at</w:t>
            </w:r>
          </w:p>
        </w:tc>
      </w:tr>
      <w:tr>
        <w:trPr>
          <w:trHeight w:val="232"/>
        </w:trPr>
        <w:tc>
          <w:tcPr>
            <w:tcW w:w="28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w w:val="97"/>
              </w:rPr>
              <w:t>December 31, 2023</w:t>
            </w: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52"/>
              <w:spacing w:after="0"/>
              <w:rPr>
                <w:sz w:val="20"/>
                <w:szCs w:val="20"/>
                <w:color w:val="auto"/>
              </w:rPr>
            </w:pPr>
            <w:r>
              <w:rPr>
                <w:rFonts w:ascii="Times New Roman" w:cs="Times New Roman" w:eastAsia="Times New Roman" w:hAnsi="Times New Roman"/>
                <w:sz w:val="18"/>
                <w:szCs w:val="18"/>
                <w:b w:val="1"/>
                <w:bCs w:val="1"/>
                <w:color w:val="auto"/>
                <w:w w:val="97"/>
              </w:rPr>
              <w:t>Currency</w:t>
            </w:r>
          </w:p>
        </w:tc>
        <w:tc>
          <w:tcPr>
            <w:tcW w:w="3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97"/>
              </w:rPr>
              <w:t>December 31, 2024</w:t>
            </w: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TV Media:</w:t>
            </w:r>
          </w:p>
        </w:tc>
        <w:tc>
          <w:tcPr>
            <w:tcW w:w="7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5"/>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24,522</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center"/>
              <w:ind w:left="372"/>
              <w:spacing w:after="0"/>
              <w:rPr>
                <w:sz w:val="20"/>
                <w:szCs w:val="20"/>
                <w:color w:val="auto"/>
              </w:rPr>
            </w:pPr>
            <w:r>
              <w:rPr>
                <w:rFonts w:ascii="Times New Roman" w:cs="Times New Roman" w:eastAsia="Times New Roman" w:hAnsi="Times New Roman"/>
                <w:sz w:val="18"/>
                <w:szCs w:val="18"/>
                <w:color w:val="auto"/>
                <w:w w:val="99"/>
              </w:rPr>
              <w:t>(27)</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24,495</w:t>
            </w:r>
          </w:p>
        </w:tc>
      </w:tr>
      <w:tr>
        <w:trPr>
          <w:trHeight w:val="230"/>
        </w:trPr>
        <w:tc>
          <w:tcPr>
            <w:tcW w:w="2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7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(13,354)</w:t>
            </w: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(5,981)</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left="412"/>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(19,335)</w:t>
            </w:r>
          </w:p>
        </w:tc>
      </w:tr>
      <w:tr>
        <w:trPr>
          <w:trHeight w:val="218"/>
        </w:trPr>
        <w:tc>
          <w:tcPr>
            <w:tcW w:w="2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Goodwill, net of impairment</w:t>
            </w:r>
          </w:p>
        </w:tc>
        <w:tc>
          <w:tcPr>
            <w:tcW w:w="7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11,168</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(5,981)</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372"/>
              <w:spacing w:after="0"/>
              <w:rPr>
                <w:sz w:val="20"/>
                <w:szCs w:val="20"/>
                <w:color w:val="auto"/>
              </w:rPr>
            </w:pPr>
            <w:r>
              <w:rPr>
                <w:rFonts w:ascii="Times New Roman" w:cs="Times New Roman" w:eastAsia="Times New Roman" w:hAnsi="Times New Roman"/>
                <w:sz w:val="18"/>
                <w:szCs w:val="18"/>
                <w:color w:val="auto"/>
                <w:w w:val="99"/>
              </w:rPr>
              <w:t>(27)</w:t>
            </w:r>
          </w:p>
        </w:tc>
        <w:tc>
          <w:tcPr>
            <w:tcW w:w="3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5,160</w:t>
            </w: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Direct-to-Consumer</w:t>
            </w:r>
          </w:p>
        </w:tc>
        <w:tc>
          <w:tcPr>
            <w:tcW w:w="7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5"/>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20" w:type="dxa"/>
            <w:vAlign w:val="bottom"/>
          </w:tcPr>
          <w:p>
            <w:pPr>
              <w:spacing w:after="0"/>
              <w:rPr>
                <w:sz w:val="19"/>
                <w:szCs w:val="19"/>
                <w:color w:val="auto"/>
              </w:rPr>
            </w:pPr>
          </w:p>
        </w:tc>
        <w:tc>
          <w:tcPr>
            <w:tcW w:w="18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2,728</w:t>
            </w:r>
          </w:p>
        </w:tc>
        <w:tc>
          <w:tcPr>
            <w:tcW w:w="440" w:type="dxa"/>
            <w:vAlign w:val="bottom"/>
          </w:tcPr>
          <w:p>
            <w:pPr>
              <w:spacing w:after="0"/>
              <w:rPr>
                <w:sz w:val="19"/>
                <w:szCs w:val="19"/>
                <w:color w:val="auto"/>
              </w:rPr>
            </w:pPr>
          </w:p>
        </w:tc>
        <w:tc>
          <w:tcPr>
            <w:tcW w:w="14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6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9"/>
                <w:szCs w:val="19"/>
                <w:color w:val="auto"/>
              </w:rPr>
            </w:pPr>
          </w:p>
        </w:tc>
        <w:tc>
          <w:tcPr>
            <w:tcW w:w="17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2,728</w:t>
            </w:r>
          </w:p>
        </w:tc>
      </w:tr>
      <w:tr>
        <w:trPr>
          <w:trHeight w:val="230"/>
        </w:trPr>
        <w:tc>
          <w:tcPr>
            <w:tcW w:w="2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7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left="412"/>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Goodwill, net of impairment</w:t>
            </w:r>
          </w:p>
        </w:tc>
        <w:tc>
          <w:tcPr>
            <w:tcW w:w="7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2,728</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412"/>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2,728</w:t>
            </w: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Filmed Entertainment:</w:t>
            </w:r>
          </w:p>
        </w:tc>
        <w:tc>
          <w:tcPr>
            <w:tcW w:w="7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5"/>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20" w:type="dxa"/>
            <w:vAlign w:val="bottom"/>
          </w:tcPr>
          <w:p>
            <w:pPr>
              <w:spacing w:after="0"/>
              <w:rPr>
                <w:sz w:val="19"/>
                <w:szCs w:val="19"/>
                <w:color w:val="auto"/>
              </w:rPr>
            </w:pPr>
          </w:p>
        </w:tc>
        <w:tc>
          <w:tcPr>
            <w:tcW w:w="18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2,620</w:t>
            </w:r>
          </w:p>
        </w:tc>
        <w:tc>
          <w:tcPr>
            <w:tcW w:w="440" w:type="dxa"/>
            <w:vAlign w:val="bottom"/>
          </w:tcPr>
          <w:p>
            <w:pPr>
              <w:spacing w:after="0"/>
              <w:rPr>
                <w:sz w:val="19"/>
                <w:szCs w:val="19"/>
                <w:color w:val="auto"/>
              </w:rPr>
            </w:pPr>
          </w:p>
        </w:tc>
        <w:tc>
          <w:tcPr>
            <w:tcW w:w="14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6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9"/>
                <w:szCs w:val="19"/>
                <w:color w:val="auto"/>
              </w:rPr>
            </w:pPr>
          </w:p>
        </w:tc>
        <w:tc>
          <w:tcPr>
            <w:tcW w:w="17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2,620</w:t>
            </w:r>
          </w:p>
        </w:tc>
      </w:tr>
      <w:tr>
        <w:trPr>
          <w:trHeight w:val="230"/>
        </w:trPr>
        <w:tc>
          <w:tcPr>
            <w:tcW w:w="2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7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left="412"/>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Goodwill, net of impairment</w:t>
            </w:r>
          </w:p>
        </w:tc>
        <w:tc>
          <w:tcPr>
            <w:tcW w:w="7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2,620</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412"/>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2,620</w:t>
            </w: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5"/>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20" w:type="dxa"/>
            <w:vAlign w:val="bottom"/>
          </w:tcPr>
          <w:p>
            <w:pPr>
              <w:spacing w:after="0"/>
              <w:rPr>
                <w:sz w:val="19"/>
                <w:szCs w:val="19"/>
                <w:color w:val="auto"/>
              </w:rPr>
            </w:pPr>
          </w:p>
        </w:tc>
        <w:tc>
          <w:tcPr>
            <w:tcW w:w="18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29,870</w:t>
            </w:r>
          </w:p>
        </w:tc>
        <w:tc>
          <w:tcPr>
            <w:tcW w:w="440" w:type="dxa"/>
            <w:vAlign w:val="bottom"/>
          </w:tcPr>
          <w:p>
            <w:pPr>
              <w:spacing w:after="0"/>
              <w:rPr>
                <w:sz w:val="19"/>
                <w:szCs w:val="19"/>
                <w:color w:val="auto"/>
              </w:rPr>
            </w:pPr>
          </w:p>
        </w:tc>
        <w:tc>
          <w:tcPr>
            <w:tcW w:w="14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60" w:type="dxa"/>
            <w:vAlign w:val="bottom"/>
          </w:tcPr>
          <w:p>
            <w:pPr>
              <w:jc w:val="center"/>
              <w:ind w:left="372"/>
              <w:spacing w:after="0"/>
              <w:rPr>
                <w:sz w:val="20"/>
                <w:szCs w:val="20"/>
                <w:color w:val="auto"/>
              </w:rPr>
            </w:pPr>
            <w:r>
              <w:rPr>
                <w:rFonts w:ascii="Times New Roman" w:cs="Times New Roman" w:eastAsia="Times New Roman" w:hAnsi="Times New Roman"/>
                <w:sz w:val="18"/>
                <w:szCs w:val="18"/>
                <w:color w:val="auto"/>
                <w:w w:val="99"/>
              </w:rPr>
              <w:t>(27)</w:t>
            </w:r>
          </w:p>
        </w:tc>
        <w:tc>
          <w:tcPr>
            <w:tcW w:w="360" w:type="dxa"/>
            <w:vAlign w:val="bottom"/>
          </w:tcPr>
          <w:p>
            <w:pPr>
              <w:spacing w:after="0"/>
              <w:rPr>
                <w:sz w:val="19"/>
                <w:szCs w:val="19"/>
                <w:color w:val="auto"/>
              </w:rPr>
            </w:pPr>
          </w:p>
        </w:tc>
        <w:tc>
          <w:tcPr>
            <w:tcW w:w="17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29,843</w:t>
            </w:r>
          </w:p>
        </w:tc>
      </w:tr>
      <w:tr>
        <w:trPr>
          <w:trHeight w:val="230"/>
        </w:trPr>
        <w:tc>
          <w:tcPr>
            <w:tcW w:w="2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7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(13,354)</w:t>
            </w: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(5,981)</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left="412"/>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(19,335)</w:t>
            </w:r>
          </w:p>
        </w:tc>
      </w:tr>
      <w:tr>
        <w:trPr>
          <w:trHeight w:val="225"/>
        </w:trPr>
        <w:tc>
          <w:tcPr>
            <w:tcW w:w="2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Goodwill, net of impairment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16,516</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(5,981)</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center"/>
              <w:ind w:left="372"/>
              <w:spacing w:after="0"/>
              <w:rPr>
                <w:sz w:val="20"/>
                <w:szCs w:val="20"/>
                <w:color w:val="auto"/>
              </w:rPr>
            </w:pPr>
            <w:r>
              <w:rPr>
                <w:rFonts w:ascii="Times New Roman" w:cs="Times New Roman" w:eastAsia="Times New Roman" w:hAnsi="Times New Roman"/>
                <w:sz w:val="18"/>
                <w:szCs w:val="18"/>
                <w:color w:val="auto"/>
                <w:w w:val="99"/>
              </w:rPr>
              <w:t>(27)</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10,508</w:t>
            </w:r>
          </w:p>
        </w:tc>
      </w:tr>
    </w:tbl>
    <w:p>
      <w:pPr>
        <w:spacing w:after="0" w:line="218" w:lineRule="exact"/>
        <w:rPr>
          <w:sz w:val="20"/>
          <w:szCs w:val="20"/>
          <w:color w:val="auto"/>
        </w:rPr>
      </w:pPr>
    </w:p>
    <w:tbl>
      <w:tblPr>
        <w:tblLayout w:type="fixed"/>
        <w:tblInd w:w="160" w:type="dxa"/>
        <w:tblCellMar>
          <w:top w:w="0" w:type="dxa"/>
          <w:left w:w="0" w:type="dxa"/>
          <w:bottom w:w="0" w:type="dxa"/>
          <w:right w:w="0" w:type="dxa"/>
        </w:tblCellMar>
      </w:tblPr>
      <w:tr>
        <w:trPr>
          <w:trHeight w:val="245"/>
        </w:trPr>
        <w:tc>
          <w:tcPr>
            <w:tcW w:w="29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42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Acquisitions /</w:t>
            </w:r>
          </w:p>
        </w:tc>
        <w:tc>
          <w:tcPr>
            <w:tcW w:w="42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40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Balance at</w:t>
            </w:r>
          </w:p>
        </w:tc>
      </w:tr>
      <w:tr>
        <w:trPr>
          <w:trHeight w:val="232"/>
        </w:trPr>
        <w:tc>
          <w:tcPr>
            <w:tcW w:w="29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w w:val="97"/>
              </w:rPr>
              <w:t>December 31, 2022</w:t>
            </w: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(Dispositions)</w:t>
            </w: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4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96"/>
              </w:rPr>
              <w:t>December 31, 2023</w:t>
            </w: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TV Media:</w:t>
            </w:r>
          </w:p>
        </w:tc>
        <w:tc>
          <w:tcPr>
            <w:tcW w:w="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25"/>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24,505</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center"/>
              <w:ind w:left="632"/>
              <w:spacing w:after="0"/>
              <w:rPr>
                <w:sz w:val="20"/>
                <w:szCs w:val="20"/>
                <w:color w:val="auto"/>
              </w:rPr>
            </w:pPr>
            <w:r>
              <w:rPr>
                <w:rFonts w:ascii="Times New Roman" w:cs="Times New Roman" w:eastAsia="Times New Roman" w:hAnsi="Times New Roman"/>
                <w:sz w:val="18"/>
                <w:szCs w:val="18"/>
                <w:color w:val="auto"/>
                <w:w w:val="99"/>
              </w:rPr>
              <w:t>(12)</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29</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24,522</w:t>
            </w:r>
          </w:p>
        </w:tc>
      </w:tr>
      <w:tr>
        <w:trPr>
          <w:trHeight w:val="230"/>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7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(13,354)</w:t>
            </w: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left="65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(13,354)</w:t>
            </w:r>
          </w:p>
        </w:tc>
      </w:tr>
      <w:tr>
        <w:trPr>
          <w:trHeight w:val="219"/>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Goodwill, net of impairment</w:t>
            </w:r>
          </w:p>
        </w:tc>
        <w:tc>
          <w:tcPr>
            <w:tcW w:w="7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11,151</w:t>
            </w: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left="632"/>
              <w:spacing w:after="0"/>
              <w:rPr>
                <w:sz w:val="20"/>
                <w:szCs w:val="20"/>
                <w:color w:val="auto"/>
              </w:rPr>
            </w:pPr>
            <w:r>
              <w:rPr>
                <w:rFonts w:ascii="Times New Roman" w:cs="Times New Roman" w:eastAsia="Times New Roman" w:hAnsi="Times New Roman"/>
                <w:sz w:val="18"/>
                <w:szCs w:val="18"/>
                <w:color w:val="auto"/>
                <w:w w:val="99"/>
              </w:rPr>
              <w:t>(12)</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29</w:t>
            </w:r>
          </w:p>
        </w:tc>
        <w:tc>
          <w:tcPr>
            <w:tcW w:w="4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11,168</w:t>
            </w: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Direct-to-Consumer:</w:t>
            </w:r>
          </w:p>
        </w:tc>
        <w:tc>
          <w:tcPr>
            <w:tcW w:w="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25"/>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tcPr>
          <w:p>
            <w:pPr>
              <w:spacing w:after="0"/>
              <w:rPr>
                <w:sz w:val="19"/>
                <w:szCs w:val="19"/>
                <w:color w:val="auto"/>
              </w:rPr>
            </w:pPr>
          </w:p>
        </w:tc>
        <w:tc>
          <w:tcPr>
            <w:tcW w:w="18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2,728</w:t>
            </w:r>
          </w:p>
        </w:tc>
        <w:tc>
          <w:tcPr>
            <w:tcW w:w="420" w:type="dxa"/>
            <w:vAlign w:val="bottom"/>
          </w:tcPr>
          <w:p>
            <w:pPr>
              <w:spacing w:after="0"/>
              <w:rPr>
                <w:sz w:val="19"/>
                <w:szCs w:val="19"/>
                <w:color w:val="auto"/>
              </w:rPr>
            </w:pPr>
          </w:p>
        </w:tc>
        <w:tc>
          <w:tcPr>
            <w:tcW w:w="1500" w:type="dxa"/>
            <w:vAlign w:val="bottom"/>
          </w:tcPr>
          <w:p>
            <w:pPr>
              <w:jc w:val="center"/>
              <w:ind w:left="65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spacing w:after="0"/>
              <w:rPr>
                <w:sz w:val="19"/>
                <w:szCs w:val="19"/>
                <w:color w:val="auto"/>
              </w:rPr>
            </w:pPr>
          </w:p>
        </w:tc>
        <w:tc>
          <w:tcPr>
            <w:tcW w:w="13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7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2,728</w:t>
            </w:r>
          </w:p>
        </w:tc>
      </w:tr>
      <w:tr>
        <w:trPr>
          <w:trHeight w:val="230"/>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7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left="65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Goodwill, net of impairment</w:t>
            </w:r>
          </w:p>
        </w:tc>
        <w:tc>
          <w:tcPr>
            <w:tcW w:w="7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2,728</w:t>
            </w: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left="65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2,728</w:t>
            </w: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Filmed Entertainment:</w:t>
            </w:r>
          </w:p>
        </w:tc>
        <w:tc>
          <w:tcPr>
            <w:tcW w:w="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25"/>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tcPr>
          <w:p>
            <w:pPr>
              <w:spacing w:after="0"/>
              <w:rPr>
                <w:sz w:val="19"/>
                <w:szCs w:val="19"/>
                <w:color w:val="auto"/>
              </w:rPr>
            </w:pPr>
          </w:p>
        </w:tc>
        <w:tc>
          <w:tcPr>
            <w:tcW w:w="18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2,620</w:t>
            </w:r>
          </w:p>
        </w:tc>
        <w:tc>
          <w:tcPr>
            <w:tcW w:w="420" w:type="dxa"/>
            <w:vAlign w:val="bottom"/>
          </w:tcPr>
          <w:p>
            <w:pPr>
              <w:spacing w:after="0"/>
              <w:rPr>
                <w:sz w:val="19"/>
                <w:szCs w:val="19"/>
                <w:color w:val="auto"/>
              </w:rPr>
            </w:pPr>
          </w:p>
        </w:tc>
        <w:tc>
          <w:tcPr>
            <w:tcW w:w="1500" w:type="dxa"/>
            <w:vAlign w:val="bottom"/>
          </w:tcPr>
          <w:p>
            <w:pPr>
              <w:jc w:val="center"/>
              <w:ind w:left="65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spacing w:after="0"/>
              <w:rPr>
                <w:sz w:val="19"/>
                <w:szCs w:val="19"/>
                <w:color w:val="auto"/>
              </w:rPr>
            </w:pPr>
          </w:p>
        </w:tc>
        <w:tc>
          <w:tcPr>
            <w:tcW w:w="13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7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2,620</w:t>
            </w:r>
          </w:p>
        </w:tc>
      </w:tr>
      <w:tr>
        <w:trPr>
          <w:trHeight w:val="230"/>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7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left="65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Goodwill, net of impairment</w:t>
            </w:r>
          </w:p>
        </w:tc>
        <w:tc>
          <w:tcPr>
            <w:tcW w:w="7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2,620</w:t>
            </w: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left="65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2,620</w:t>
            </w: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25"/>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tcPr>
          <w:p>
            <w:pPr>
              <w:spacing w:after="0"/>
              <w:rPr>
                <w:sz w:val="19"/>
                <w:szCs w:val="19"/>
                <w:color w:val="auto"/>
              </w:rPr>
            </w:pPr>
          </w:p>
        </w:tc>
        <w:tc>
          <w:tcPr>
            <w:tcW w:w="18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29,853</w:t>
            </w:r>
          </w:p>
        </w:tc>
        <w:tc>
          <w:tcPr>
            <w:tcW w:w="420" w:type="dxa"/>
            <w:vAlign w:val="bottom"/>
          </w:tcPr>
          <w:p>
            <w:pPr>
              <w:spacing w:after="0"/>
              <w:rPr>
                <w:sz w:val="19"/>
                <w:szCs w:val="19"/>
                <w:color w:val="auto"/>
              </w:rPr>
            </w:pPr>
          </w:p>
        </w:tc>
        <w:tc>
          <w:tcPr>
            <w:tcW w:w="1500" w:type="dxa"/>
            <w:vAlign w:val="bottom"/>
          </w:tcPr>
          <w:p>
            <w:pPr>
              <w:jc w:val="center"/>
              <w:ind w:left="632"/>
              <w:spacing w:after="0"/>
              <w:rPr>
                <w:sz w:val="20"/>
                <w:szCs w:val="20"/>
                <w:color w:val="auto"/>
              </w:rPr>
            </w:pPr>
            <w:r>
              <w:rPr>
                <w:rFonts w:ascii="Times New Roman" w:cs="Times New Roman" w:eastAsia="Times New Roman" w:hAnsi="Times New Roman"/>
                <w:sz w:val="18"/>
                <w:szCs w:val="18"/>
                <w:color w:val="auto"/>
                <w:w w:val="99"/>
              </w:rPr>
              <w:t>(12)</w:t>
            </w:r>
          </w:p>
        </w:tc>
        <w:tc>
          <w:tcPr>
            <w:tcW w:w="420" w:type="dxa"/>
            <w:vAlign w:val="bottom"/>
          </w:tcPr>
          <w:p>
            <w:pPr>
              <w:spacing w:after="0"/>
              <w:rPr>
                <w:sz w:val="19"/>
                <w:szCs w:val="19"/>
                <w:color w:val="auto"/>
              </w:rPr>
            </w:pPr>
          </w:p>
        </w:tc>
        <w:tc>
          <w:tcPr>
            <w:tcW w:w="13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29</w:t>
            </w:r>
          </w:p>
        </w:tc>
        <w:tc>
          <w:tcPr>
            <w:tcW w:w="400" w:type="dxa"/>
            <w:vAlign w:val="bottom"/>
          </w:tcPr>
          <w:p>
            <w:pPr>
              <w:spacing w:after="0"/>
              <w:rPr>
                <w:sz w:val="19"/>
                <w:szCs w:val="19"/>
                <w:color w:val="auto"/>
              </w:rPr>
            </w:pPr>
          </w:p>
        </w:tc>
        <w:tc>
          <w:tcPr>
            <w:tcW w:w="17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29,870</w:t>
            </w:r>
          </w:p>
        </w:tc>
      </w:tr>
      <w:tr>
        <w:trPr>
          <w:trHeight w:val="230"/>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7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(13,354)</w:t>
            </w: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left="65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(13,354)</w:t>
            </w:r>
          </w:p>
        </w:tc>
      </w:tr>
      <w:tr>
        <w:trPr>
          <w:trHeight w:val="225"/>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Goodwill, net of impairment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16,499</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center"/>
              <w:ind w:left="632"/>
              <w:spacing w:after="0"/>
              <w:rPr>
                <w:sz w:val="20"/>
                <w:szCs w:val="20"/>
                <w:color w:val="auto"/>
              </w:rPr>
            </w:pPr>
            <w:r>
              <w:rPr>
                <w:rFonts w:ascii="Times New Roman" w:cs="Times New Roman" w:eastAsia="Times New Roman" w:hAnsi="Times New Roman"/>
                <w:sz w:val="18"/>
                <w:szCs w:val="18"/>
                <w:color w:val="auto"/>
                <w:w w:val="99"/>
              </w:rPr>
              <w:t>(12)</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29</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16,516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color w:val="auto"/>
        </w:rPr>
        <w:t>II-64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404" w:right="239" w:bottom="1440" w:gutter="0" w:footer="0" w:header="0"/>
        </w:sectPr>
      </w:pPr>
    </w:p>
    <w:bookmarkStart w:id="109" w:name="page110"/>
    <w:bookmarkEnd w:id="109"/>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intangible assets were as follows:</w:t>
      </w:r>
    </w:p>
    <w:p>
      <w:pPr>
        <w:spacing w:after="0" w:line="155" w:lineRule="exact"/>
        <w:rPr>
          <w:sz w:val="20"/>
          <w:szCs w:val="20"/>
          <w:color w:val="auto"/>
        </w:rPr>
      </w:pPr>
    </w:p>
    <w:tbl>
      <w:tblPr>
        <w:tblLayout w:type="fixed"/>
        <w:tblInd w:w="280" w:type="dxa"/>
        <w:tblCellMar>
          <w:top w:w="0" w:type="dxa"/>
          <w:left w:w="0" w:type="dxa"/>
          <w:bottom w:w="0" w:type="dxa"/>
          <w:right w:w="0" w:type="dxa"/>
        </w:tblCellMar>
      </w:tblPr>
      <w:tr>
        <w:trPr>
          <w:trHeight w:val="245"/>
        </w:trPr>
        <w:tc>
          <w:tcPr>
            <w:tcW w:w="490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3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r>
      <w:tr>
        <w:trPr>
          <w:trHeight w:val="232"/>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7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Gross</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5"/>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241</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(166)</w:t>
            </w:r>
          </w:p>
        </w:tc>
        <w:tc>
          <w:tcPr>
            <w:tcW w:w="3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5"/>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72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127</w:t>
            </w:r>
          </w:p>
        </w:tc>
        <w:tc>
          <w:tcPr>
            <w:tcW w:w="340" w:type="dxa"/>
            <w:vAlign w:val="bottom"/>
          </w:tcPr>
          <w:p>
            <w:pPr>
              <w:spacing w:after="0"/>
              <w:rPr>
                <w:sz w:val="19"/>
                <w:szCs w:val="19"/>
                <w:color w:val="auto"/>
              </w:rPr>
            </w:pP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(68)</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5"/>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agreements</w:t>
            </w:r>
          </w:p>
        </w:tc>
        <w:tc>
          <w:tcPr>
            <w:tcW w:w="172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121</w:t>
            </w:r>
          </w:p>
        </w:tc>
        <w:tc>
          <w:tcPr>
            <w:tcW w:w="340" w:type="dxa"/>
            <w:vAlign w:val="bottom"/>
          </w:tcPr>
          <w:p>
            <w:pPr>
              <w:spacing w:after="0"/>
              <w:rPr>
                <w:sz w:val="19"/>
                <w:szCs w:val="19"/>
                <w:color w:val="auto"/>
              </w:rPr>
            </w:pP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(103)</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7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238</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(196)</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3"/>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1720" w:type="dxa"/>
            <w:vAlign w:val="bottom"/>
          </w:tcPr>
          <w:p>
            <w:pPr>
              <w:spacing w:after="0"/>
              <w:rPr>
                <w:sz w:val="18"/>
                <w:szCs w:val="18"/>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727</w:t>
            </w:r>
          </w:p>
        </w:tc>
        <w:tc>
          <w:tcPr>
            <w:tcW w:w="340" w:type="dxa"/>
            <w:vAlign w:val="bottom"/>
          </w:tcPr>
          <w:p>
            <w:pPr>
              <w:spacing w:after="0"/>
              <w:rPr>
                <w:sz w:val="18"/>
                <w:szCs w:val="18"/>
                <w:color w:val="auto"/>
              </w:rPr>
            </w:pP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(533)</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5"/>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FCC licenses</w:t>
            </w:r>
          </w:p>
        </w:tc>
        <w:tc>
          <w:tcPr>
            <w:tcW w:w="172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2,165</w:t>
            </w:r>
          </w:p>
        </w:tc>
        <w:tc>
          <w:tcPr>
            <w:tcW w:w="340" w:type="dxa"/>
            <w:vAlign w:val="bottom"/>
          </w:tcPr>
          <w:p>
            <w:pPr>
              <w:spacing w:after="0"/>
              <w:rPr>
                <w:sz w:val="19"/>
                <w:szCs w:val="19"/>
                <w:color w:val="auto"/>
              </w:rPr>
            </w:pPr>
          </w:p>
        </w:tc>
        <w:tc>
          <w:tcPr>
            <w:tcW w:w="14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r>
      <w:tr>
        <w:trPr>
          <w:trHeight w:val="225"/>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broadcast licenses</w:t>
            </w:r>
          </w:p>
        </w:tc>
        <w:tc>
          <w:tcPr>
            <w:tcW w:w="172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Pr>
          <w:p>
            <w:pPr>
              <w:spacing w:after="0"/>
              <w:rPr>
                <w:sz w:val="19"/>
                <w:szCs w:val="19"/>
                <w:color w:val="auto"/>
              </w:rPr>
            </w:pPr>
          </w:p>
        </w:tc>
        <w:tc>
          <w:tcPr>
            <w:tcW w:w="14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7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5"/>
        </w:trPr>
        <w:tc>
          <w:tcPr>
            <w:tcW w:w="4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intangible assets</w:t>
            </w:r>
          </w:p>
        </w:tc>
        <w:tc>
          <w:tcPr>
            <w:tcW w:w="17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2,939</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(533)</w:t>
            </w:r>
          </w:p>
        </w:tc>
        <w:tc>
          <w:tcPr>
            <w:tcW w:w="3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w:t>
            </w:r>
          </w:p>
        </w:tc>
      </w:tr>
    </w:tbl>
    <w:p>
      <w:pPr>
        <w:spacing w:after="0" w:line="139" w:lineRule="exact"/>
        <w:rPr>
          <w:sz w:val="20"/>
          <w:szCs w:val="20"/>
          <w:color w:val="auto"/>
        </w:rPr>
      </w:pPr>
    </w:p>
    <w:tbl>
      <w:tblPr>
        <w:tblLayout w:type="fixed"/>
        <w:tblInd w:w="280" w:type="dxa"/>
        <w:tblCellMar>
          <w:top w:w="0" w:type="dxa"/>
          <w:left w:w="0" w:type="dxa"/>
          <w:bottom w:w="0" w:type="dxa"/>
          <w:right w:w="0" w:type="dxa"/>
        </w:tblCellMar>
      </w:tblPr>
      <w:tr>
        <w:trPr>
          <w:trHeight w:val="245"/>
        </w:trPr>
        <w:tc>
          <w:tcPr>
            <w:tcW w:w="490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3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r>
      <w:tr>
        <w:trPr>
          <w:trHeight w:val="232"/>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17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Gross</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5"/>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242</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(154)</w:t>
            </w:r>
          </w:p>
        </w:tc>
        <w:tc>
          <w:tcPr>
            <w:tcW w:w="3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5"/>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72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129</w:t>
            </w:r>
          </w:p>
        </w:tc>
        <w:tc>
          <w:tcPr>
            <w:tcW w:w="340" w:type="dxa"/>
            <w:vAlign w:val="bottom"/>
          </w:tcPr>
          <w:p>
            <w:pPr>
              <w:spacing w:after="0"/>
              <w:rPr>
                <w:sz w:val="19"/>
                <w:szCs w:val="19"/>
                <w:color w:val="auto"/>
              </w:rPr>
            </w:pP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(62)</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5"/>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agreements</w:t>
            </w:r>
          </w:p>
        </w:tc>
        <w:tc>
          <w:tcPr>
            <w:tcW w:w="172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124</w:t>
            </w:r>
          </w:p>
        </w:tc>
        <w:tc>
          <w:tcPr>
            <w:tcW w:w="340" w:type="dxa"/>
            <w:vAlign w:val="bottom"/>
          </w:tcPr>
          <w:p>
            <w:pPr>
              <w:spacing w:after="0"/>
              <w:rPr>
                <w:sz w:val="19"/>
                <w:szCs w:val="19"/>
                <w:color w:val="auto"/>
              </w:rPr>
            </w:pP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(102)</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7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239</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(192)</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3"/>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1720" w:type="dxa"/>
            <w:vAlign w:val="bottom"/>
          </w:tcPr>
          <w:p>
            <w:pPr>
              <w:spacing w:after="0"/>
              <w:rPr>
                <w:sz w:val="18"/>
                <w:szCs w:val="18"/>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734</w:t>
            </w:r>
          </w:p>
        </w:tc>
        <w:tc>
          <w:tcPr>
            <w:tcW w:w="340" w:type="dxa"/>
            <w:vAlign w:val="bottom"/>
          </w:tcPr>
          <w:p>
            <w:pPr>
              <w:spacing w:after="0"/>
              <w:rPr>
                <w:sz w:val="18"/>
                <w:szCs w:val="18"/>
                <w:color w:val="auto"/>
              </w:rPr>
            </w:pP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(510)</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25"/>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FCC licenses</w:t>
            </w:r>
          </w:p>
        </w:tc>
        <w:tc>
          <w:tcPr>
            <w:tcW w:w="172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2,306</w:t>
            </w:r>
          </w:p>
        </w:tc>
        <w:tc>
          <w:tcPr>
            <w:tcW w:w="340" w:type="dxa"/>
            <w:vAlign w:val="bottom"/>
          </w:tcPr>
          <w:p>
            <w:pPr>
              <w:spacing w:after="0"/>
              <w:rPr>
                <w:sz w:val="19"/>
                <w:szCs w:val="19"/>
                <w:color w:val="auto"/>
              </w:rPr>
            </w:pPr>
          </w:p>
        </w:tc>
        <w:tc>
          <w:tcPr>
            <w:tcW w:w="14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w:t>
            </w:r>
          </w:p>
        </w:tc>
      </w:tr>
      <w:tr>
        <w:trPr>
          <w:trHeight w:val="225"/>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broadcast licenses</w:t>
            </w:r>
          </w:p>
        </w:tc>
        <w:tc>
          <w:tcPr>
            <w:tcW w:w="172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tcPr>
          <w:p>
            <w:pPr>
              <w:spacing w:after="0"/>
              <w:rPr>
                <w:sz w:val="19"/>
                <w:szCs w:val="19"/>
                <w:color w:val="auto"/>
              </w:rPr>
            </w:pPr>
          </w:p>
        </w:tc>
        <w:tc>
          <w:tcPr>
            <w:tcW w:w="14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7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5"/>
        </w:trPr>
        <w:tc>
          <w:tcPr>
            <w:tcW w:w="4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intangible assets</w:t>
            </w:r>
          </w:p>
        </w:tc>
        <w:tc>
          <w:tcPr>
            <w:tcW w:w="17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3,099</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(510)</w:t>
            </w:r>
          </w:p>
        </w:tc>
        <w:tc>
          <w:tcPr>
            <w:tcW w:w="3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Amortization expense was as follows:</w:t>
      </w:r>
    </w:p>
    <w:p>
      <w:pPr>
        <w:spacing w:after="0" w:line="142" w:lineRule="exact"/>
        <w:rPr>
          <w:sz w:val="20"/>
          <w:szCs w:val="20"/>
          <w:color w:val="auto"/>
        </w:rPr>
      </w:pPr>
    </w:p>
    <w:tbl>
      <w:tblPr>
        <w:tblLayout w:type="fixed"/>
        <w:tblInd w:w="980" w:type="dxa"/>
        <w:tblCellMar>
          <w:top w:w="0" w:type="dxa"/>
          <w:left w:w="0" w:type="dxa"/>
          <w:bottom w:w="0" w:type="dxa"/>
          <w:right w:w="0" w:type="dxa"/>
        </w:tblCellMar>
      </w:tblPr>
      <w:tr>
        <w:trPr>
          <w:trHeight w:val="252"/>
        </w:trPr>
        <w:tc>
          <w:tcPr>
            <w:tcW w:w="3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9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5"/>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28</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35</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41</w:t>
            </w:r>
          </w:p>
        </w:tc>
      </w:tr>
    </w:tbl>
    <w:p>
      <w:pPr>
        <w:spacing w:after="0" w:line="202"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9"/>
          <w:szCs w:val="19"/>
          <w:color w:val="auto"/>
        </w:rPr>
        <w:t>We expect our aggregate annual amortization expense for existing intangible assets subject to amortization for each of the years, 2025 through 2029, to be as follows:</w:t>
      </w:r>
    </w:p>
    <w:p>
      <w:pPr>
        <w:spacing w:after="0" w:line="93" w:lineRule="exact"/>
        <w:rPr>
          <w:sz w:val="20"/>
          <w:szCs w:val="20"/>
          <w:color w:val="auto"/>
        </w:rPr>
      </w:pPr>
    </w:p>
    <w:tbl>
      <w:tblPr>
        <w:tblLayout w:type="fixed"/>
        <w:tblInd w:w="1040" w:type="dxa"/>
        <w:tblCellMar>
          <w:top w:w="0" w:type="dxa"/>
          <w:left w:w="0" w:type="dxa"/>
          <w:bottom w:w="0" w:type="dxa"/>
          <w:right w:w="0" w:type="dxa"/>
        </w:tblCellMar>
      </w:tblPr>
      <w:tr>
        <w:trPr>
          <w:trHeight w:val="252"/>
        </w:trPr>
        <w:tc>
          <w:tcPr>
            <w:tcW w:w="254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4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w w:val="99"/>
              </w:rPr>
              <w:t>2027</w:t>
            </w:r>
          </w:p>
        </w:tc>
        <w:tc>
          <w:tcPr>
            <w:tcW w:w="4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2028</w:t>
            </w:r>
          </w:p>
        </w:tc>
        <w:tc>
          <w:tcPr>
            <w:tcW w:w="48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2029</w:t>
            </w:r>
          </w:p>
        </w:tc>
      </w:tr>
      <w:tr>
        <w:trPr>
          <w:trHeight w:val="225"/>
        </w:trPr>
        <w:tc>
          <w:tcPr>
            <w:tcW w:w="2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Future amortization expense</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24</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23</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22</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22</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II-65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10" w:name="page111"/>
    <w:bookmarkEnd w:id="110"/>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5) RESTRUCTURING, TRANSACTION-RELATED ITEMS, AND OTHER CORPORATE MATTERS</w:t>
      </w:r>
    </w:p>
    <w:p>
      <w:pPr>
        <w:spacing w:after="0" w:line="15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During the years ended December 31, 2024, 2023 and 2022, we recorded the following restructuring charges, transaction-related items, and other corporate matters.</w:t>
      </w:r>
    </w:p>
    <w:p>
      <w:pPr>
        <w:spacing w:after="0" w:line="53" w:lineRule="exact"/>
        <w:rPr>
          <w:sz w:val="20"/>
          <w:szCs w:val="20"/>
          <w:color w:val="auto"/>
        </w:rPr>
      </w:pPr>
    </w:p>
    <w:tbl>
      <w:tblPr>
        <w:tblLayout w:type="fixed"/>
        <w:tblInd w:w="860" w:type="dxa"/>
        <w:tblCellMar>
          <w:top w:w="0" w:type="dxa"/>
          <w:left w:w="0" w:type="dxa"/>
          <w:bottom w:w="0" w:type="dxa"/>
          <w:right w:w="0" w:type="dxa"/>
        </w:tblCellMar>
      </w:tblPr>
      <w:tr>
        <w:trPr>
          <w:trHeight w:val="252"/>
        </w:trPr>
        <w:tc>
          <w:tcPr>
            <w:tcW w:w="4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6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3"/>
        </w:trPr>
        <w:tc>
          <w:tcPr>
            <w:tcW w:w="4720" w:type="dxa"/>
            <w:vAlign w:val="bottom"/>
          </w:tcPr>
          <w:p>
            <w:pPr>
              <w:ind w:left="20"/>
              <w:spacing w:after="0" w:line="213" w:lineRule="exact"/>
              <w:rPr>
                <w:sz w:val="20"/>
                <w:szCs w:val="20"/>
                <w:color w:val="auto"/>
              </w:rPr>
            </w:pPr>
            <w:r>
              <w:rPr>
                <w:rFonts w:ascii="Times New Roman" w:cs="Times New Roman" w:eastAsia="Times New Roman" w:hAnsi="Times New Roman"/>
                <w:sz w:val="18"/>
                <w:szCs w:val="18"/>
                <w:color w:val="auto"/>
              </w:rPr>
              <w:t xml:space="preserve">Severance </w:t>
            </w:r>
            <w:r>
              <w:rPr>
                <w:rFonts w:ascii="Times New Roman" w:cs="Times New Roman" w:eastAsia="Times New Roman" w:hAnsi="Times New Roman"/>
                <w:sz w:val="22"/>
                <w:szCs w:val="22"/>
                <w:color w:val="auto"/>
                <w:vertAlign w:val="superscript"/>
              </w:rPr>
              <w:t>(a)</w:t>
            </w: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523</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67</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30"/>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Exit costs</w:t>
            </w:r>
          </w:p>
        </w:tc>
        <w:tc>
          <w:tcPr>
            <w:tcW w:w="1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35</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3"/>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1260" w:type="dxa"/>
            <w:vAlign w:val="bottom"/>
          </w:tcPr>
          <w:p>
            <w:pPr>
              <w:spacing w:after="0"/>
              <w:rPr>
                <w:sz w:val="18"/>
                <w:szCs w:val="18"/>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554</w:t>
            </w:r>
          </w:p>
        </w:tc>
        <w:tc>
          <w:tcPr>
            <w:tcW w:w="44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102</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25"/>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Transaction-related items</w:t>
            </w:r>
          </w:p>
        </w:tc>
        <w:tc>
          <w:tcPr>
            <w:tcW w:w="126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62</w:t>
            </w:r>
          </w:p>
        </w:tc>
        <w:tc>
          <w:tcPr>
            <w:tcW w:w="44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(156)</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30"/>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corporate matters</w:t>
            </w:r>
          </w:p>
        </w:tc>
        <w:tc>
          <w:tcPr>
            <w:tcW w:w="1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131</w:t>
            </w: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165"/>
        </w:trPr>
        <w:tc>
          <w:tcPr>
            <w:tcW w:w="4720" w:type="dxa"/>
            <w:vAlign w:val="bottom"/>
          </w:tcPr>
          <w:p>
            <w:pPr>
              <w:ind w:left="140"/>
              <w:spacing w:after="0" w:line="165" w:lineRule="exact"/>
              <w:rPr>
                <w:sz w:val="20"/>
                <w:szCs w:val="20"/>
                <w:color w:val="auto"/>
              </w:rPr>
            </w:pPr>
            <w:r>
              <w:rPr>
                <w:rFonts w:ascii="Times New Roman" w:cs="Times New Roman" w:eastAsia="Times New Roman" w:hAnsi="Times New Roman"/>
                <w:sz w:val="18"/>
                <w:szCs w:val="18"/>
                <w:color w:val="auto"/>
              </w:rPr>
              <w:t>Restructuring, transaction-related items, and other</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45"/>
        </w:trPr>
        <w:tc>
          <w:tcPr>
            <w:tcW w:w="47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corporate matters</w:t>
            </w:r>
          </w:p>
        </w:tc>
        <w:tc>
          <w:tcPr>
            <w:tcW w:w="1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747</w:t>
            </w: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r>
    </w:tbl>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(a) Severance costs include the accelerated vesting of stock-based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Restructuring Charges</w:t>
      </w:r>
    </w:p>
    <w:p>
      <w:pPr>
        <w:spacing w:after="0" w:line="1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In 2024, 2023 and 2022, we recorded severance charges of $523 million, $67 million, and $260 million, respectively, associated with a series of strategic initiatives designed to streamline and transform our organization. 2024 included amounts related to restructuring our global workforce and the exit of our former CEO. For 2023 and 2022, the actions that gave rise to these severance costs included our 2022 operating segment realignment, the integration of Showtime into Paramount+, and the restructuring of our international operations. In addition, during 2023, certain eligible employees voluntarily elected to participate in a plan under which they are receiving one-time severance benefits, resulting in $13 million of severance costs.</w:t>
      </w:r>
    </w:p>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We also recorded charges of $31 million, $35 million and $68 million in 2024, 2023, and 2022, respectively, for the impairment of lease assets that we ceased use of in connection with initiatives in recent years to reduce our real estate footprint and create cost synergies. The impairments were primarily the result of a decline in market conditions since the inception of these leases and reflect the difference between the estimated fair values, which were determined based on the expected discounted future cash flows of the lease assets, and the carrying values.</w:t>
      </w:r>
    </w:p>
    <w:p>
      <w:pPr>
        <w:spacing w:after="0" w:line="1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The following is a rollforward of our restructuring liability, which is recorded in “Other current liabilities” and “Other liabilities” on the Consolidated Balance Sheets. The restructuring liability at December 31, 2024, which principally relates to severance payments, is expected to be substantially paid by the end of 2025.</w:t>
      </w:r>
    </w:p>
    <w:p>
      <w:pPr>
        <w:spacing w:after="0" w:line="73" w:lineRule="exact"/>
        <w:rPr>
          <w:sz w:val="20"/>
          <w:szCs w:val="20"/>
          <w:color w:val="auto"/>
        </w:rPr>
      </w:pPr>
    </w:p>
    <w:tbl>
      <w:tblPr>
        <w:tblLayout w:type="fixed"/>
        <w:tblInd w:w="420" w:type="dxa"/>
        <w:tblCellMar>
          <w:top w:w="0" w:type="dxa"/>
          <w:left w:w="0" w:type="dxa"/>
          <w:bottom w:w="0" w:type="dxa"/>
          <w:right w:w="0" w:type="dxa"/>
        </w:tblCellMar>
      </w:tblPr>
      <w:tr>
        <w:trPr>
          <w:trHeight w:val="252"/>
        </w:trPr>
        <w:tc>
          <w:tcPr>
            <w:tcW w:w="2120" w:type="dxa"/>
            <w:vAlign w:val="bottom"/>
            <w:tcBorders>
              <w:top w:val="single" w:sz="8" w:color="auto"/>
            </w:tcBorders>
          </w:tcPr>
          <w:p>
            <w:pPr>
              <w:spacing w:after="0"/>
              <w:rPr>
                <w:sz w:val="21"/>
                <w:szCs w:val="21"/>
                <w:color w:val="auto"/>
              </w:rPr>
            </w:pPr>
          </w:p>
        </w:tc>
        <w:tc>
          <w:tcPr>
            <w:tcW w:w="2800" w:type="dxa"/>
            <w:vAlign w:val="bottom"/>
            <w:tcBorders>
              <w:top w:val="single" w:sz="8" w:color="auto"/>
              <w:bottom w:val="single" w:sz="8" w:color="auto"/>
            </w:tcBorders>
            <w:gridSpan w:val="2"/>
            <w:vMerge w:val="restart"/>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160" w:type="dxa"/>
            <w:vAlign w:val="bottom"/>
            <w:tcBorders>
              <w:top w:val="single" w:sz="8" w:color="auto"/>
              <w:bottom w:val="single" w:sz="8" w:color="auto"/>
            </w:tcBorders>
          </w:tcPr>
          <w:p>
            <w:pPr>
              <w:spacing w:after="0"/>
              <w:rPr>
                <w:sz w:val="21"/>
                <w:szCs w:val="21"/>
                <w:color w:val="auto"/>
              </w:rPr>
            </w:pPr>
          </w:p>
        </w:tc>
        <w:tc>
          <w:tcPr>
            <w:tcW w:w="3060" w:type="dxa"/>
            <w:vAlign w:val="bottom"/>
            <w:tcBorders>
              <w:top w:val="single" w:sz="8" w:color="auto"/>
              <w:bottom w:val="single" w:sz="8" w:color="auto"/>
            </w:tcBorders>
            <w:gridSpan w:val="3"/>
          </w:tcPr>
          <w:p>
            <w:pPr>
              <w:jc w:val="right"/>
              <w:ind w:right="1032"/>
              <w:spacing w:after="0"/>
              <w:rPr>
                <w:sz w:val="20"/>
                <w:szCs w:val="20"/>
                <w:color w:val="auto"/>
              </w:rPr>
            </w:pPr>
            <w:r>
              <w:rPr>
                <w:rFonts w:ascii="Times New Roman" w:cs="Times New Roman" w:eastAsia="Times New Roman" w:hAnsi="Times New Roman"/>
                <w:sz w:val="18"/>
                <w:szCs w:val="18"/>
                <w:b w:val="1"/>
                <w:bCs w:val="1"/>
                <w:color w:val="auto"/>
              </w:rPr>
              <w:t>2024 Activity</w:t>
            </w:r>
          </w:p>
        </w:tc>
        <w:tc>
          <w:tcPr>
            <w:tcW w:w="2280" w:type="dxa"/>
            <w:vAlign w:val="bottom"/>
            <w:tcBorders>
              <w:top w:val="single" w:sz="8" w:color="auto"/>
              <w:bottom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0" w:type="dxa"/>
            <w:vAlign w:val="bottom"/>
          </w:tcPr>
          <w:p>
            <w:pPr>
              <w:spacing w:after="0"/>
              <w:rPr>
                <w:sz w:val="1"/>
                <w:szCs w:val="1"/>
                <w:color w:val="auto"/>
              </w:rPr>
            </w:pPr>
          </w:p>
        </w:tc>
      </w:tr>
      <w:tr>
        <w:trPr>
          <w:trHeight w:val="152"/>
        </w:trPr>
        <w:tc>
          <w:tcPr>
            <w:tcW w:w="2120" w:type="dxa"/>
            <w:vAlign w:val="bottom"/>
          </w:tcPr>
          <w:p>
            <w:pPr>
              <w:spacing w:after="0"/>
              <w:rPr>
                <w:sz w:val="13"/>
                <w:szCs w:val="13"/>
                <w:color w:val="auto"/>
              </w:rPr>
            </w:pPr>
          </w:p>
        </w:tc>
        <w:tc>
          <w:tcPr>
            <w:tcW w:w="28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vMerge w:val="restart"/>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w w:val="98"/>
              </w:rPr>
              <w:t xml:space="preserve">Charges </w:t>
            </w:r>
            <w:r>
              <w:rPr>
                <w:rFonts w:ascii="Times New Roman" w:cs="Times New Roman" w:eastAsia="Times New Roman" w:hAnsi="Times New Roman"/>
                <w:sz w:val="22"/>
                <w:szCs w:val="22"/>
                <w:b w:val="1"/>
                <w:bCs w:val="1"/>
                <w:color w:val="auto"/>
                <w:w w:val="98"/>
                <w:vertAlign w:val="superscript"/>
              </w:rPr>
              <w:t>(a)</w:t>
            </w:r>
          </w:p>
        </w:tc>
        <w:tc>
          <w:tcPr>
            <w:tcW w:w="480" w:type="dxa"/>
            <w:vAlign w:val="bottom"/>
          </w:tcPr>
          <w:p>
            <w:pPr>
              <w:spacing w:after="0"/>
              <w:rPr>
                <w:sz w:val="13"/>
                <w:szCs w:val="13"/>
                <w:color w:val="auto"/>
              </w:rPr>
            </w:pPr>
          </w:p>
        </w:tc>
        <w:tc>
          <w:tcPr>
            <w:tcW w:w="1240" w:type="dxa"/>
            <w:vAlign w:val="bottom"/>
            <w:vMerge w:val="restart"/>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22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0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TV Media</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181</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(187)</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5"/>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Direct-to-Consumer</w:t>
            </w:r>
          </w:p>
        </w:tc>
        <w:tc>
          <w:tcPr>
            <w:tcW w:w="1160" w:type="dxa"/>
            <w:vAlign w:val="bottom"/>
          </w:tcPr>
          <w:p>
            <w:pPr>
              <w:spacing w:after="0"/>
              <w:rPr>
                <w:sz w:val="19"/>
                <w:szCs w:val="19"/>
                <w:color w:val="auto"/>
              </w:rPr>
            </w:pPr>
          </w:p>
        </w:tc>
        <w:tc>
          <w:tcPr>
            <w:tcW w:w="164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9"/>
                <w:szCs w:val="19"/>
                <w:color w:val="auto"/>
              </w:rPr>
            </w:pPr>
          </w:p>
        </w:tc>
        <w:tc>
          <w:tcPr>
            <w:tcW w:w="13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66</w:t>
            </w:r>
          </w:p>
        </w:tc>
        <w:tc>
          <w:tcPr>
            <w:tcW w:w="480" w:type="dxa"/>
            <w:vAlign w:val="bottom"/>
          </w:tcPr>
          <w:p>
            <w:pPr>
              <w:spacing w:after="0"/>
              <w:rPr>
                <w:sz w:val="19"/>
                <w:szCs w:val="19"/>
                <w:color w:val="auto"/>
              </w:rPr>
            </w:pPr>
          </w:p>
        </w:tc>
        <w:tc>
          <w:tcPr>
            <w:tcW w:w="12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(36)</w:t>
            </w:r>
          </w:p>
        </w:tc>
        <w:tc>
          <w:tcPr>
            <w:tcW w:w="980" w:type="dxa"/>
            <w:vAlign w:val="bottom"/>
          </w:tcPr>
          <w:p>
            <w:pPr>
              <w:spacing w:after="0"/>
              <w:rPr>
                <w:sz w:val="19"/>
                <w:szCs w:val="19"/>
                <w:color w:val="auto"/>
              </w:rPr>
            </w:pPr>
          </w:p>
        </w:tc>
        <w:tc>
          <w:tcPr>
            <w:tcW w:w="13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5"/>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Filmed Entertainment</w:t>
            </w:r>
          </w:p>
        </w:tc>
        <w:tc>
          <w:tcPr>
            <w:tcW w:w="1160" w:type="dxa"/>
            <w:vAlign w:val="bottom"/>
          </w:tcPr>
          <w:p>
            <w:pPr>
              <w:spacing w:after="0"/>
              <w:rPr>
                <w:sz w:val="19"/>
                <w:szCs w:val="19"/>
                <w:color w:val="auto"/>
              </w:rPr>
            </w:pPr>
          </w:p>
        </w:tc>
        <w:tc>
          <w:tcPr>
            <w:tcW w:w="164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9"/>
                <w:szCs w:val="19"/>
                <w:color w:val="auto"/>
              </w:rPr>
            </w:pPr>
          </w:p>
        </w:tc>
        <w:tc>
          <w:tcPr>
            <w:tcW w:w="13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70</w:t>
            </w:r>
          </w:p>
        </w:tc>
        <w:tc>
          <w:tcPr>
            <w:tcW w:w="480" w:type="dxa"/>
            <w:vAlign w:val="bottom"/>
          </w:tcPr>
          <w:p>
            <w:pPr>
              <w:spacing w:after="0"/>
              <w:rPr>
                <w:sz w:val="19"/>
                <w:szCs w:val="19"/>
                <w:color w:val="auto"/>
              </w:rPr>
            </w:pPr>
          </w:p>
        </w:tc>
        <w:tc>
          <w:tcPr>
            <w:tcW w:w="12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(38)</w:t>
            </w:r>
          </w:p>
        </w:tc>
        <w:tc>
          <w:tcPr>
            <w:tcW w:w="980" w:type="dxa"/>
            <w:vAlign w:val="bottom"/>
          </w:tcPr>
          <w:p>
            <w:pPr>
              <w:spacing w:after="0"/>
              <w:rPr>
                <w:sz w:val="19"/>
                <w:szCs w:val="19"/>
                <w:color w:val="auto"/>
              </w:rPr>
            </w:pPr>
          </w:p>
        </w:tc>
        <w:tc>
          <w:tcPr>
            <w:tcW w:w="13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Corporate</w:t>
            </w:r>
          </w:p>
        </w:tc>
        <w:tc>
          <w:tcPr>
            <w:tcW w:w="1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171</w:t>
            </w:r>
          </w:p>
        </w:tc>
        <w:tc>
          <w:tcPr>
            <w:tcW w:w="4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(70)</w:t>
            </w:r>
          </w:p>
        </w:tc>
        <w:tc>
          <w:tcPr>
            <w:tcW w:w="9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5"/>
        </w:trPr>
        <w:tc>
          <w:tcPr>
            <w:tcW w:w="2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rPr>
              <w:t>192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488</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(331)</w:t>
            </w:r>
          </w:p>
        </w:tc>
        <w:tc>
          <w:tcPr>
            <w:tcW w:w="9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11" w:name="page112"/>
    <w:bookmarkEnd w:id="111"/>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44" w:lineRule="exact"/>
        <w:rPr>
          <w:sz w:val="20"/>
          <w:szCs w:val="20"/>
          <w:color w:val="auto"/>
        </w:rPr>
      </w:pPr>
    </w:p>
    <w:tbl>
      <w:tblPr>
        <w:tblLayout w:type="fixed"/>
        <w:tblInd w:w="420" w:type="dxa"/>
        <w:tblCellMar>
          <w:top w:w="0" w:type="dxa"/>
          <w:left w:w="0" w:type="dxa"/>
          <w:bottom w:w="0" w:type="dxa"/>
          <w:right w:w="0" w:type="dxa"/>
        </w:tblCellMar>
      </w:tblPr>
      <w:tr>
        <w:trPr>
          <w:trHeight w:val="252"/>
        </w:trPr>
        <w:tc>
          <w:tcPr>
            <w:tcW w:w="2120" w:type="dxa"/>
            <w:vAlign w:val="bottom"/>
            <w:tcBorders>
              <w:top w:val="single" w:sz="8" w:color="auto"/>
            </w:tcBorders>
          </w:tcPr>
          <w:p>
            <w:pPr>
              <w:spacing w:after="0"/>
              <w:rPr>
                <w:sz w:val="21"/>
                <w:szCs w:val="21"/>
                <w:color w:val="auto"/>
              </w:rPr>
            </w:pPr>
          </w:p>
        </w:tc>
        <w:tc>
          <w:tcPr>
            <w:tcW w:w="2800" w:type="dxa"/>
            <w:vAlign w:val="bottom"/>
            <w:tcBorders>
              <w:top w:val="single" w:sz="8" w:color="auto"/>
              <w:bottom w:val="single" w:sz="8" w:color="auto"/>
            </w:tcBorders>
            <w:gridSpan w:val="2"/>
            <w:vMerge w:val="restart"/>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160" w:type="dxa"/>
            <w:vAlign w:val="bottom"/>
            <w:tcBorders>
              <w:top w:val="single" w:sz="8" w:color="auto"/>
              <w:bottom w:val="single" w:sz="8" w:color="auto"/>
            </w:tcBorders>
          </w:tcPr>
          <w:p>
            <w:pPr>
              <w:spacing w:after="0"/>
              <w:rPr>
                <w:sz w:val="21"/>
                <w:szCs w:val="21"/>
                <w:color w:val="auto"/>
              </w:rPr>
            </w:pPr>
          </w:p>
        </w:tc>
        <w:tc>
          <w:tcPr>
            <w:tcW w:w="3060" w:type="dxa"/>
            <w:vAlign w:val="bottom"/>
            <w:tcBorders>
              <w:top w:val="single" w:sz="8" w:color="auto"/>
              <w:bottom w:val="single" w:sz="8" w:color="auto"/>
            </w:tcBorders>
            <w:gridSpan w:val="3"/>
          </w:tcPr>
          <w:p>
            <w:pPr>
              <w:jc w:val="right"/>
              <w:ind w:right="1032"/>
              <w:spacing w:after="0"/>
              <w:rPr>
                <w:sz w:val="20"/>
                <w:szCs w:val="20"/>
                <w:color w:val="auto"/>
              </w:rPr>
            </w:pPr>
            <w:r>
              <w:rPr>
                <w:rFonts w:ascii="Times New Roman" w:cs="Times New Roman" w:eastAsia="Times New Roman" w:hAnsi="Times New Roman"/>
                <w:sz w:val="18"/>
                <w:szCs w:val="18"/>
                <w:b w:val="1"/>
                <w:bCs w:val="1"/>
                <w:color w:val="auto"/>
              </w:rPr>
              <w:t>2023 Activity</w:t>
            </w:r>
          </w:p>
        </w:tc>
        <w:tc>
          <w:tcPr>
            <w:tcW w:w="2280" w:type="dxa"/>
            <w:vAlign w:val="bottom"/>
            <w:tcBorders>
              <w:top w:val="single" w:sz="8" w:color="auto"/>
              <w:bottom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0" w:type="dxa"/>
            <w:vAlign w:val="bottom"/>
          </w:tcPr>
          <w:p>
            <w:pPr>
              <w:spacing w:after="0"/>
              <w:rPr>
                <w:sz w:val="1"/>
                <w:szCs w:val="1"/>
                <w:color w:val="auto"/>
              </w:rPr>
            </w:pPr>
          </w:p>
        </w:tc>
      </w:tr>
      <w:tr>
        <w:trPr>
          <w:trHeight w:val="152"/>
        </w:trPr>
        <w:tc>
          <w:tcPr>
            <w:tcW w:w="2120" w:type="dxa"/>
            <w:vAlign w:val="bottom"/>
          </w:tcPr>
          <w:p>
            <w:pPr>
              <w:spacing w:after="0"/>
              <w:rPr>
                <w:sz w:val="13"/>
                <w:szCs w:val="13"/>
                <w:color w:val="auto"/>
              </w:rPr>
            </w:pPr>
          </w:p>
        </w:tc>
        <w:tc>
          <w:tcPr>
            <w:tcW w:w="28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vMerge w:val="restart"/>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95"/>
              </w:rPr>
              <w:t xml:space="preserve">Charges </w:t>
            </w:r>
            <w:r>
              <w:rPr>
                <w:rFonts w:ascii="Times New Roman" w:cs="Times New Roman" w:eastAsia="Times New Roman" w:hAnsi="Times New Roman"/>
                <w:sz w:val="22"/>
                <w:szCs w:val="22"/>
                <w:b w:val="1"/>
                <w:bCs w:val="1"/>
                <w:color w:val="auto"/>
                <w:w w:val="95"/>
                <w:vertAlign w:val="superscript"/>
              </w:rPr>
              <w:t>(a)</w:t>
            </w:r>
          </w:p>
        </w:tc>
        <w:tc>
          <w:tcPr>
            <w:tcW w:w="480" w:type="dxa"/>
            <w:vAlign w:val="bottom"/>
          </w:tcPr>
          <w:p>
            <w:pPr>
              <w:spacing w:after="0"/>
              <w:rPr>
                <w:sz w:val="13"/>
                <w:szCs w:val="13"/>
                <w:color w:val="auto"/>
              </w:rPr>
            </w:pPr>
          </w:p>
        </w:tc>
        <w:tc>
          <w:tcPr>
            <w:tcW w:w="1240" w:type="dxa"/>
            <w:vAlign w:val="bottom"/>
            <w:vMerge w:val="restart"/>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22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0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TV Media</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251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42</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(131)</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5"/>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Direct-to-Consumer</w:t>
            </w:r>
          </w:p>
        </w:tc>
        <w:tc>
          <w:tcPr>
            <w:tcW w:w="1160" w:type="dxa"/>
            <w:vAlign w:val="bottom"/>
          </w:tcPr>
          <w:p>
            <w:pPr>
              <w:spacing w:after="0"/>
              <w:rPr>
                <w:sz w:val="19"/>
                <w:szCs w:val="19"/>
                <w:color w:val="auto"/>
              </w:rPr>
            </w:pPr>
          </w:p>
        </w:tc>
        <w:tc>
          <w:tcPr>
            <w:tcW w:w="164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9"/>
                <w:szCs w:val="19"/>
                <w:color w:val="auto"/>
              </w:rPr>
            </w:pPr>
          </w:p>
        </w:tc>
        <w:tc>
          <w:tcPr>
            <w:tcW w:w="13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tcPr>
          <w:p>
            <w:pPr>
              <w:spacing w:after="0"/>
              <w:rPr>
                <w:sz w:val="19"/>
                <w:szCs w:val="19"/>
                <w:color w:val="auto"/>
              </w:rPr>
            </w:pPr>
          </w:p>
        </w:tc>
        <w:tc>
          <w:tcPr>
            <w:tcW w:w="12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(5)</w:t>
            </w:r>
          </w:p>
        </w:tc>
        <w:tc>
          <w:tcPr>
            <w:tcW w:w="980" w:type="dxa"/>
            <w:vAlign w:val="bottom"/>
          </w:tcPr>
          <w:p>
            <w:pPr>
              <w:spacing w:after="0"/>
              <w:rPr>
                <w:sz w:val="19"/>
                <w:szCs w:val="19"/>
                <w:color w:val="auto"/>
              </w:rPr>
            </w:pPr>
          </w:p>
        </w:tc>
        <w:tc>
          <w:tcPr>
            <w:tcW w:w="13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5"/>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Filmed Entertainment</w:t>
            </w:r>
          </w:p>
        </w:tc>
        <w:tc>
          <w:tcPr>
            <w:tcW w:w="1160" w:type="dxa"/>
            <w:vAlign w:val="bottom"/>
          </w:tcPr>
          <w:p>
            <w:pPr>
              <w:spacing w:after="0"/>
              <w:rPr>
                <w:sz w:val="19"/>
                <w:szCs w:val="19"/>
                <w:color w:val="auto"/>
              </w:rPr>
            </w:pPr>
          </w:p>
        </w:tc>
        <w:tc>
          <w:tcPr>
            <w:tcW w:w="164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9"/>
                <w:szCs w:val="19"/>
                <w:color w:val="auto"/>
              </w:rPr>
            </w:pPr>
          </w:p>
        </w:tc>
        <w:tc>
          <w:tcPr>
            <w:tcW w:w="13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tcPr>
          <w:p>
            <w:pPr>
              <w:spacing w:after="0"/>
              <w:rPr>
                <w:sz w:val="19"/>
                <w:szCs w:val="19"/>
                <w:color w:val="auto"/>
              </w:rPr>
            </w:pPr>
          </w:p>
        </w:tc>
        <w:tc>
          <w:tcPr>
            <w:tcW w:w="12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(20)</w:t>
            </w:r>
          </w:p>
        </w:tc>
        <w:tc>
          <w:tcPr>
            <w:tcW w:w="980" w:type="dxa"/>
            <w:vAlign w:val="bottom"/>
          </w:tcPr>
          <w:p>
            <w:pPr>
              <w:spacing w:after="0"/>
              <w:rPr>
                <w:sz w:val="19"/>
                <w:szCs w:val="19"/>
                <w:color w:val="auto"/>
              </w:rPr>
            </w:pPr>
          </w:p>
        </w:tc>
        <w:tc>
          <w:tcPr>
            <w:tcW w:w="13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Corporate</w:t>
            </w:r>
          </w:p>
        </w:tc>
        <w:tc>
          <w:tcPr>
            <w:tcW w:w="1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(16)</w:t>
            </w:r>
          </w:p>
        </w:tc>
        <w:tc>
          <w:tcPr>
            <w:tcW w:w="9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5"/>
        </w:trPr>
        <w:tc>
          <w:tcPr>
            <w:tcW w:w="2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rPr>
              <w:t>302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62</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(172)</w:t>
            </w:r>
          </w:p>
        </w:tc>
        <w:tc>
          <w:tcPr>
            <w:tcW w:w="9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720" w:right="560" w:hanging="237"/>
        <w:spacing w:after="0" w:line="272" w:lineRule="auto"/>
        <w:tabs>
          <w:tab w:leader="none" w:pos="704"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years ended December 31, 2024 and 2023, excludes stock-based compensation expense of $35 million and $5 million, respectively, and lease asset impairments of $31 million and $35 million,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Transaction-Related Items</w:t>
      </w:r>
    </w:p>
    <w:p>
      <w:pPr>
        <w:spacing w:after="0" w:line="15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In 2024, we recorded costs for transaction-related items of $62 million associated with legal and advisory services related to the Transactions. In 2023, we recorded a benefit of $156 million, principally associated with stockholder litigation related to the 2019 merger of Viacom Inc. (“Viacom”) and CBS Corporation (“CBS”), consisting of $120 million from a settlement received in the fourth quarter of 2023, as well as insurance recoveries. In 2022, we recorded costs for transaction-related items of $211 million associated with these stockholder legal matters, including $122.5 million for a litigation settlement.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 Corporate Matters</w:t>
      </w:r>
    </w:p>
    <w:p>
      <w:pPr>
        <w:spacing w:after="0" w:line="15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 xml:space="preserve">In 2024, we recorded charges for other corporate matters of $131 million, comprised of $74 million associated with the abandonment of developed technology and $57 million to increase our accrual for asbestos matters as discussed under </w:t>
      </w:r>
      <w:r>
        <w:rPr>
          <w:rFonts w:ascii="Times New Roman" w:cs="Times New Roman" w:eastAsia="Times New Roman" w:hAnsi="Times New Roman"/>
          <w:sz w:val="19"/>
          <w:szCs w:val="19"/>
          <w:i w:val="1"/>
          <w:iCs w:val="1"/>
          <w:color w:val="auto"/>
        </w:rPr>
        <w:t>Legal Matters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Claims Related to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Former Businesses—Asbestos </w:t>
      </w:r>
      <w:r>
        <w:rPr>
          <w:rFonts w:ascii="Times New Roman" w:cs="Times New Roman" w:eastAsia="Times New Roman" w:hAnsi="Times New Roman"/>
          <w:sz w:val="19"/>
          <w:szCs w:val="19"/>
          <w:color w:val="auto"/>
        </w:rPr>
        <w:t>in Note 19. In 2023, we recorded a charge to increase our accrual for asbestos matters by $23 million. In 2022,</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we recorded charges for other corporate matters of $46 million following Russia’s invasion of Ukraine, principally to reserve against amounts due from counterparties in Russia, Belarus and Ukraine.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6) RELATED PARTIES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National Amusements, Inc.</w:t>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National Amusements, Inc. (“NAI”) is the controlling stockholder of the Company. At December 31, 2024, NAI directly or indirectly owned approximately 77.4% of our voting Class A Common Stock, and approximately 9.5% of our Class A Common Stock and non-voting Class B Common Stock on a combined basis. NAI is controlled by the Sumner M. Redstone National Amusements Part B General Trust (the “General Trust”), which owns 80% of the voting interest of NAI. NA Administration, LLC is the corporate trustee of the General Trust and is governed by a seven-member board of directors, which acts by majority vote (subject to certain exceptions), including with respect to the NAI shares held by the General Trust. Shari E. Redstone, Chairperson, CEO and President of NAI and non-executive Chair of our Board of Directors, is one of the seven directors of NA Administration, LLC and one of two directors who are beneficiaries of the General Trust. No member of our management or other member of our Board of Directors is a director of NA Administration, LLC.</w:t>
      </w:r>
    </w:p>
    <w:p>
      <w:pPr>
        <w:spacing w:after="0" w:line="19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On July 7, 2024, following their receipt of the final form of the Transaction Agreement and approval of the Transactions by our Board of Directors, but prior to the execution of the Transaction Agreement, NAI and its wholly owned subsidiaries, NAI Entertainment Holdings LLC and SPV-NAIEH LLC (the “NAI Company Stockholders”), representing approximately 77.4% of the voting power of the Company, executed and delivered a written consent (the “Written Consent”) approving and adopting the Transaction Agreement, which Written Consent became effective immediately following the execution of the Transaction Agreement by all of the parties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12" w:name="page113"/>
    <w:bookmarkEnd w:id="112"/>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thereto. Since the Written Consent represents approval by the holders of at least a majority of the outstanding shares of the Company with the right to vote on the adoption and approval of the Transaction Agreement, no additional approval is required from the Company’s stockholders for the Transactions. Concurrent with the execution of the Transaction Agreement, the NAI Company Stockholders also entered into a voting and support agreement with the Company and Skydance (the “Voting Agreement”), pursuant to which the NAI Company Stockholders agreed to vote (or cause to be voted) their shares in the Company in favor of certain matters set forth therein relating to the Transactions.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 Related Parties</w:t>
      </w:r>
    </w:p>
    <w:p>
      <w:pPr>
        <w:spacing w:after="0" w:line="15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In the ordinary course of business, we are involved in transactions with our equity-method investees, primarily for the licensing of television and film programming. The following tables present the amounts recorded in our consolidated financial statements related to these transactions.</w:t>
      </w:r>
    </w:p>
    <w:p>
      <w:pPr>
        <w:spacing w:after="0" w:line="93" w:lineRule="exact"/>
        <w:rPr>
          <w:sz w:val="20"/>
          <w:szCs w:val="20"/>
          <w:color w:val="auto"/>
        </w:rPr>
      </w:pPr>
    </w:p>
    <w:tbl>
      <w:tblPr>
        <w:tblLayout w:type="fixed"/>
        <w:tblInd w:w="700" w:type="dxa"/>
        <w:tblCellMar>
          <w:top w:w="0" w:type="dxa"/>
          <w:left w:w="0" w:type="dxa"/>
          <w:bottom w:w="0" w:type="dxa"/>
          <w:right w:w="0" w:type="dxa"/>
        </w:tblCellMar>
      </w:tblPr>
      <w:tr>
        <w:trPr>
          <w:trHeight w:val="252"/>
        </w:trPr>
        <w:tc>
          <w:tcPr>
            <w:tcW w:w="38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1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5"/>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273</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322</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332"/>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Operating costs </w:t>
            </w:r>
            <w:r>
              <w:rPr>
                <w:rFonts w:ascii="Times New Roman" w:cs="Times New Roman" w:eastAsia="Times New Roman" w:hAnsi="Times New Roman"/>
                <w:sz w:val="22"/>
                <w:szCs w:val="22"/>
                <w:color w:val="auto"/>
                <w:vertAlign w:val="superscript"/>
              </w:rPr>
              <w:t>(a)</w:t>
            </w:r>
          </w:p>
        </w:tc>
        <w:tc>
          <w:tcPr>
            <w:tcW w:w="21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114</w:t>
            </w: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24</w:t>
            </w: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pacing w:after="0" w:line="14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 Includes costs expensed as operating expenses in each year. 2024 also includes costs capitalized in programming assets during the year.</w:t>
      </w:r>
    </w:p>
    <w:p>
      <w:pPr>
        <w:spacing w:after="0" w:line="168" w:lineRule="exact"/>
        <w:rPr>
          <w:sz w:val="20"/>
          <w:szCs w:val="20"/>
          <w:color w:val="auto"/>
        </w:rPr>
      </w:pPr>
    </w:p>
    <w:tbl>
      <w:tblPr>
        <w:tblLayout w:type="fixed"/>
        <w:tblInd w:w="720" w:type="dxa"/>
        <w:tblCellMar>
          <w:top w:w="0" w:type="dxa"/>
          <w:left w:w="0" w:type="dxa"/>
          <w:bottom w:w="0" w:type="dxa"/>
          <w:right w:w="0" w:type="dxa"/>
        </w:tblCellMar>
      </w:tblPr>
      <w:tr>
        <w:trPr>
          <w:trHeight w:val="252"/>
        </w:trPr>
        <w:tc>
          <w:tcPr>
            <w:tcW w:w="47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29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294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190</w:t>
            </w: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332"/>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assets (Receivables, noncurrent)</w:t>
            </w:r>
          </w:p>
        </w:tc>
        <w:tc>
          <w:tcPr>
            <w:tcW w:w="294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82</w:t>
            </w:r>
          </w:p>
        </w:tc>
        <w:tc>
          <w:tcPr>
            <w:tcW w:w="4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r>
    </w:tbl>
    <w:p>
      <w:pPr>
        <w:spacing w:after="0" w:line="202"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9"/>
          <w:szCs w:val="19"/>
          <w:color w:val="auto"/>
        </w:rPr>
        <w:t>Through the normal course of business, we are involved in other transactions with related parties that have not been material in any of the periods presented.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7) REVENUES</w:t>
      </w:r>
    </w:p>
    <w:p>
      <w:pPr>
        <w:spacing w:after="0" w:line="157"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9"/>
          <w:szCs w:val="19"/>
          <w:color w:val="auto"/>
        </w:rPr>
        <w:t>The table below presents our revenues disaggregated into categories based on the nature of such revenues. See Note 17 for revenues by segment disaggregated into these categories.</w:t>
      </w:r>
    </w:p>
    <w:p>
      <w:pPr>
        <w:spacing w:after="0" w:line="120" w:lineRule="exact"/>
        <w:rPr>
          <w:sz w:val="20"/>
          <w:szCs w:val="20"/>
          <w:color w:val="auto"/>
        </w:rPr>
      </w:pPr>
    </w:p>
    <w:tbl>
      <w:tblPr>
        <w:tblLayout w:type="fixed"/>
        <w:tblInd w:w="700" w:type="dxa"/>
        <w:tblCellMar>
          <w:top w:w="0" w:type="dxa"/>
          <w:left w:w="0" w:type="dxa"/>
          <w:bottom w:w="0" w:type="dxa"/>
          <w:right w:w="0" w:type="dxa"/>
        </w:tblCellMar>
      </w:tblPr>
      <w:tr>
        <w:trPr>
          <w:trHeight w:val="252"/>
        </w:trPr>
        <w:tc>
          <w:tcPr>
            <w:tcW w:w="38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1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by Type:</w:t>
            </w:r>
          </w:p>
        </w:tc>
        <w:tc>
          <w:tcPr>
            <w:tcW w:w="2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5"/>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2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10,295</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9,989</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10,890</w:t>
            </w:r>
          </w:p>
        </w:tc>
      </w:tr>
      <w:tr>
        <w:trPr>
          <w:trHeight w:val="225"/>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Affiliate and subscription</w:t>
            </w:r>
          </w:p>
        </w:tc>
        <w:tc>
          <w:tcPr>
            <w:tcW w:w="212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13,153</w:t>
            </w:r>
          </w:p>
        </w:tc>
        <w:tc>
          <w:tcPr>
            <w:tcW w:w="44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13,018</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11,551</w:t>
            </w:r>
          </w:p>
        </w:tc>
      </w:tr>
      <w:tr>
        <w:trPr>
          <w:trHeight w:val="225"/>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Theatrical</w:t>
            </w:r>
          </w:p>
        </w:tc>
        <w:tc>
          <w:tcPr>
            <w:tcW w:w="212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813</w:t>
            </w:r>
          </w:p>
        </w:tc>
        <w:tc>
          <w:tcPr>
            <w:tcW w:w="44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813</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r>
      <w:tr>
        <w:trPr>
          <w:trHeight w:val="230"/>
        </w:trPr>
        <w:tc>
          <w:tcPr>
            <w:tcW w:w="3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Licensing and other</w:t>
            </w:r>
          </w:p>
        </w:tc>
        <w:tc>
          <w:tcPr>
            <w:tcW w:w="2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4,952</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5,832</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6,490</w:t>
            </w:r>
          </w:p>
        </w:tc>
      </w:tr>
      <w:tr>
        <w:trPr>
          <w:trHeight w:val="225"/>
        </w:trPr>
        <w:tc>
          <w:tcPr>
            <w:tcW w:w="38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1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29,213</w:t>
            </w: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29,652</w:t>
            </w: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13" w:name="page114"/>
    <w:bookmarkEnd w:id="113"/>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Receivables</w:t>
      </w:r>
    </w:p>
    <w:p>
      <w:pPr>
        <w:spacing w:after="0" w:line="1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Included in “Other assets” on the Consolidated Balance Sheets are noncurrent receivables of $1.03 billion and $1.39 billion at December 31, 2024 and 2023, respectively. Noncurrent receivables primarily relate to revenues recognized under long-term content licensing arrangements. Revenues from the licensing of content are recognized at the beginning of the license period in which programs are made available to the licensee for exhibition, while the related cash is generally collected over the term of the license period.</w:t>
      </w:r>
    </w:p>
    <w:p>
      <w:pPr>
        <w:spacing w:after="0" w:line="184"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Our receivables do not represent significant concentrations of credit risk at December 31, 2024 or 2023, due to the wide variety of customers, markets and geographic areas to which our products and services are sold.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Contract Liabilities</w:t>
      </w:r>
    </w:p>
    <w:p>
      <w:pPr>
        <w:spacing w:after="0" w:line="15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Contract liabilities are included within “Deferred revenues” and “Other liabilities” on the Consolidated Balance Sheets and were $0.9 billion, $0.8 billion and $1.06 billion at December 31, 2024, 2023 and 2022, respectively. We recognized revenues of $0.7 billion for the year ended December 31, 2024 and $0.9 billion for each of the years ended December 31, 2023 and 2022 that were included in the opening balance of deferred revenues for the respective year.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Unrecognized Revenues Under Contract</w:t>
      </w:r>
    </w:p>
    <w:p>
      <w:pPr>
        <w:spacing w:after="0" w:line="1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At December 31, 2024, unrecognized revenues attributable to unsatisfied performance obligations under our long-term contracts were approximately $7 billion, of which $3 billion is expected to be recognized in 2025, $2 billion in 2026, $1 billion in 2027, and $1 billion thereafter. These amounts only include contracts subject to a guaranteed fixed amount or the guaranteed minimum under variable contracts, primarily consisting of television and film licensing contracts and affiliate agreements that are subject to a fixed or guaranteed minimum fee. Such amounts change on a regular basis as we renew existing agreements or enter into new agreements. In addition, the timing of satisfying certain of the performance obligations under these long-term contracts is uncertain and, therefore, is also subject to change. Unrecognized revenues under contracts disclosed above do not include (i) contracts with an original expected term of one year or less, mainly consisting of advertising contracts (ii) contracts for which variable consideration is determined based on the customer’s subsequent sale or usage, mainly consisting of affiliate agreements and (iii) long-term licensing agreements for multiple programs for which variable consideration is determined based on the value of the programs delivered to the customer and our right to invoice corresponds with the value delivered.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Performance Obligations Satisfied in Previous Periods</w:t>
      </w:r>
    </w:p>
    <w:p>
      <w:pPr>
        <w:spacing w:after="0" w:line="1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Under certain revenue arrangements, the amount and timing of our revenue recognition is determined based on our licensees’ subsequent sale to its end customers. As a result, under such arrangements, we often satisfy our performance obligation of delivery of our content in advance of revenue recognition. We recognized revenues of $0.5 billion for the year ended December 31, 2024 and $0.4 billion for each of the years ended December 31, 2023 and 2022 from arrangements for the licensing of our content, including from distributors of transactional video-on-demand and electronic sell-through services and other licensing arrangements, as well as from the theatrical distribution of our films, for which our performance obligation was satisfied in a prior period. The amount for the year ended December 31, 2024 also included advertising revenue from amounts recognized during 2024 for the underreporting of revenue by an international advertising sales agent in prior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14" w:name="page115"/>
    <w:bookmarkEnd w:id="114"/>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8) DEBT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debt consists of the following:</w:t>
      </w:r>
    </w:p>
    <w:p>
      <w:pPr>
        <w:spacing w:after="0" w:line="129" w:lineRule="exact"/>
        <w:rPr>
          <w:sz w:val="20"/>
          <w:szCs w:val="20"/>
          <w:color w:val="auto"/>
        </w:rPr>
      </w:pPr>
    </w:p>
    <w:tbl>
      <w:tblPr>
        <w:tblLayout w:type="fixed"/>
        <w:tblInd w:w="420" w:type="dxa"/>
        <w:tblCellMar>
          <w:top w:w="0" w:type="dxa"/>
          <w:left w:w="0" w:type="dxa"/>
          <w:bottom w:w="0" w:type="dxa"/>
          <w:right w:w="0" w:type="dxa"/>
        </w:tblCellMar>
      </w:tblPr>
      <w:tr>
        <w:trPr>
          <w:trHeight w:val="237"/>
        </w:trPr>
        <w:tc>
          <w:tcPr>
            <w:tcW w:w="530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At December 31,</w:t>
            </w:r>
          </w:p>
        </w:tc>
        <w:tc>
          <w:tcPr>
            <w:tcW w:w="204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7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2"/>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4.75%</w:t>
            </w:r>
          </w:p>
        </w:tc>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2025</w:t>
            </w:r>
          </w:p>
        </w:tc>
        <w:tc>
          <w:tcPr>
            <w:tcW w:w="204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125</w:t>
            </w:r>
          </w:p>
        </w:tc>
      </w:tr>
      <w:tr>
        <w:trPr>
          <w:trHeight w:val="211"/>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4.0% Senior Notes due 2026</w:t>
            </w:r>
          </w:p>
        </w:tc>
        <w:tc>
          <w:tcPr>
            <w:tcW w:w="204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346</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345</w:t>
            </w:r>
          </w:p>
        </w:tc>
      </w:tr>
      <w:tr>
        <w:trPr>
          <w:trHeight w:val="212"/>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3.70%</w:t>
            </w:r>
          </w:p>
        </w:tc>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 and 3.45% (2023) Senior Notes due 2026</w:t>
            </w:r>
          </w:p>
        </w:tc>
        <w:tc>
          <w:tcPr>
            <w:tcW w:w="204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86</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86</w:t>
            </w:r>
          </w:p>
        </w:tc>
      </w:tr>
      <w:tr>
        <w:trPr>
          <w:trHeight w:val="212"/>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2.90%</w:t>
            </w:r>
          </w:p>
        </w:tc>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2027</w:t>
            </w:r>
          </w:p>
        </w:tc>
        <w:tc>
          <w:tcPr>
            <w:tcW w:w="204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582</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581</w:t>
            </w:r>
          </w:p>
        </w:tc>
      </w:tr>
      <w:tr>
        <w:trPr>
          <w:trHeight w:val="212"/>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3.375% Senior Notes due 2028</w:t>
            </w:r>
          </w:p>
        </w:tc>
        <w:tc>
          <w:tcPr>
            <w:tcW w:w="204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498</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497</w:t>
            </w:r>
          </w:p>
        </w:tc>
      </w:tr>
      <w:tr>
        <w:trPr>
          <w:trHeight w:val="212"/>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3.70%</w:t>
            </w:r>
          </w:p>
        </w:tc>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2028</w:t>
            </w:r>
          </w:p>
        </w:tc>
        <w:tc>
          <w:tcPr>
            <w:tcW w:w="204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496</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495</w:t>
            </w:r>
          </w:p>
        </w:tc>
      </w:tr>
      <w:tr>
        <w:trPr>
          <w:trHeight w:val="212"/>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4.20%</w:t>
            </w:r>
          </w:p>
        </w:tc>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2029</w:t>
            </w:r>
          </w:p>
        </w:tc>
        <w:tc>
          <w:tcPr>
            <w:tcW w:w="204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496</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496</w:t>
            </w:r>
          </w:p>
        </w:tc>
      </w:tr>
      <w:tr>
        <w:trPr>
          <w:trHeight w:val="212"/>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7.875% Senior Debentures due 2030</w:t>
            </w:r>
          </w:p>
        </w:tc>
        <w:tc>
          <w:tcPr>
            <w:tcW w:w="204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829</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830</w:t>
            </w:r>
          </w:p>
        </w:tc>
      </w:tr>
      <w:tr>
        <w:trPr>
          <w:trHeight w:val="212"/>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4.95%</w:t>
            </w:r>
          </w:p>
        </w:tc>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2031</w:t>
            </w:r>
          </w:p>
        </w:tc>
        <w:tc>
          <w:tcPr>
            <w:tcW w:w="204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1,232</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1,229</w:t>
            </w:r>
          </w:p>
        </w:tc>
      </w:tr>
      <w:tr>
        <w:trPr>
          <w:trHeight w:val="212"/>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4.20%</w:t>
            </w:r>
          </w:p>
        </w:tc>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2032</w:t>
            </w:r>
          </w:p>
        </w:tc>
        <w:tc>
          <w:tcPr>
            <w:tcW w:w="204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980</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977</w:t>
            </w:r>
          </w:p>
        </w:tc>
      </w:tr>
      <w:tr>
        <w:trPr>
          <w:trHeight w:val="212"/>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5.50%</w:t>
            </w:r>
          </w:p>
        </w:tc>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2033</w:t>
            </w:r>
          </w:p>
        </w:tc>
        <w:tc>
          <w:tcPr>
            <w:tcW w:w="204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428</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428</w:t>
            </w:r>
          </w:p>
        </w:tc>
      </w:tr>
      <w:tr>
        <w:trPr>
          <w:trHeight w:val="212"/>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4.85%</w:t>
            </w:r>
          </w:p>
        </w:tc>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2034</w:t>
            </w:r>
          </w:p>
        </w:tc>
        <w:tc>
          <w:tcPr>
            <w:tcW w:w="204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87</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87</w:t>
            </w:r>
          </w:p>
        </w:tc>
      </w:tr>
      <w:tr>
        <w:trPr>
          <w:trHeight w:val="212"/>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6.875% Senior Debentures due 2036</w:t>
            </w:r>
          </w:p>
        </w:tc>
        <w:tc>
          <w:tcPr>
            <w:tcW w:w="204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1,072</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1,071</w:t>
            </w:r>
          </w:p>
        </w:tc>
      </w:tr>
      <w:tr>
        <w:trPr>
          <w:trHeight w:val="212"/>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6.75%</w:t>
            </w:r>
          </w:p>
        </w:tc>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2037</w:t>
            </w:r>
          </w:p>
        </w:tc>
        <w:tc>
          <w:tcPr>
            <w:tcW w:w="204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76</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75</w:t>
            </w:r>
          </w:p>
        </w:tc>
      </w:tr>
      <w:tr>
        <w:trPr>
          <w:trHeight w:val="212"/>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5.90%</w:t>
            </w:r>
          </w:p>
        </w:tc>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2040</w:t>
            </w:r>
          </w:p>
        </w:tc>
        <w:tc>
          <w:tcPr>
            <w:tcW w:w="204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298</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298</w:t>
            </w:r>
          </w:p>
        </w:tc>
      </w:tr>
      <w:tr>
        <w:trPr>
          <w:trHeight w:val="212"/>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4.50%</w:t>
            </w:r>
          </w:p>
        </w:tc>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2042</w:t>
            </w:r>
          </w:p>
        </w:tc>
        <w:tc>
          <w:tcPr>
            <w:tcW w:w="204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45</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w:t>
            </w:r>
          </w:p>
        </w:tc>
      </w:tr>
      <w:tr>
        <w:trPr>
          <w:trHeight w:val="212"/>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4.85%</w:t>
            </w:r>
          </w:p>
        </w:tc>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2042</w:t>
            </w:r>
          </w:p>
        </w:tc>
        <w:tc>
          <w:tcPr>
            <w:tcW w:w="204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490</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489</w:t>
            </w:r>
          </w:p>
        </w:tc>
      </w:tr>
      <w:tr>
        <w:trPr>
          <w:trHeight w:val="212"/>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4.375% Senior Debentures due 2043</w:t>
            </w:r>
          </w:p>
        </w:tc>
        <w:tc>
          <w:tcPr>
            <w:tcW w:w="204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1,146</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1,138</w:t>
            </w:r>
          </w:p>
        </w:tc>
      </w:tr>
      <w:tr>
        <w:trPr>
          <w:trHeight w:val="212"/>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4.875% Senior Debentures due 2043</w:t>
            </w:r>
          </w:p>
        </w:tc>
        <w:tc>
          <w:tcPr>
            <w:tcW w:w="204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18</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w:t>
            </w:r>
          </w:p>
        </w:tc>
      </w:tr>
      <w:tr>
        <w:trPr>
          <w:trHeight w:val="212"/>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5.85%</w:t>
            </w:r>
          </w:p>
        </w:tc>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2043</w:t>
            </w:r>
          </w:p>
        </w:tc>
        <w:tc>
          <w:tcPr>
            <w:tcW w:w="204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1,235</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1,234</w:t>
            </w:r>
          </w:p>
        </w:tc>
      </w:tr>
      <w:tr>
        <w:trPr>
          <w:trHeight w:val="212"/>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5.25%</w:t>
            </w:r>
          </w:p>
        </w:tc>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2044</w:t>
            </w:r>
          </w:p>
        </w:tc>
        <w:tc>
          <w:tcPr>
            <w:tcW w:w="204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345</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345</w:t>
            </w:r>
          </w:p>
        </w:tc>
      </w:tr>
      <w:tr>
        <w:trPr>
          <w:trHeight w:val="212"/>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4.90%</w:t>
            </w:r>
          </w:p>
        </w:tc>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2044</w:t>
            </w:r>
          </w:p>
        </w:tc>
        <w:tc>
          <w:tcPr>
            <w:tcW w:w="204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542</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541</w:t>
            </w:r>
          </w:p>
        </w:tc>
      </w:tr>
      <w:tr>
        <w:trPr>
          <w:trHeight w:val="212"/>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4.60%</w:t>
            </w:r>
          </w:p>
        </w:tc>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2045</w:t>
            </w:r>
          </w:p>
        </w:tc>
        <w:tc>
          <w:tcPr>
            <w:tcW w:w="204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591</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591</w:t>
            </w:r>
          </w:p>
        </w:tc>
      </w:tr>
      <w:tr>
        <w:trPr>
          <w:trHeight w:val="212"/>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4.95%</w:t>
            </w:r>
          </w:p>
        </w:tc>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2050</w:t>
            </w:r>
          </w:p>
        </w:tc>
        <w:tc>
          <w:tcPr>
            <w:tcW w:w="204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950</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948</w:t>
            </w:r>
          </w:p>
        </w:tc>
      </w:tr>
      <w:tr>
        <w:trPr>
          <w:trHeight w:val="212"/>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6.25%</w:t>
            </w:r>
          </w:p>
        </w:tc>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Junior Subordinated Debentures due 2057</w:t>
            </w:r>
          </w:p>
        </w:tc>
        <w:tc>
          <w:tcPr>
            <w:tcW w:w="204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644</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643</w:t>
            </w:r>
          </w:p>
        </w:tc>
      </w:tr>
      <w:tr>
        <w:trPr>
          <w:trHeight w:val="212"/>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6.375% Junior Subordinated Debentures due 2062</w:t>
            </w:r>
          </w:p>
        </w:tc>
        <w:tc>
          <w:tcPr>
            <w:tcW w:w="204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989</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989</w:t>
            </w:r>
          </w:p>
        </w:tc>
      </w:tr>
      <w:tr>
        <w:trPr>
          <w:trHeight w:val="215"/>
        </w:trPr>
        <w:tc>
          <w:tcPr>
            <w:tcW w:w="5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Obligations under finance leases</w:t>
            </w:r>
          </w:p>
        </w:tc>
        <w:tc>
          <w:tcPr>
            <w:tcW w:w="20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r>
      <w:tr>
        <w:trPr>
          <w:trHeight w:val="207"/>
        </w:trPr>
        <w:tc>
          <w:tcPr>
            <w:tcW w:w="53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Total debt </w:t>
            </w:r>
            <w:r>
              <w:rPr>
                <w:rFonts w:ascii="Times New Roman" w:cs="Times New Roman" w:eastAsia="Times New Roman" w:hAnsi="Times New Roman"/>
                <w:sz w:val="20"/>
                <w:szCs w:val="20"/>
                <w:color w:val="auto"/>
                <w:vertAlign w:val="superscript"/>
              </w:rPr>
              <w:t>(a)</w:t>
            </w:r>
          </w:p>
        </w:tc>
        <w:tc>
          <w:tcPr>
            <w:tcW w:w="2040" w:type="dxa"/>
            <w:vAlign w:val="bottom"/>
          </w:tcPr>
          <w:p>
            <w:pPr>
              <w:spacing w:after="0"/>
              <w:rPr>
                <w:sz w:val="18"/>
                <w:szCs w:val="18"/>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14,501</w:t>
            </w:r>
          </w:p>
        </w:tc>
        <w:tc>
          <w:tcPr>
            <w:tcW w:w="6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14,602</w:t>
            </w:r>
          </w:p>
        </w:tc>
      </w:tr>
      <w:tr>
        <w:trPr>
          <w:trHeight w:val="210"/>
        </w:trPr>
        <w:tc>
          <w:tcPr>
            <w:tcW w:w="53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20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r>
      <w:tr>
        <w:trPr>
          <w:trHeight w:val="214"/>
        </w:trPr>
        <w:tc>
          <w:tcPr>
            <w:tcW w:w="5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long-term debt, net of current portion</w:t>
            </w:r>
          </w:p>
        </w:tc>
        <w:tc>
          <w:tcPr>
            <w:tcW w:w="20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14,501</w:t>
            </w:r>
          </w:p>
        </w:tc>
        <w:tc>
          <w:tcPr>
            <w:tcW w:w="6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14,601</w:t>
            </w:r>
          </w:p>
        </w:tc>
      </w:tr>
    </w:tbl>
    <w:p>
      <w:pPr>
        <w:spacing w:after="0" w:line="132" w:lineRule="exact"/>
        <w:rPr>
          <w:sz w:val="20"/>
          <w:szCs w:val="20"/>
          <w:color w:val="auto"/>
        </w:rPr>
      </w:pPr>
    </w:p>
    <w:p>
      <w:pPr>
        <w:ind w:left="540" w:hanging="216"/>
        <w:spacing w:after="0"/>
        <w:tabs>
          <w:tab w:leader="none" w:pos="5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2024 and 2023, the senior and junior debt balances included (i) a net unamortized discount of $401 million and $419 million, respectively, and</w:t>
      </w:r>
    </w:p>
    <w:p>
      <w:pPr>
        <w:spacing w:after="0" w:line="19" w:lineRule="exact"/>
        <w:rPr>
          <w:rFonts w:ascii="Times New Roman" w:cs="Times New Roman" w:eastAsia="Times New Roman" w:hAnsi="Times New Roman"/>
          <w:sz w:val="16"/>
          <w:szCs w:val="16"/>
          <w:color w:val="auto"/>
        </w:rPr>
      </w:pPr>
    </w:p>
    <w:p>
      <w:pPr>
        <w:ind w:left="720" w:hanging="237"/>
        <w:spacing w:after="0"/>
        <w:tabs>
          <w:tab w:leader="none" w:pos="720"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unamortized deferred financing costs of $74 million and $81 million, respectively. The face value of our total debt was $14.98 billion at December 31, 2024</w:t>
      </w:r>
    </w:p>
    <w:p>
      <w:pPr>
        <w:spacing w:after="0" w:line="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and $15.10 billion at December 31, 2023.</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Senior Debt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During the fourth quarter of 2024, we redeemed our $126 million of outstanding 4.75% senior notes due in 2025 at par.</w:t>
      </w:r>
    </w:p>
    <w:p>
      <w:pPr>
        <w:spacing w:after="0" w:line="24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During 2023, we repurchased $1.04 billion of our outstanding senior notes due between 2025 and 2027 through a tender offer, for an aggregate repurchase price of $1.00 billion. These repurchases resulted in a pre-tax gain on extinguishment of debt of $29 million. In 2023, we also repaid our $139 million of 7.875% debentures and $35 million of 7.125% senior notes, each at maturity.</w:t>
      </w:r>
    </w:p>
    <w:p>
      <w:pPr>
        <w:spacing w:after="0" w:line="1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In 2022, we redeemed senior notes totaling $2.39 billion, prior to maturity, for an aggregate redemption price of $2.49 billion and redeemed, at par, our $520 million of 5.875% junior subordinated debentures due February 2057. These redemptions resulted in a total pre-tax loss on extinguishment of debt of $120 million.</w:t>
      </w:r>
    </w:p>
    <w:p>
      <w:pPr>
        <w:sectPr>
          <w:pgSz w:w="11900" w:h="16838" w:orient="portrait"/>
          <w:cols w:equalWidth="0" w:num="1">
            <w:col w:w="11240"/>
          </w:cols>
          <w:pgMar w:left="320" w:top="4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type w:val="continuous"/>
        </w:sectPr>
      </w:pPr>
    </w:p>
    <w:bookmarkStart w:id="115" w:name="page116"/>
    <w:bookmarkEnd w:id="115"/>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Our outstanding senior notes and debentures provide for certain covenant packages typical for an investment grade company. We have senior notes and debentures with a total face value of $9.54 billion that have an acceleration trigger that requires us to make a redemption offer at 101% of the principal amount plus accrued and unpaid interest in the event of ratings downgrades to below investment grade by all three ratings agencies (Moody’s Investors Service, Inc., S&amp;P Global Ratings and Fitch Ratings, Ltd.) due to a change of control.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Junior Debt</w:t>
      </w:r>
    </w:p>
    <w:p>
      <w:pPr>
        <w:spacing w:after="0" w:line="16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In 2022, we issued $1.00 billion of 6.375% junior subordinated debentures due 2062. The interest rate on these debentures will reset on March 30, 2027, and every five years thereafter to a fixed rate equal to the 5-year Treasury Rate (as defined pursuant to the terms of the debentures) plus a spread of 3.999% from March 30, 2027, 4.249% from March 30, 2032 and 4.999% from March 30, 2047. These debentures can be called by us at par plus a make whole premium any time before March 30, 2027, or at par on March 30, 2027 or on any interest payment date thereafter.</w:t>
      </w:r>
    </w:p>
    <w:p>
      <w:pPr>
        <w:spacing w:after="0" w:line="200" w:lineRule="exact"/>
        <w:rPr>
          <w:sz w:val="20"/>
          <w:szCs w:val="20"/>
          <w:color w:val="auto"/>
        </w:rPr>
      </w:pPr>
    </w:p>
    <w:p>
      <w:pPr>
        <w:spacing w:after="0" w:line="24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Our $644 million of 6.25% junior subordinated debentures due February 2057 accrue interest at the stated fixed rate until February 28, 2027, on which date the rate will switch to a floating rate. Under the terms of the debentures the floating rate is based on three-month LIBOR plus 3.899%, reset quarterly, however, with the phasing out of LIBOR and the passage of the Adjustable Interest Rate (LIBOR) Act, signed into law on March 15, 2022, it is expected that the 6.25% junior subordinated debentures due 2057 will, upon switching to a floating rate, bear interest at a replacement rate based on three-month CME Term Secured Overnight Financing Rate (SOFR). These debentures can be called by us at par at any time after the expiration of the fixed-rate period.</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Our junior subordinated debentures, which have a total face value of $1.65 billion, also provide for certain covenant packages. In the event of ratings downgrades by all three rating agencies due to a change of control, there is a provision in the junior subordinated debentures that requires us to either elect to redeem the debentures at 101% of the principal amount plus accrued and unpaid interest or, if we elect not to redeem the debentures, the interest rate will be increased by 5 percentage points.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Long-Term Debt Maturities</w:t>
      </w:r>
    </w:p>
    <w:p>
      <w:pPr>
        <w:spacing w:after="0" w:line="155"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9"/>
          <w:szCs w:val="19"/>
          <w:color w:val="auto"/>
        </w:rPr>
        <w:t>At December 31, 2024, our scheduled maturities of long-term debt at face value, which excludes payments for the related interest and finance leases, were as follows:</w:t>
      </w:r>
    </w:p>
    <w:p>
      <w:pPr>
        <w:spacing w:after="0" w:line="67" w:lineRule="exact"/>
        <w:rPr>
          <w:sz w:val="20"/>
          <w:szCs w:val="20"/>
          <w:color w:val="auto"/>
        </w:rPr>
      </w:pPr>
    </w:p>
    <w:tbl>
      <w:tblPr>
        <w:tblLayout w:type="fixed"/>
        <w:tblInd w:w="540" w:type="dxa"/>
        <w:tblCellMar>
          <w:top w:w="0" w:type="dxa"/>
          <w:left w:w="0" w:type="dxa"/>
          <w:bottom w:w="0" w:type="dxa"/>
          <w:right w:w="0" w:type="dxa"/>
        </w:tblCellMar>
      </w:tblPr>
      <w:tr>
        <w:trPr>
          <w:trHeight w:val="245"/>
        </w:trPr>
        <w:tc>
          <w:tcPr>
            <w:tcW w:w="20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2030 and</w:t>
            </w:r>
          </w:p>
        </w:tc>
      </w:tr>
      <w:tr>
        <w:trPr>
          <w:trHeight w:val="232"/>
        </w:trPr>
        <w:tc>
          <w:tcPr>
            <w:tcW w:w="20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2027</w:t>
            </w:r>
          </w:p>
        </w:tc>
        <w:tc>
          <w:tcPr>
            <w:tcW w:w="12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2028</w:t>
            </w:r>
          </w:p>
        </w:tc>
        <w:tc>
          <w:tcPr>
            <w:tcW w:w="4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2029</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6"/>
              </w:rPr>
              <w:t>Thereafter</w:t>
            </w:r>
          </w:p>
        </w:tc>
      </w:tr>
      <w:tr>
        <w:trPr>
          <w:trHeight w:val="225"/>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433</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584</w:t>
            </w:r>
          </w:p>
        </w:tc>
        <w:tc>
          <w:tcPr>
            <w:tcW w:w="12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   1,000</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500</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12,459</w:t>
            </w: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Commercial Paper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 both December 31, 2024 and 2023, we had no outstanding commercial paper borrowings.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Credit Facility</w:t>
      </w:r>
    </w:p>
    <w:p>
      <w:pPr>
        <w:spacing w:after="0" w:line="1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At December 31, 2024, we had a $3.50 billion revolving credit facility that matures in January 2027 (the “Credit Facility”). The Credit Facility is used for general corporate purposes and to support commercial paper borrowings, if any. We may, at our option, also borrow in certain foreign currencies up to specified limits under the Credit Facility. Borrowing rates under the Credit Facility are determined at the time of each borrowing and are generally based on either the prime rate in the U.S. or an applicable benchmark rate plus a margin (based on our senior unsecured debt rating), depending on the type and tenor of the loans entered into. The benchmark rate for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16" w:name="page117"/>
    <w:bookmarkEnd w:id="116"/>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loans denominated in U.S. dollars is Term SOFR, and for loans denominated in euros, sterling and yen is based on EURIBOR, SONIA and TIBOR, respectively. At December 31, 2024, we had no borrowings outstanding under the Credit Facility and the availability under the Credit Facility was $3.50 billion.</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 Credit Facility has one principal financial covenant which sets a maximum Consolidated Total Leverage Ratio (“Leverage Ratio”) at the end of each quarter. The maximum Leverage Ratio was 5.5x for the quarter ended December 31, 2024 and will remain at this level for the quarter ending March 31, 2025. The Leverage Ratio will then decrease 0.25x for each subsequent quarter until the quarter ending March 31, 2026 when it will be 4.5x, and will remain at this level until maturity. The Leverage Ratio reflects the ratio of our Consolidated Indebtedness, net of unrestricted cash and cash equivalents at the end of a quarter, to our Consolidated EBITDA (each as defined in the credit agreement) for the trailing twelve-month period. The maximum amount of unrestricted cash and cash equivalents that can be netted against Consolidated Indebtedness in the calculation of the Leverage Ratio is $1.50 billion. We met the covenant as of December 31, 2024.</w:t>
      </w:r>
    </w:p>
    <w:p>
      <w:pPr>
        <w:spacing w:after="0" w:line="20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Credit Facility also includes a provision that the occurrence of a change of control of Paramount will be an event of default that would give the lenders the right to accelerate any outstanding loans and terminate their commitments. On August 1, 2024, we entered into amendments to the Credit Facility and our $1.9 billion standby letter of credit facility (see Note 19), which, among other things, revise the change of control provision and related definitions to reflect the ownership structure of Paramount after giving effect to the Transactions and the NAI Transaction. In addition, the amendments increase the amount of unrestricted cash and cash equivalents that can be netted against Consolidated Indebtedness in the calculation of the Leverage Ratio to $3.0 billion. These amendments will only become operative upon closing of the Transactions (see Note 1).</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 Bank Borrowings</w:t>
      </w:r>
    </w:p>
    <w:p>
      <w:pPr>
        <w:spacing w:after="0" w:line="155"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9"/>
          <w:szCs w:val="19"/>
          <w:color w:val="auto"/>
        </w:rPr>
        <w:t>At both December 31, 2024 and 2023, we had no outstanding bank borrowings under Miramax’s $50 million credit facility that matures in November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9) LEASES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Lessee Contracts</w:t>
      </w:r>
    </w:p>
    <w:p>
      <w:pPr>
        <w:spacing w:after="0" w:line="15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We have operating leases primarily for office space, equipment, satellite transponders and studio facilities. We also have finance leases for equipment, which were not material for the periods presented. Lease costs are generally fixed, with certain contracts containing variable payments for non-lease costs based on usage and escalations in the lessors’ annual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 December 31, 2024 and 2023, the following amounts were recorded on the Consolidated Balance Sheets relating to our operating leases.</w:t>
      </w:r>
    </w:p>
    <w:p>
      <w:pPr>
        <w:spacing w:after="0" w:line="129" w:lineRule="exact"/>
        <w:rPr>
          <w:sz w:val="20"/>
          <w:szCs w:val="20"/>
          <w:color w:val="auto"/>
        </w:rPr>
      </w:pPr>
    </w:p>
    <w:tbl>
      <w:tblPr>
        <w:tblLayout w:type="fixed"/>
        <w:tblInd w:w="1860" w:type="dxa"/>
        <w:tblCellMar>
          <w:top w:w="0" w:type="dxa"/>
          <w:left w:w="0" w:type="dxa"/>
          <w:bottom w:w="0" w:type="dxa"/>
          <w:right w:w="0" w:type="dxa"/>
        </w:tblCellMar>
      </w:tblPr>
      <w:tr>
        <w:trPr>
          <w:trHeight w:val="252"/>
        </w:trPr>
        <w:tc>
          <w:tcPr>
            <w:tcW w:w="3360" w:type="dxa"/>
            <w:vAlign w:val="bottom"/>
            <w:tcBorders>
              <w:top w:val="single" w:sz="8" w:color="auto"/>
              <w:bottom w:val="single" w:sz="8" w:color="auto"/>
            </w:tcBorders>
          </w:tcPr>
          <w:p>
            <w:pPr>
              <w:spacing w:after="0"/>
              <w:rPr>
                <w:sz w:val="21"/>
                <w:szCs w:val="21"/>
                <w:color w:val="auto"/>
              </w:rPr>
            </w:pPr>
          </w:p>
        </w:tc>
        <w:tc>
          <w:tcPr>
            <w:tcW w:w="2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2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1"/>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32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3"/>
              </w:rPr>
              <w:t>1,012</w:t>
            </w:r>
          </w:p>
        </w:tc>
        <w:tc>
          <w:tcPr>
            <w:tcW w:w="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r>
      <w:tr>
        <w:trPr>
          <w:trHeight w:val="431"/>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2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5"/>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32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284</w:t>
            </w:r>
          </w:p>
        </w:tc>
        <w:tc>
          <w:tcPr>
            <w:tcW w:w="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30"/>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3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93"/>
              </w:rPr>
              <w:t>1,048</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w:t>
            </w:r>
          </w:p>
        </w:tc>
      </w:tr>
      <w:tr>
        <w:trPr>
          <w:trHeight w:val="225"/>
        </w:trPr>
        <w:tc>
          <w:tcPr>
            <w:tcW w:w="3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23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93"/>
              </w:rPr>
              <w:t>1,332</w:t>
            </w:r>
          </w:p>
        </w:tc>
        <w:tc>
          <w:tcPr>
            <w:tcW w:w="3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17" w:name="page118"/>
    <w:bookmarkEnd w:id="117"/>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44" w:lineRule="exact"/>
        <w:rPr>
          <w:sz w:val="20"/>
          <w:szCs w:val="20"/>
          <w:color w:val="auto"/>
        </w:rPr>
      </w:pPr>
    </w:p>
    <w:tbl>
      <w:tblPr>
        <w:tblLayout w:type="fixed"/>
        <w:tblInd w:w="2020" w:type="dxa"/>
        <w:tblCellMar>
          <w:top w:w="0" w:type="dxa"/>
          <w:left w:w="0" w:type="dxa"/>
          <w:bottom w:w="0" w:type="dxa"/>
          <w:right w:w="0" w:type="dxa"/>
        </w:tblCellMar>
      </w:tblPr>
      <w:tr>
        <w:trPr>
          <w:trHeight w:val="252"/>
        </w:trPr>
        <w:tc>
          <w:tcPr>
            <w:tcW w:w="4000" w:type="dxa"/>
            <w:vAlign w:val="bottom"/>
            <w:tcBorders>
              <w:top w:val="single" w:sz="8" w:color="auto"/>
              <w:bottom w:val="single" w:sz="8" w:color="auto"/>
            </w:tcBorders>
          </w:tcPr>
          <w:p>
            <w:pPr>
              <w:spacing w:after="0"/>
              <w:rPr>
                <w:sz w:val="21"/>
                <w:szCs w:val="21"/>
                <w:color w:val="auto"/>
              </w:rPr>
            </w:pPr>
          </w:p>
        </w:tc>
        <w:tc>
          <w:tcPr>
            <w:tcW w:w="2360" w:type="dxa"/>
            <w:vAlign w:val="bottom"/>
            <w:tcBorders>
              <w:top w:val="single" w:sz="8" w:color="auto"/>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8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3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6 years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years</w:t>
            </w:r>
          </w:p>
        </w:tc>
      </w:tr>
      <w:tr>
        <w:trPr>
          <w:trHeight w:val="371"/>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3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3.8 %</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3.9 %</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presents our lease cost relating to our operating leases.</w:t>
      </w:r>
    </w:p>
    <w:p>
      <w:pPr>
        <w:spacing w:after="0" w:line="195" w:lineRule="exact"/>
        <w:rPr>
          <w:sz w:val="20"/>
          <w:szCs w:val="20"/>
          <w:color w:val="auto"/>
        </w:rPr>
      </w:pPr>
    </w:p>
    <w:tbl>
      <w:tblPr>
        <w:tblLayout w:type="fixed"/>
        <w:tblInd w:w="1100" w:type="dxa"/>
        <w:tblCellMar>
          <w:top w:w="0" w:type="dxa"/>
          <w:left w:w="0" w:type="dxa"/>
          <w:bottom w:w="0" w:type="dxa"/>
          <w:right w:w="0" w:type="dxa"/>
        </w:tblCellMar>
      </w:tblPr>
      <w:tr>
        <w:trPr>
          <w:trHeight w:val="252"/>
        </w:trPr>
        <w:tc>
          <w:tcPr>
            <w:tcW w:w="38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384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2"/>
                <w:szCs w:val="22"/>
                <w:color w:val="auto"/>
                <w:vertAlign w:val="superscript"/>
              </w:rPr>
              <w:t>(a) (b)</w:t>
            </w:r>
          </w:p>
        </w:tc>
        <w:tc>
          <w:tcPr>
            <w:tcW w:w="2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301</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332</w:t>
            </w:r>
          </w:p>
        </w:tc>
        <w:tc>
          <w:tcPr>
            <w:tcW w:w="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25"/>
        </w:trPr>
        <w:tc>
          <w:tcPr>
            <w:tcW w:w="384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Short-term lease cost </w:t>
            </w:r>
            <w:r>
              <w:rPr>
                <w:rFonts w:ascii="Times New Roman" w:cs="Times New Roman" w:eastAsia="Times New Roman" w:hAnsi="Times New Roman"/>
                <w:sz w:val="22"/>
                <w:szCs w:val="22"/>
                <w:color w:val="auto"/>
                <w:vertAlign w:val="superscript"/>
              </w:rPr>
              <w:t>(b) (c)</w:t>
            </w:r>
          </w:p>
        </w:tc>
        <w:tc>
          <w:tcPr>
            <w:tcW w:w="208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181</w:t>
            </w:r>
          </w:p>
        </w:tc>
        <w:tc>
          <w:tcPr>
            <w:tcW w:w="26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229</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28"/>
        </w:trPr>
        <w:tc>
          <w:tcPr>
            <w:tcW w:w="384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Variable lease cost </w:t>
            </w:r>
            <w:r>
              <w:rPr>
                <w:rFonts w:ascii="Times New Roman" w:cs="Times New Roman" w:eastAsia="Times New Roman" w:hAnsi="Times New Roman"/>
                <w:sz w:val="22"/>
                <w:szCs w:val="22"/>
                <w:color w:val="auto"/>
                <w:vertAlign w:val="superscript"/>
              </w:rPr>
              <w:t>(b) (d)</w:t>
            </w:r>
          </w:p>
        </w:tc>
        <w:tc>
          <w:tcPr>
            <w:tcW w:w="208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76</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20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5"/>
        </w:trPr>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2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559</w:t>
            </w:r>
          </w:p>
        </w:tc>
        <w:tc>
          <w:tcPr>
            <w:tcW w:w="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630</w:t>
            </w:r>
          </w:p>
        </w:tc>
        <w:tc>
          <w:tcPr>
            <w:tcW w:w="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w:t>
            </w:r>
          </w:p>
        </w:tc>
      </w:tr>
    </w:tbl>
    <w:p>
      <w:pPr>
        <w:spacing w:after="0" w:line="119" w:lineRule="exact"/>
        <w:rPr>
          <w:sz w:val="20"/>
          <w:szCs w:val="20"/>
          <w:color w:val="auto"/>
        </w:rPr>
      </w:pPr>
    </w:p>
    <w:p>
      <w:pPr>
        <w:ind w:left="1200" w:hanging="240"/>
        <w:spacing w:after="0" w:line="276" w:lineRule="auto"/>
        <w:tabs>
          <w:tab w:leader="none" w:pos="1181"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fixed lease costs and non-lease costs (consisting of other occupancy and service costs relating to the use of an asset) associated with long-term operating leases.</w:t>
      </w:r>
    </w:p>
    <w:p>
      <w:pPr>
        <w:ind w:left="1180" w:hanging="220"/>
        <w:spacing w:after="0"/>
        <w:tabs>
          <w:tab w:leader="none" w:pos="11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costs capitalized in programming assets during the period for leased assets used in the production of programming.</w:t>
      </w:r>
    </w:p>
    <w:p>
      <w:pPr>
        <w:spacing w:after="0" w:line="41" w:lineRule="exact"/>
        <w:rPr>
          <w:rFonts w:ascii="Times New Roman" w:cs="Times New Roman" w:eastAsia="Times New Roman" w:hAnsi="Times New Roman"/>
          <w:sz w:val="16"/>
          <w:szCs w:val="16"/>
          <w:color w:val="auto"/>
        </w:rPr>
      </w:pPr>
    </w:p>
    <w:p>
      <w:pPr>
        <w:ind w:left="1200" w:hanging="240"/>
        <w:spacing w:after="0" w:line="267" w:lineRule="auto"/>
        <w:tabs>
          <w:tab w:leader="none" w:pos="1189"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Short-term leases, which are not recorded in right-of-use assets and lease liabilities on the Consolidated Balance Sheets, have a term of 12 months or less and exclude month-to-month leases.</w:t>
      </w:r>
    </w:p>
    <w:p>
      <w:pPr>
        <w:spacing w:after="0" w:line="1" w:lineRule="exact"/>
        <w:rPr>
          <w:rFonts w:ascii="Times New Roman" w:cs="Times New Roman" w:eastAsia="Times New Roman" w:hAnsi="Times New Roman"/>
          <w:sz w:val="16"/>
          <w:szCs w:val="16"/>
          <w:color w:val="auto"/>
        </w:rPr>
      </w:pPr>
    </w:p>
    <w:p>
      <w:pPr>
        <w:ind w:left="1200" w:hanging="240"/>
        <w:spacing w:after="0" w:line="290" w:lineRule="auto"/>
        <w:tabs>
          <w:tab w:leader="none" w:pos="1197"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includes non-lease costs (consisting of other occupancy and service costs relating to the use of an asset) and costs for equipment leases that vary based on usage.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presents supplemental cash flow information for our operating leases.</w:t>
      </w:r>
    </w:p>
    <w:p>
      <w:pPr>
        <w:spacing w:after="0" w:line="182" w:lineRule="exact"/>
        <w:rPr>
          <w:sz w:val="20"/>
          <w:szCs w:val="20"/>
          <w:color w:val="auto"/>
        </w:rPr>
      </w:pPr>
    </w:p>
    <w:tbl>
      <w:tblPr>
        <w:tblLayout w:type="fixed"/>
        <w:tblInd w:w="1120" w:type="dxa"/>
        <w:tblCellMar>
          <w:top w:w="0" w:type="dxa"/>
          <w:left w:w="0" w:type="dxa"/>
          <w:bottom w:w="0" w:type="dxa"/>
          <w:right w:w="0" w:type="dxa"/>
        </w:tblCellMar>
      </w:tblPr>
      <w:tr>
        <w:trPr>
          <w:trHeight w:val="252"/>
        </w:trPr>
        <w:tc>
          <w:tcPr>
            <w:tcW w:w="4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74"/>
        </w:trPr>
        <w:tc>
          <w:tcPr>
            <w:tcW w:w="464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Payments for amounts included in operating lease</w:t>
            </w:r>
          </w:p>
        </w:tc>
        <w:tc>
          <w:tcPr>
            <w:tcW w:w="1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1"/>
        </w:trPr>
        <w:tc>
          <w:tcPr>
            <w:tcW w:w="4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liabilities (operating cash flows)</w:t>
            </w:r>
          </w:p>
        </w:tc>
        <w:tc>
          <w:tcPr>
            <w:tcW w:w="176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338</w:t>
            </w:r>
          </w:p>
        </w:tc>
        <w:tc>
          <w:tcPr>
            <w:tcW w:w="76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368</w:t>
            </w:r>
          </w:p>
        </w:tc>
        <w:tc>
          <w:tcPr>
            <w:tcW w:w="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337"/>
        </w:trPr>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Noncash additions to operating lease assets</w:t>
            </w:r>
          </w:p>
        </w:tc>
        <w:tc>
          <w:tcPr>
            <w:tcW w:w="17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130</w:t>
            </w:r>
          </w:p>
        </w:tc>
        <w:tc>
          <w:tcPr>
            <w:tcW w:w="7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123</w:t>
            </w:r>
          </w:p>
        </w:tc>
        <w:tc>
          <w:tcPr>
            <w:tcW w:w="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r>
    </w:tbl>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expected future payments relating to our operating lease liabilities at December 31, 2024 are as follows:</w:t>
      </w:r>
    </w:p>
    <w:p>
      <w:pPr>
        <w:spacing w:after="0" w:line="182" w:lineRule="exact"/>
        <w:rPr>
          <w:sz w:val="20"/>
          <w:szCs w:val="20"/>
          <w:color w:val="auto"/>
        </w:rPr>
      </w:pPr>
    </w:p>
    <w:tbl>
      <w:tblPr>
        <w:tblLayout w:type="fixed"/>
        <w:tblInd w:w="1760" w:type="dxa"/>
        <w:tblCellMar>
          <w:top w:w="0" w:type="dxa"/>
          <w:left w:w="0" w:type="dxa"/>
          <w:bottom w:w="0" w:type="dxa"/>
          <w:right w:w="0" w:type="dxa"/>
        </w:tblCellMar>
      </w:tblPr>
      <w:tr>
        <w:trPr>
          <w:trHeight w:val="247"/>
        </w:trPr>
        <w:tc>
          <w:tcPr>
            <w:tcW w:w="6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25"/>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25"/>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25"/>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25"/>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30"/>
        </w:trPr>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1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minimum payments</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5"/>
        </w:trPr>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Present value of minimum payments</w:t>
            </w:r>
          </w:p>
        </w:tc>
        <w:tc>
          <w:tcPr>
            <w:tcW w:w="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w:t>
            </w:r>
          </w:p>
        </w:tc>
      </w:tr>
    </w:tbl>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of December 31, 2024, we had no material leases that were executed but not yet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9"/>
          <w:szCs w:val="19"/>
          <w:color w:val="auto"/>
        </w:rPr>
        <w:t>II-73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200"/>
          </w:cols>
          <w:pgMar w:left="320" w:top="404" w:right="1379" w:bottom="1440" w:gutter="0" w:footer="0" w:header="0"/>
        </w:sectPr>
      </w:pPr>
    </w:p>
    <w:bookmarkStart w:id="118" w:name="page119"/>
    <w:bookmarkEnd w:id="118"/>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Lessor Contracts</w:t>
      </w:r>
    </w:p>
    <w:p>
      <w:pPr>
        <w:spacing w:after="0" w:line="15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For each of the years ended December 31, 2024 and 2023, we recorded total lease income of $34 million and for the year ended December 31, 2022 we recorded total lease income of $65 million, which relates to operating leases of our owned production facilities and office buildings. Lease payments received under these agreements consist of fixed payments for the rental of space and certain building operating costs, as well as variable payments based on usage of production facilities and services, and escalating costs of building operations. Our future fixed lease income is not expected to be material.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10) FINANCIAL INSTRUMENTS</w:t>
      </w:r>
    </w:p>
    <w:p>
      <w:pPr>
        <w:spacing w:after="0" w:line="15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The carrying value of our financial instruments approximates fair value, except for notes and debentures. At December 31, 2024 and 2023, the carrying value of our outstanding notes and debentures was $14.50 billion and $14.60 billion, respectively, and the fair value, which is determined based on quoted prices in active markets (Level 1 in the fair value hierarchy) was $13.3 billion and $13.6 billion,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Investments</w:t>
      </w:r>
    </w:p>
    <w:p>
      <w:pPr>
        <w:spacing w:after="0" w:line="16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At December 31, 2024 and 2023, included in “Other assets” on the Consolidated Balance Sheets are equity-method investments of $99 million and $96 million, respectively, and equity investments without a readily determinable fair value for which we have no significant influence of $86 million and $612 million, respectively.</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In 2023, our ownership of Viacom18 was diluted from 49% to 13% following investment by other parties. The difference between the carrying value of our 49% interest and the fair value of our 13% interest, as indicated by the additional investments, resulted in a noncash gain of $168 million in 2023. In November 2024, we completed the sale of the remaining 13% interest in Viacom18 to its majority interest holder, for an aggregate purchase price of $508 million, which resulted in a loss of $13 million. The loss in 2024 and the gain in 2023 were recorded in “Gain (loss) from investments” on the Consolidated Statements of Operations for the years ended December 31, 2024 and 2023, respectively.</w:t>
      </w:r>
    </w:p>
    <w:p>
      <w:pPr>
        <w:spacing w:after="0" w:line="1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At December 31, 2024, our equity-method investments include a 50% interest in SkyShowtime, a joint venture formed in 2022, which launched a new subscription streaming service in certain European territories, as well as interests in several international television joint ventures. For the year ended December 31, 2023, “Equity in loss of investee companies, net of tax” on the Consolidated Statement of Operations included an impairment charge of $16 million relating to an international television joint venture.</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In 2022, we sold a 37.5% interest in The CW to Nexstar Media Inc. and received a noncash distribution of $139 million, comprised of certain licensing receivables earned by The CW prior to the sale. This transaction, which reduced our ownership in The CW to 12.5%, resulted in a loss of $4 million, which principally consists of transaction costs. This loss, along with an impairment of an investment of $5 million, is recorded in “Gain (loss) from investments” on the Consolidated Statement of Operations in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Foreign Exchange Contracts</w:t>
      </w:r>
    </w:p>
    <w:p>
      <w:pPr>
        <w:spacing w:after="0" w:line="1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We use derivative financial instruments primarily to manage our exposure to movements in foreign currency exchange rates when translating from the foreign local currency to the U.S. dollar. We do not use derivative instruments unless there is an underlying exposure and, therefore, we do not hold or enter into derivative financial instruments for speculative trading purposes.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19" w:name="page120"/>
    <w:bookmarkEnd w:id="119"/>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Foreign currency forward contracts have principally been used to manage our exposure for currencies such as the British pound, the euro, the Canadian dollar and the Australian dollar, generally for periods up to 24 months. We designate forward contracts used to hedge committed and forecasted foreign currency transactions, including future production costs and programming obligations, as cash flow hedges. We also enter into non-designated forward contracts to hedge non-U.S. dollar denominated assets, liabilities, and cash flows.</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In the third quarter of 2024, we entered into a foreign currency option contract to mitigate the exchange rate risk of the Indian rupee-denominated sale of our interest in Viacom18. The option contract had a notional amount of 42.86 billion Indian rupees and was settled upon closing of the transaction in November 2024. Changes in the fair value of this hedge were recognized in “Other items, net” on the Consolidated Statement of Operations in the periods incurred. We recognized a total loss of $5 million on this contract, which is included in the table below.</w:t>
      </w:r>
    </w:p>
    <w:p>
      <w:pPr>
        <w:spacing w:after="0" w:line="20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At December 31, 2024 and 2023, the notional amount of all foreign currency contracts was $2.75 billion and $2.72 billion, respectively. For 2024, $2.39 billion related to future production costs and $358 million related to our foreign currency assets and liabilities. For 2023, $2.20 billion related to future production costs and $523 million related to our foreign currency assets and liabilities.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Gains (losses) recognized on derivative financial instruments were as follows:</w:t>
      </w:r>
    </w:p>
    <w:p>
      <w:pPr>
        <w:spacing w:after="0" w:line="182" w:lineRule="exact"/>
        <w:rPr>
          <w:sz w:val="20"/>
          <w:szCs w:val="20"/>
          <w:color w:val="auto"/>
        </w:rPr>
      </w:pPr>
    </w:p>
    <w:tbl>
      <w:tblPr>
        <w:tblLayout w:type="fixed"/>
        <w:tblInd w:w="900" w:type="dxa"/>
        <w:tblCellMar>
          <w:top w:w="0" w:type="dxa"/>
          <w:left w:w="0" w:type="dxa"/>
          <w:bottom w:w="0" w:type="dxa"/>
          <w:right w:w="0" w:type="dxa"/>
        </w:tblCellMar>
      </w:tblPr>
      <w:tr>
        <w:trPr>
          <w:trHeight w:val="252"/>
        </w:trPr>
        <w:tc>
          <w:tcPr>
            <w:tcW w:w="36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8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2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Financial Statement Account</w:t>
            </w:r>
          </w:p>
        </w:tc>
      </w:tr>
      <w:tr>
        <w:trPr>
          <w:trHeight w:val="225"/>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Non-designated foreign exchange contracts</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(10)</w:t>
            </w:r>
          </w:p>
        </w:tc>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Other items, net</w:t>
            </w:r>
          </w:p>
        </w:tc>
      </w:tr>
    </w:tbl>
    <w:p>
      <w:pPr>
        <w:spacing w:after="0" w:line="28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We continually monitor our positions with, and credit quality of, the financial institutions that are counterparties to our financial instruments. We are exposed to credit loss in the event of nonperformance by the counterparties to the agreements. However, we do not anticipate nonperformance by the counterparties.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11) FAIR VALUE MEASUREMENTS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 table below presents our assets and liabilities measured at fair value on a recurring basis at December 31, 2024 and 2023. These assets and liabilities have been categorized according to the three-level fair value hierarchy established by the FASB, which prioritizes the inputs used in measuring fair value. Level 1 is based on publicly quoted prices for the asset or liability in active markets. Level 2 is based on inputs that are observable other than quoted market prices in active markets, such as quoted prices for the asset or liability in inactive markets or quoted prices for similar assets or liabilities. Level 3 is based on unobservable inputs reflecting our own assumptions about the assumptions that market participants would use in pricing the asset or liability. All of our assets and liabilities that are measured at fair value on a recurring basis use Level 2 inputs. The fair value of foreign currency hedges is determined based on the present value of future cash flows using observable inputs including foreign currency exchange rates. The fair value of deferred compensation liabilities is determined based on the fair value of the investments elected by employees.</w:t>
      </w:r>
    </w:p>
    <w:p>
      <w:pPr>
        <w:spacing w:after="0" w:line="130" w:lineRule="exact"/>
        <w:rPr>
          <w:sz w:val="20"/>
          <w:szCs w:val="20"/>
          <w:color w:val="auto"/>
        </w:rPr>
      </w:pPr>
    </w:p>
    <w:tbl>
      <w:tblPr>
        <w:tblLayout w:type="fixed"/>
        <w:tblInd w:w="2160" w:type="dxa"/>
        <w:tblCellMar>
          <w:top w:w="0" w:type="dxa"/>
          <w:left w:w="0" w:type="dxa"/>
          <w:bottom w:w="0" w:type="dxa"/>
          <w:right w:w="0" w:type="dxa"/>
        </w:tblCellMar>
      </w:tblPr>
      <w:tr>
        <w:trPr>
          <w:trHeight w:val="252"/>
        </w:trPr>
        <w:tc>
          <w:tcPr>
            <w:tcW w:w="30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15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 currency hedges</w:t>
            </w:r>
          </w:p>
        </w:tc>
        <w:tc>
          <w:tcPr>
            <w:tcW w:w="15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45</w:t>
            </w: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9"/>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5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45</w:t>
            </w: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w:t>
            </w:r>
          </w:p>
        </w:tc>
        <w:tc>
          <w:tcPr>
            <w:tcW w:w="15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385</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30"/>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 currency hedges</w:t>
            </w:r>
          </w:p>
        </w:tc>
        <w:tc>
          <w:tcPr>
            <w:tcW w:w="1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48</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5"/>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5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433</w:t>
            </w: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20" w:name="page121"/>
    <w:bookmarkEnd w:id="120"/>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The estimated fair values of our assets that were impaired during the periods presented were determined using Level 3 inputs. See Notes 3 and 4.</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12) VARIABLE INTEREST ENTITIES</w:t>
      </w:r>
    </w:p>
    <w:p>
      <w:pPr>
        <w:spacing w:after="0" w:line="15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In the normal course of business, we enter into joint ventures or make investments with business partners that support our underlying business strategy and provide us the ability to enter new markets to expand the reach of our brands, develop new programming and/or distribute our existing content. In certain instances, an entity in which we make an investment may qualify as a VIE. In determining whether we are the primary beneficiary of a VIE, we assess whether we have the power to direct matters that most significantly impact the activities of the VIE, and have the obligation to absorb losses or the right to receive benefits from the VIE that could potentially be significant to the VIE.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tables present the amounts recorded in our consolidated financial statements related to our consolidated VIEs.</w:t>
      </w:r>
    </w:p>
    <w:p>
      <w:pPr>
        <w:spacing w:after="0" w:line="195" w:lineRule="exact"/>
        <w:rPr>
          <w:sz w:val="20"/>
          <w:szCs w:val="20"/>
          <w:color w:val="auto"/>
        </w:rPr>
      </w:pPr>
    </w:p>
    <w:tbl>
      <w:tblPr>
        <w:tblLayout w:type="fixed"/>
        <w:tblInd w:w="1760" w:type="dxa"/>
        <w:tblCellMar>
          <w:top w:w="0" w:type="dxa"/>
          <w:left w:w="0" w:type="dxa"/>
          <w:bottom w:w="0" w:type="dxa"/>
          <w:right w:w="0" w:type="dxa"/>
        </w:tblCellMar>
      </w:tblPr>
      <w:tr>
        <w:trPr>
          <w:trHeight w:val="252"/>
        </w:trPr>
        <w:tc>
          <w:tcPr>
            <w:tcW w:w="2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9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1,825</w:t>
            </w:r>
          </w:p>
        </w:tc>
        <w:tc>
          <w:tcPr>
            <w:tcW w:w="4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r>
      <w:tr>
        <w:trPr>
          <w:trHeight w:val="332"/>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9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198</w:t>
            </w:r>
          </w:p>
        </w:tc>
        <w:tc>
          <w:tcPr>
            <w:tcW w:w="4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58"/>
        </w:trPr>
        <w:tc>
          <w:tcPr>
            <w:tcW w:w="2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225"/>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5"/>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530</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598</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332"/>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9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(124)</w:t>
            </w:r>
          </w:p>
        </w:tc>
        <w:tc>
          <w:tcPr>
            <w:tcW w:w="4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(107)</w:t>
            </w:r>
          </w:p>
        </w:tc>
        <w:tc>
          <w:tcPr>
            <w:tcW w:w="4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bl>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13) STOCKHOLDERS’ EQUITY</w:t>
      </w:r>
    </w:p>
    <w:p>
      <w:pPr>
        <w:spacing w:after="0" w:line="15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In general, the Company’s Class A Common Stock and Class B Common Stock have the same economic rights; however, holders of the Company’s Class B Common Stock do not have any voting rights, except as required by law. Holders of the Company’s Class A Common Stock are entitled to one vote per share with respect to all matters on which the holders of the Company’s Common Stock are entitled to vote.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Mandatory Convertible Preferred Stock</w:t>
      </w:r>
    </w:p>
    <w:p>
      <w:pPr>
        <w:spacing w:after="0" w:line="1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At December 31, 2023, there were 10 million shares of our Mandatory Convertible Preferred Stock outstanding. During the first quarter of 2024, 0.3 million shares of Mandatory Convertible Preferred Stock were voluntarily converted into Class B Common Stock at a conversion rate of 1.0013 shares. On April 1, 2024, each of the remaining 9.7 million outstanding shares of our Mandatory Convertible Preferred Stock automatically and mandatorily converted into 1.1765 shares of our Class B Common Stock, resulting in the issuance of 11.5 million shares of Class B Common Stock. The final dividend on the Mandatory Convertible Preferred Stock was declared during the first quarter of 2024 and paid on April 1, 2024.</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Dividends</w:t>
      </w:r>
    </w:p>
    <w:p>
      <w:pPr>
        <w:spacing w:after="0" w:line="16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The following table presents dividends declared per share and total dividends for our Class A and Class B Common Stock and our Mandatory Convertible Preferred Stock for the years ended December 31, 2024,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21" w:name="page122"/>
    <w:bookmarkEnd w:id="121"/>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44" w:lineRule="exact"/>
        <w:rPr>
          <w:sz w:val="20"/>
          <w:szCs w:val="20"/>
          <w:color w:val="auto"/>
        </w:rPr>
      </w:pPr>
    </w:p>
    <w:tbl>
      <w:tblPr>
        <w:tblLayout w:type="fixed"/>
        <w:tblInd w:w="1400" w:type="dxa"/>
        <w:tblCellMar>
          <w:top w:w="0" w:type="dxa"/>
          <w:left w:w="0" w:type="dxa"/>
          <w:bottom w:w="0" w:type="dxa"/>
          <w:right w:w="0" w:type="dxa"/>
        </w:tblCellMar>
      </w:tblPr>
      <w:tr>
        <w:trPr>
          <w:trHeight w:val="252"/>
        </w:trPr>
        <w:tc>
          <w:tcPr>
            <w:tcW w:w="20" w:type="dxa"/>
            <w:vAlign w:val="bottom"/>
            <w:tcBorders>
              <w:top w:val="single" w:sz="8" w:color="auto"/>
              <w:bottom w:val="single" w:sz="8" w:color="auto"/>
            </w:tcBorders>
          </w:tcPr>
          <w:p>
            <w:pPr>
              <w:spacing w:after="0"/>
              <w:rPr>
                <w:sz w:val="21"/>
                <w:szCs w:val="21"/>
                <w:color w:val="auto"/>
              </w:rPr>
            </w:pPr>
          </w:p>
        </w:tc>
        <w:tc>
          <w:tcPr>
            <w:tcW w:w="352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79"/>
        </w:trPr>
        <w:tc>
          <w:tcPr>
            <w:tcW w:w="20" w:type="dxa"/>
            <w:vAlign w:val="bottom"/>
          </w:tcPr>
          <w:p>
            <w:pPr>
              <w:spacing w:after="0"/>
              <w:rPr>
                <w:sz w:val="15"/>
                <w:szCs w:val="15"/>
                <w:color w:val="auto"/>
              </w:rPr>
            </w:pPr>
          </w:p>
        </w:tc>
        <w:tc>
          <w:tcPr>
            <w:tcW w:w="2720" w:type="dxa"/>
            <w:vAlign w:val="bottom"/>
            <w:tcBorders>
              <w:bottom w:val="single" w:sz="8" w:color="auto"/>
            </w:tcBorders>
          </w:tcPr>
          <w:p>
            <w:pPr>
              <w:spacing w:after="0" w:line="179" w:lineRule="exact"/>
              <w:rPr>
                <w:sz w:val="20"/>
                <w:szCs w:val="20"/>
                <w:color w:val="auto"/>
              </w:rPr>
            </w:pPr>
            <w:r>
              <w:rPr>
                <w:rFonts w:ascii="Times New Roman" w:cs="Times New Roman" w:eastAsia="Times New Roman" w:hAnsi="Times New Roman"/>
                <w:sz w:val="18"/>
                <w:szCs w:val="18"/>
                <w:b w:val="1"/>
                <w:bCs w:val="1"/>
                <w:color w:val="auto"/>
                <w:w w:val="97"/>
              </w:rPr>
              <w:t>Class A and Class B Common Stock</w:t>
            </w:r>
          </w:p>
        </w:tc>
        <w:tc>
          <w:tcPr>
            <w:tcW w:w="80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6"/>
        </w:trPr>
        <w:tc>
          <w:tcPr>
            <w:tcW w:w="20" w:type="dxa"/>
            <w:vAlign w:val="bottom"/>
          </w:tcPr>
          <w:p>
            <w:pPr>
              <w:spacing w:after="0"/>
              <w:rPr>
                <w:sz w:val="21"/>
                <w:szCs w:val="21"/>
                <w:color w:val="auto"/>
              </w:rPr>
            </w:pPr>
          </w:p>
        </w:tc>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w:t>
            </w: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.39</w:t>
            </w: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318"/>
        </w:trPr>
        <w:tc>
          <w:tcPr>
            <w:tcW w:w="20" w:type="dxa"/>
            <w:vAlign w:val="bottom"/>
          </w:tcPr>
          <w:p>
            <w:pPr>
              <w:spacing w:after="0"/>
              <w:rPr>
                <w:sz w:val="24"/>
                <w:szCs w:val="24"/>
                <w:color w:val="auto"/>
              </w:rPr>
            </w:pPr>
          </w:p>
        </w:tc>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common stock dividends</w:t>
            </w: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138</w:t>
            </w: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261</w:t>
            </w: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277"/>
        </w:trPr>
        <w:tc>
          <w:tcPr>
            <w:tcW w:w="20" w:type="dxa"/>
            <w:vAlign w:val="bottom"/>
          </w:tcPr>
          <w:p>
            <w:pPr>
              <w:spacing w:after="0"/>
              <w:rPr>
                <w:sz w:val="24"/>
                <w:szCs w:val="24"/>
                <w:color w:val="auto"/>
              </w:rPr>
            </w:pPr>
          </w:p>
        </w:tc>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Mandatory Convertible Preferred Stock</w:t>
            </w: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6"/>
        </w:trPr>
        <w:tc>
          <w:tcPr>
            <w:tcW w:w="20" w:type="dxa"/>
            <w:vAlign w:val="bottom"/>
          </w:tcPr>
          <w:p>
            <w:pPr>
              <w:spacing w:after="0"/>
              <w:rPr>
                <w:sz w:val="21"/>
                <w:szCs w:val="21"/>
                <w:color w:val="auto"/>
              </w:rPr>
            </w:pPr>
          </w:p>
        </w:tc>
        <w:tc>
          <w:tcPr>
            <w:tcW w:w="30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Dividends declared per preferred share</w:t>
            </w:r>
          </w:p>
        </w:tc>
        <w:tc>
          <w:tcPr>
            <w:tcW w:w="500" w:type="dxa"/>
            <w:vAlign w:val="bottom"/>
          </w:tcPr>
          <w:p>
            <w:pPr>
              <w:spacing w:after="0"/>
              <w:rPr>
                <w:sz w:val="21"/>
                <w:szCs w:val="21"/>
                <w:color w:val="auto"/>
              </w:rPr>
            </w:pP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1.4375</w:t>
            </w: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5.75</w:t>
            </w: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337"/>
        </w:trPr>
        <w:tc>
          <w:tcPr>
            <w:tcW w:w="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Total preferred stock dividends</w:t>
            </w:r>
          </w:p>
        </w:tc>
        <w:tc>
          <w:tcPr>
            <w:tcW w:w="7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14</w:t>
            </w:r>
          </w:p>
        </w:tc>
        <w:tc>
          <w:tcPr>
            <w:tcW w:w="4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58</w:t>
            </w:r>
          </w:p>
        </w:tc>
        <w:tc>
          <w:tcPr>
            <w:tcW w:w="4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Treasury Stock</w:t>
      </w:r>
    </w:p>
    <w:p>
      <w:pPr>
        <w:spacing w:after="0" w:line="155"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9"/>
          <w:szCs w:val="19"/>
          <w:color w:val="auto"/>
        </w:rPr>
        <w:t>At December 31, 2024, we had $2.36 billion of authorization remaining under our share repurchase program. We did not repurchase any shares of our common stock in the three years ended December 31,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Common Stock Conversion Rights</w:t>
      </w:r>
    </w:p>
    <w:p>
      <w:pPr>
        <w:spacing w:after="0" w:line="15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color w:val="auto"/>
        </w:rPr>
        <w:t>Holders of Class A Common Stock have the right to convert their shares to Class B Common Stock as long as there are at least 5,000 shares of Class A Common Stock outstanding. In 2024, 2023, and 2022, conversions of Class A Common Stock into Class B Common Stock were minimal.</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Accumulated Other Comprehensive Income (Loss)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presents the changes in the components of accumulated other comprehensive income (loss).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220" w:type="dxa"/>
            <w:vAlign w:val="bottom"/>
            <w:tcBorders>
              <w:top w:val="single" w:sz="8" w:color="auto"/>
            </w:tcBorders>
            <w:gridSpan w:val="4"/>
            <w:vMerge w:val="restart"/>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3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left="121"/>
              <w:spacing w:after="0"/>
              <w:rPr>
                <w:sz w:val="20"/>
                <w:szCs w:val="20"/>
                <w:color w:val="auto"/>
              </w:rPr>
            </w:pPr>
            <w:r>
              <w:rPr>
                <w:rFonts w:ascii="Times New Roman" w:cs="Times New Roman" w:eastAsia="Times New Roman" w:hAnsi="Times New Roman"/>
                <w:sz w:val="16"/>
                <w:szCs w:val="16"/>
                <w:b w:val="1"/>
                <w:bCs w:val="1"/>
                <w:color w:val="auto"/>
              </w:rPr>
              <w:t>Discontinued</w:t>
            </w:r>
          </w:p>
        </w:tc>
        <w:tc>
          <w:tcPr>
            <w:tcW w:w="1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bottom w:val="single" w:sz="8" w:color="auto"/>
            </w:tcBorders>
            <w:gridSpan w:val="2"/>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18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gridSpan w:val="2"/>
          </w:tcPr>
          <w:p>
            <w:pPr>
              <w:jc w:val="center"/>
              <w:ind w:left="61"/>
              <w:spacing w:after="0"/>
              <w:rPr>
                <w:sz w:val="20"/>
                <w:szCs w:val="20"/>
                <w:color w:val="auto"/>
              </w:rPr>
            </w:pPr>
            <w:r>
              <w:rPr>
                <w:rFonts w:ascii="Times New Roman" w:cs="Times New Roman" w:eastAsia="Times New Roman" w:hAnsi="Times New Roman"/>
                <w:sz w:val="16"/>
                <w:szCs w:val="16"/>
                <w:b w:val="1"/>
                <w:bCs w:val="1"/>
                <w:color w:val="auto"/>
                <w:w w:val="99"/>
              </w:rPr>
              <w:t>Net Actuarial</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jc w:val="center"/>
              <w:ind w:right="261"/>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0" w:type="dxa"/>
            <w:vAlign w:val="bottom"/>
          </w:tcPr>
          <w:p>
            <w:pPr>
              <w:spacing w:after="0"/>
              <w:rPr>
                <w:sz w:val="1"/>
                <w:szCs w:val="1"/>
                <w:color w:val="auto"/>
              </w:rPr>
            </w:pPr>
          </w:p>
        </w:tc>
      </w:tr>
      <w:tr>
        <w:trPr>
          <w:trHeight w:val="210"/>
        </w:trPr>
        <w:tc>
          <w:tcPr>
            <w:tcW w:w="478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Cumulative</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8"/>
              </w:rPr>
              <w:t>Loss and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center"/>
              <w:ind w:right="261"/>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center"/>
              <w:ind w:right="261"/>
              <w:spacing w:after="0"/>
              <w:rPr>
                <w:sz w:val="20"/>
                <w:szCs w:val="20"/>
                <w:color w:val="auto"/>
              </w:rPr>
            </w:pPr>
            <w:r>
              <w:rPr>
                <w:rFonts w:ascii="Times New Roman" w:cs="Times New Roman" w:eastAsia="Times New Roman" w:hAnsi="Times New Roman"/>
                <w:sz w:val="16"/>
                <w:szCs w:val="16"/>
                <w:b w:val="1"/>
                <w:bCs w:val="1"/>
                <w:color w:val="auto"/>
              </w:rPr>
              <w:t>Other</w:t>
            </w:r>
          </w:p>
        </w:tc>
        <w:tc>
          <w:tcPr>
            <w:tcW w:w="0" w:type="dxa"/>
            <w:vAlign w:val="bottom"/>
          </w:tcPr>
          <w:p>
            <w:pPr>
              <w:spacing w:after="0"/>
              <w:rPr>
                <w:sz w:val="1"/>
                <w:szCs w:val="1"/>
                <w:color w:val="auto"/>
              </w:rPr>
            </w:pPr>
          </w:p>
        </w:tc>
      </w:tr>
      <w:tr>
        <w:trPr>
          <w:trHeight w:val="212"/>
        </w:trPr>
        <w:tc>
          <w:tcPr>
            <w:tcW w:w="478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Translation</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8"/>
              </w:rPr>
              <w:t>Prior</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left="121"/>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80" w:type="dxa"/>
            <w:vAlign w:val="bottom"/>
          </w:tcPr>
          <w:p>
            <w:pPr>
              <w:spacing w:after="0"/>
              <w:rPr>
                <w:sz w:val="18"/>
                <w:szCs w:val="18"/>
                <w:color w:val="auto"/>
              </w:rPr>
            </w:pPr>
          </w:p>
        </w:tc>
        <w:tc>
          <w:tcPr>
            <w:tcW w:w="170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0" w:type="dxa"/>
            <w:vAlign w:val="bottom"/>
          </w:tcPr>
          <w:p>
            <w:pPr>
              <w:spacing w:after="0"/>
              <w:rPr>
                <w:sz w:val="1"/>
                <w:szCs w:val="1"/>
                <w:color w:val="auto"/>
              </w:rPr>
            </w:pPr>
          </w:p>
        </w:tc>
      </w:tr>
      <w:tr>
        <w:trPr>
          <w:trHeight w:val="217"/>
        </w:trPr>
        <w:tc>
          <w:tcPr>
            <w:tcW w:w="47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left="61"/>
              <w:spacing w:after="0"/>
              <w:rPr>
                <w:sz w:val="20"/>
                <w:szCs w:val="20"/>
                <w:color w:val="auto"/>
              </w:rPr>
            </w:pPr>
            <w:r>
              <w:rPr>
                <w:rFonts w:ascii="Times New Roman" w:cs="Times New Roman" w:eastAsia="Times New Roman" w:hAnsi="Times New Roman"/>
                <w:sz w:val="16"/>
                <w:szCs w:val="16"/>
                <w:b w:val="1"/>
                <w:bCs w:val="1"/>
                <w:color w:val="auto"/>
                <w:w w:val="98"/>
              </w:rPr>
              <w:t>Service Cost</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left="101"/>
              <w:spacing w:after="0" w:line="217" w:lineRule="exact"/>
              <w:rPr>
                <w:sz w:val="20"/>
                <w:szCs w:val="20"/>
                <w:color w:val="auto"/>
              </w:rPr>
            </w:pPr>
            <w:r>
              <w:rPr>
                <w:rFonts w:ascii="Times New Roman" w:cs="Times New Roman" w:eastAsia="Times New Roman" w:hAnsi="Times New Roman"/>
                <w:sz w:val="16"/>
                <w:szCs w:val="16"/>
                <w:b w:val="1"/>
                <w:bCs w:val="1"/>
                <w:color w:val="auto"/>
                <w:w w:val="96"/>
              </w:rPr>
              <w:t xml:space="preserve">Income (Loss) </w:t>
            </w:r>
            <w:r>
              <w:rPr>
                <w:rFonts w:ascii="Times New Roman" w:cs="Times New Roman" w:eastAsia="Times New Roman" w:hAnsi="Times New Roman"/>
                <w:sz w:val="20"/>
                <w:szCs w:val="20"/>
                <w:b w:val="1"/>
                <w:bCs w:val="1"/>
                <w:color w:val="auto"/>
                <w:w w:val="96"/>
                <w:vertAlign w:val="superscript"/>
              </w:rPr>
              <w:t>(a)</w:t>
            </w:r>
          </w:p>
        </w:tc>
        <w:tc>
          <w:tcPr>
            <w:tcW w:w="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261"/>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0" w:type="dxa"/>
            <w:vAlign w:val="bottom"/>
          </w:tcPr>
          <w:p>
            <w:pPr>
              <w:spacing w:after="0"/>
              <w:rPr>
                <w:sz w:val="1"/>
                <w:szCs w:val="1"/>
                <w:color w:val="auto"/>
              </w:rPr>
            </w:pPr>
          </w:p>
        </w:tc>
      </w:tr>
      <w:tr>
        <w:trPr>
          <w:trHeight w:val="203"/>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At December 31, 2021</w:t>
            </w:r>
          </w:p>
        </w:tc>
        <w:tc>
          <w:tcPr>
            <w:tcW w:w="5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(445)</w:t>
            </w:r>
          </w:p>
        </w:tc>
        <w:tc>
          <w:tcPr>
            <w:tcW w:w="3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(1,434)</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(23)</w:t>
            </w: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rPr>
              <w:t>(1,902)</w:t>
            </w:r>
          </w:p>
        </w:tc>
        <w:tc>
          <w:tcPr>
            <w:tcW w:w="0" w:type="dxa"/>
            <w:vAlign w:val="bottom"/>
          </w:tcPr>
          <w:p>
            <w:pPr>
              <w:spacing w:after="0"/>
              <w:rPr>
                <w:sz w:val="1"/>
                <w:szCs w:val="1"/>
                <w:color w:val="auto"/>
              </w:rPr>
            </w:pPr>
          </w:p>
        </w:tc>
      </w:tr>
      <w:tr>
        <w:trPr>
          <w:trHeight w:val="203"/>
        </w:trPr>
        <w:tc>
          <w:tcPr>
            <w:tcW w:w="4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520" w:type="dxa"/>
            <w:vAlign w:val="bottom"/>
          </w:tcPr>
          <w:p>
            <w:pPr>
              <w:spacing w:after="0"/>
              <w:rPr>
                <w:sz w:val="17"/>
                <w:szCs w:val="17"/>
                <w:color w:val="auto"/>
              </w:rPr>
            </w:pPr>
          </w:p>
        </w:tc>
        <w:tc>
          <w:tcPr>
            <w:tcW w:w="6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(235)</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273</w:t>
            </w:r>
          </w:p>
        </w:tc>
        <w:tc>
          <w:tcPr>
            <w:tcW w:w="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color w:val="auto"/>
              </w:rPr>
              <w:t>(b)</w:t>
            </w:r>
          </w:p>
        </w:tc>
        <w:tc>
          <w:tcPr>
            <w:tcW w:w="520" w:type="dxa"/>
            <w:vAlign w:val="bottom"/>
          </w:tcPr>
          <w:p>
            <w:pPr>
              <w:spacing w:after="0"/>
              <w:rPr>
                <w:sz w:val="17"/>
                <w:szCs w:val="17"/>
                <w:color w:val="auto"/>
              </w:rPr>
            </w:pP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114"/>
        </w:trPr>
        <w:tc>
          <w:tcPr>
            <w:tcW w:w="47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Reclassifications to net earnings</w:t>
            </w:r>
          </w:p>
        </w:tc>
        <w:tc>
          <w:tcPr>
            <w:tcW w:w="520" w:type="dxa"/>
            <w:vAlign w:val="bottom"/>
          </w:tcPr>
          <w:p>
            <w:pPr>
              <w:spacing w:after="0"/>
              <w:rPr>
                <w:sz w:val="9"/>
                <w:szCs w:val="9"/>
                <w:color w:val="auto"/>
              </w:rPr>
            </w:pPr>
          </w:p>
        </w:tc>
        <w:tc>
          <w:tcPr>
            <w:tcW w:w="68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64</w:t>
            </w:r>
          </w:p>
        </w:tc>
        <w:tc>
          <w:tcPr>
            <w:tcW w:w="42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vMerge w:val="restart"/>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40" w:type="dxa"/>
            <w:vAlign w:val="bottom"/>
            <w:vMerge w:val="restart"/>
          </w:tcPr>
          <w:p>
            <w:pPr>
              <w:jc w:val="right"/>
              <w:ind w:right="221"/>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100"/>
        </w:trPr>
        <w:tc>
          <w:tcPr>
            <w:tcW w:w="4780" w:type="dxa"/>
            <w:vAlign w:val="bottom"/>
            <w:tcBorders>
              <w:bottom w:val="single" w:sz="8" w:color="auto"/>
            </w:tcBorders>
            <w:vMerge w:val="continue"/>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5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(235)</w:t>
            </w:r>
          </w:p>
        </w:tc>
        <w:tc>
          <w:tcPr>
            <w:tcW w:w="3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337</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(7)</w:t>
            </w:r>
          </w:p>
        </w:tc>
        <w:tc>
          <w:tcPr>
            <w:tcW w:w="1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05"/>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At December 31, 2022</w:t>
            </w:r>
          </w:p>
        </w:tc>
        <w:tc>
          <w:tcPr>
            <w:tcW w:w="5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(680)</w:t>
            </w:r>
          </w:p>
        </w:tc>
        <w:tc>
          <w:tcPr>
            <w:tcW w:w="3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(1,097)</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(30)</w:t>
            </w:r>
          </w:p>
        </w:tc>
        <w:tc>
          <w:tcPr>
            <w:tcW w:w="1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rPr>
              <w:t>(1,807)</w:t>
            </w:r>
          </w:p>
        </w:tc>
        <w:tc>
          <w:tcPr>
            <w:tcW w:w="0" w:type="dxa"/>
            <w:vAlign w:val="bottom"/>
          </w:tcPr>
          <w:p>
            <w:pPr>
              <w:spacing w:after="0"/>
              <w:rPr>
                <w:sz w:val="1"/>
                <w:szCs w:val="1"/>
                <w:color w:val="auto"/>
              </w:rPr>
            </w:pPr>
          </w:p>
        </w:tc>
      </w:tr>
      <w:tr>
        <w:trPr>
          <w:trHeight w:val="203"/>
        </w:trPr>
        <w:tc>
          <w:tcPr>
            <w:tcW w:w="4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520" w:type="dxa"/>
            <w:vAlign w:val="bottom"/>
          </w:tcPr>
          <w:p>
            <w:pPr>
              <w:spacing w:after="0"/>
              <w:rPr>
                <w:sz w:val="17"/>
                <w:szCs w:val="17"/>
                <w:color w:val="auto"/>
              </w:rPr>
            </w:pPr>
          </w:p>
        </w:tc>
        <w:tc>
          <w:tcPr>
            <w:tcW w:w="6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132</w:t>
            </w:r>
          </w:p>
        </w:tc>
        <w:tc>
          <w:tcPr>
            <w:tcW w:w="360" w:type="dxa"/>
            <w:vAlign w:val="bottom"/>
            <w:vMerge w:val="restart"/>
          </w:tcPr>
          <w:p>
            <w:pPr>
              <w:ind w:left="60"/>
              <w:spacing w:after="0"/>
              <w:rPr>
                <w:sz w:val="20"/>
                <w:szCs w:val="20"/>
                <w:color w:val="auto"/>
              </w:rPr>
            </w:pPr>
            <w:r>
              <w:rPr>
                <w:rFonts w:ascii="Times New Roman" w:cs="Times New Roman" w:eastAsia="Times New Roman" w:hAnsi="Times New Roman"/>
                <w:sz w:val="10"/>
                <w:szCs w:val="10"/>
                <w:color w:val="auto"/>
              </w:rPr>
              <w:t>(c)</w:t>
            </w:r>
          </w:p>
        </w:tc>
        <w:tc>
          <w:tcPr>
            <w:tcW w:w="320" w:type="dxa"/>
            <w:vAlign w:val="bottom"/>
          </w:tcPr>
          <w:p>
            <w:pPr>
              <w:spacing w:after="0"/>
              <w:rPr>
                <w:sz w:val="17"/>
                <w:szCs w:val="17"/>
                <w:color w:val="auto"/>
              </w:rPr>
            </w:pPr>
          </w:p>
        </w:tc>
        <w:tc>
          <w:tcPr>
            <w:tcW w:w="8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w:t>
            </w:r>
          </w:p>
        </w:tc>
        <w:tc>
          <w:tcPr>
            <w:tcW w:w="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color w:val="auto"/>
              </w:rPr>
              <w:t>(b)</w:t>
            </w:r>
          </w:p>
        </w:tc>
        <w:tc>
          <w:tcPr>
            <w:tcW w:w="520" w:type="dxa"/>
            <w:vAlign w:val="bottom"/>
          </w:tcPr>
          <w:p>
            <w:pPr>
              <w:spacing w:after="0"/>
              <w:rPr>
                <w:sz w:val="17"/>
                <w:szCs w:val="17"/>
                <w:color w:val="auto"/>
              </w:rPr>
            </w:pP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w:t>
            </w:r>
          </w:p>
        </w:tc>
        <w:tc>
          <w:tcPr>
            <w:tcW w:w="640" w:type="dxa"/>
            <w:vAlign w:val="bottom"/>
            <w:gridSpan w:val="2"/>
            <w:vMerge w:val="restart"/>
          </w:tcPr>
          <w:p>
            <w:pPr>
              <w:jc w:val="right"/>
              <w:ind w:right="401"/>
              <w:spacing w:after="0"/>
              <w:rPr>
                <w:sz w:val="20"/>
                <w:szCs w:val="20"/>
                <w:color w:val="auto"/>
              </w:rPr>
            </w:pPr>
            <w:r>
              <w:rPr>
                <w:rFonts w:ascii="Times New Roman" w:cs="Times New Roman" w:eastAsia="Times New Roman" w:hAnsi="Times New Roman"/>
                <w:sz w:val="10"/>
                <w:szCs w:val="10"/>
                <w:color w:val="auto"/>
              </w:rPr>
              <w:t>(d)</w:t>
            </w:r>
          </w:p>
        </w:tc>
        <w:tc>
          <w:tcPr>
            <w:tcW w:w="124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114"/>
        </w:trPr>
        <w:tc>
          <w:tcPr>
            <w:tcW w:w="47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Reclassifications to net loss</w:t>
            </w:r>
          </w:p>
        </w:tc>
        <w:tc>
          <w:tcPr>
            <w:tcW w:w="520" w:type="dxa"/>
            <w:vAlign w:val="bottom"/>
          </w:tcPr>
          <w:p>
            <w:pPr>
              <w:spacing w:after="0"/>
              <w:rPr>
                <w:sz w:val="9"/>
                <w:szCs w:val="9"/>
                <w:color w:val="auto"/>
              </w:rPr>
            </w:pPr>
          </w:p>
        </w:tc>
        <w:tc>
          <w:tcPr>
            <w:tcW w:w="68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rPr>
              <w:t>44</w:t>
            </w:r>
          </w:p>
        </w:tc>
        <w:tc>
          <w:tcPr>
            <w:tcW w:w="3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52</w:t>
            </w:r>
          </w:p>
        </w:tc>
        <w:tc>
          <w:tcPr>
            <w:tcW w:w="42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vMerge w:val="restart"/>
          </w:tcPr>
          <w:p>
            <w:pPr>
              <w:jc w:val="right"/>
              <w:ind w:right="161"/>
              <w:spacing w:after="0"/>
              <w:rPr>
                <w:sz w:val="20"/>
                <w:szCs w:val="20"/>
                <w:color w:val="auto"/>
              </w:rPr>
            </w:pPr>
            <w:r>
              <w:rPr>
                <w:rFonts w:ascii="Times New Roman" w:cs="Times New Roman" w:eastAsia="Times New Roman" w:hAnsi="Times New Roman"/>
                <w:sz w:val="16"/>
                <w:szCs w:val="16"/>
                <w:color w:val="auto"/>
              </w:rPr>
              <w:t>35</w:t>
            </w:r>
          </w:p>
        </w:tc>
        <w:tc>
          <w:tcPr>
            <w:tcW w:w="640" w:type="dxa"/>
            <w:vAlign w:val="bottom"/>
            <w:gridSpan w:val="2"/>
            <w:vMerge w:val="continue"/>
          </w:tcPr>
          <w:p>
            <w:pPr>
              <w:spacing w:after="0"/>
              <w:rPr>
                <w:sz w:val="9"/>
                <w:szCs w:val="9"/>
                <w:color w:val="auto"/>
              </w:rPr>
            </w:pPr>
          </w:p>
        </w:tc>
        <w:tc>
          <w:tcPr>
            <w:tcW w:w="1240" w:type="dxa"/>
            <w:vAlign w:val="bottom"/>
            <w:vMerge w:val="restart"/>
          </w:tcPr>
          <w:p>
            <w:pPr>
              <w:jc w:val="right"/>
              <w:ind w:right="221"/>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100"/>
        </w:trPr>
        <w:tc>
          <w:tcPr>
            <w:tcW w:w="4780" w:type="dxa"/>
            <w:vAlign w:val="bottom"/>
            <w:tcBorders>
              <w:bottom w:val="single" w:sz="8" w:color="auto"/>
            </w:tcBorders>
            <w:vMerge w:val="continue"/>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5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176</w:t>
            </w:r>
          </w:p>
        </w:tc>
        <w:tc>
          <w:tcPr>
            <w:tcW w:w="3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45</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30</w:t>
            </w:r>
          </w:p>
        </w:tc>
        <w:tc>
          <w:tcPr>
            <w:tcW w:w="1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05"/>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At December 31, 2023</w:t>
            </w:r>
          </w:p>
        </w:tc>
        <w:tc>
          <w:tcPr>
            <w:tcW w:w="5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(504)</w:t>
            </w:r>
          </w:p>
        </w:tc>
        <w:tc>
          <w:tcPr>
            <w:tcW w:w="3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(1,052)</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rPr>
              <w:t>(1,556)</w:t>
            </w:r>
          </w:p>
        </w:tc>
        <w:tc>
          <w:tcPr>
            <w:tcW w:w="0" w:type="dxa"/>
            <w:vAlign w:val="bottom"/>
          </w:tcPr>
          <w:p>
            <w:pPr>
              <w:spacing w:after="0"/>
              <w:rPr>
                <w:sz w:val="1"/>
                <w:szCs w:val="1"/>
                <w:color w:val="auto"/>
              </w:rPr>
            </w:pPr>
          </w:p>
        </w:tc>
      </w:tr>
      <w:tr>
        <w:trPr>
          <w:trHeight w:val="203"/>
        </w:trPr>
        <w:tc>
          <w:tcPr>
            <w:tcW w:w="4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520" w:type="dxa"/>
            <w:vAlign w:val="bottom"/>
          </w:tcPr>
          <w:p>
            <w:pPr>
              <w:spacing w:after="0"/>
              <w:rPr>
                <w:sz w:val="17"/>
                <w:szCs w:val="17"/>
                <w:color w:val="auto"/>
              </w:rPr>
            </w:pPr>
          </w:p>
        </w:tc>
        <w:tc>
          <w:tcPr>
            <w:tcW w:w="6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(153)</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55</w:t>
            </w:r>
          </w:p>
        </w:tc>
        <w:tc>
          <w:tcPr>
            <w:tcW w:w="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color w:val="auto"/>
              </w:rPr>
              <w:t>(b)</w:t>
            </w:r>
          </w:p>
        </w:tc>
        <w:tc>
          <w:tcPr>
            <w:tcW w:w="520" w:type="dxa"/>
            <w:vAlign w:val="bottom"/>
          </w:tcPr>
          <w:p>
            <w:pPr>
              <w:spacing w:after="0"/>
              <w:rPr>
                <w:sz w:val="17"/>
                <w:szCs w:val="17"/>
                <w:color w:val="auto"/>
              </w:rPr>
            </w:pPr>
          </w:p>
        </w:tc>
        <w:tc>
          <w:tcPr>
            <w:tcW w:w="9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114"/>
        </w:trPr>
        <w:tc>
          <w:tcPr>
            <w:tcW w:w="47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Reclassifications to net loss</w:t>
            </w:r>
          </w:p>
        </w:tc>
        <w:tc>
          <w:tcPr>
            <w:tcW w:w="520" w:type="dxa"/>
            <w:vAlign w:val="bottom"/>
          </w:tcPr>
          <w:p>
            <w:pPr>
              <w:spacing w:after="0"/>
              <w:rPr>
                <w:sz w:val="9"/>
                <w:szCs w:val="9"/>
                <w:color w:val="auto"/>
              </w:rPr>
            </w:pPr>
          </w:p>
        </w:tc>
        <w:tc>
          <w:tcPr>
            <w:tcW w:w="68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50</w:t>
            </w:r>
          </w:p>
        </w:tc>
        <w:tc>
          <w:tcPr>
            <w:tcW w:w="42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vMerge w:val="restart"/>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40" w:type="dxa"/>
            <w:vAlign w:val="bottom"/>
            <w:vMerge w:val="restart"/>
          </w:tcPr>
          <w:p>
            <w:pPr>
              <w:jc w:val="right"/>
              <w:ind w:right="221"/>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00"/>
        </w:trPr>
        <w:tc>
          <w:tcPr>
            <w:tcW w:w="4780" w:type="dxa"/>
            <w:vAlign w:val="bottom"/>
            <w:tcBorders>
              <w:bottom w:val="single" w:sz="8" w:color="auto"/>
            </w:tcBorders>
            <w:vMerge w:val="continue"/>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4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5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(153)</w:t>
            </w:r>
          </w:p>
        </w:tc>
        <w:tc>
          <w:tcPr>
            <w:tcW w:w="3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105</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4"/>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At December 31, 2024</w:t>
            </w:r>
          </w:p>
        </w:tc>
        <w:tc>
          <w:tcPr>
            <w:tcW w:w="5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(657)</w:t>
            </w:r>
          </w:p>
        </w:tc>
        <w:tc>
          <w:tcPr>
            <w:tcW w:w="3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(947)</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rPr>
              <w:t>(1,604)</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300" w:hanging="215"/>
        <w:spacing w:after="0"/>
        <w:tabs>
          <w:tab w:leader="none" w:pos="3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cumulative translation adjustments.</w:t>
      </w:r>
    </w:p>
    <w:p>
      <w:pPr>
        <w:spacing w:after="0" w:line="54" w:lineRule="exact"/>
        <w:rPr>
          <w:rFonts w:ascii="Times New Roman" w:cs="Times New Roman" w:eastAsia="Times New Roman" w:hAnsi="Times New Roman"/>
          <w:sz w:val="16"/>
          <w:szCs w:val="16"/>
          <w:color w:val="auto"/>
        </w:rPr>
      </w:pPr>
    </w:p>
    <w:p>
      <w:pPr>
        <w:ind w:left="320" w:hanging="235"/>
        <w:spacing w:after="0"/>
        <w:tabs>
          <w:tab w:leader="none" w:pos="32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amortization of net actuarial losses.</w:t>
      </w:r>
    </w:p>
    <w:p>
      <w:pPr>
        <w:spacing w:after="0" w:line="67" w:lineRule="exact"/>
        <w:rPr>
          <w:rFonts w:ascii="Times New Roman" w:cs="Times New Roman" w:eastAsia="Times New Roman" w:hAnsi="Times New Roman"/>
          <w:sz w:val="16"/>
          <w:szCs w:val="16"/>
          <w:color w:val="auto"/>
        </w:rPr>
      </w:pPr>
    </w:p>
    <w:p>
      <w:pPr>
        <w:ind w:left="320" w:right="160" w:hanging="235"/>
        <w:spacing w:after="0" w:line="272" w:lineRule="auto"/>
        <w:tabs>
          <w:tab w:leader="none" w:pos="327"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amounts realized within “Gain (loss) from investments” on the Consolidated Statement of Operations in connection with the dilution of our interest in Viacom18 (see Note 10).</w:t>
      </w:r>
    </w:p>
    <w:p>
      <w:pPr>
        <w:spacing w:after="0" w:line="20" w:lineRule="exact"/>
        <w:rPr>
          <w:rFonts w:ascii="Times New Roman" w:cs="Times New Roman" w:eastAsia="Times New Roman" w:hAnsi="Times New Roman"/>
          <w:sz w:val="16"/>
          <w:szCs w:val="16"/>
          <w:color w:val="auto"/>
        </w:rPr>
      </w:pPr>
    </w:p>
    <w:p>
      <w:pPr>
        <w:ind w:left="320" w:right="160" w:hanging="235"/>
        <w:spacing w:after="0" w:line="272" w:lineRule="auto"/>
        <w:tabs>
          <w:tab w:leader="none" w:pos="319"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amounts realized within “Net earnings from discontinued operations, net of tax” on the Consolidated Statement of Operations in connection with the sale of Simon &amp; Schuster (see Note 18).</w:t>
      </w:r>
    </w:p>
    <w:p>
      <w:pPr>
        <w:sectPr>
          <w:pgSz w:w="11900" w:h="16838" w:orient="portrait"/>
          <w:cols w:equalWidth="0" w:num="1">
            <w:col w:w="11240"/>
          </w:cols>
          <w:pgMar w:left="320" w:top="4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type w:val="continuous"/>
        </w:sectPr>
      </w:pPr>
    </w:p>
    <w:bookmarkStart w:id="122" w:name="page123"/>
    <w:bookmarkEnd w:id="122"/>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68" w:lineRule="exact"/>
        <w:rPr>
          <w:sz w:val="20"/>
          <w:szCs w:val="20"/>
          <w:color w:val="auto"/>
        </w:rPr>
      </w:pPr>
    </w:p>
    <w:p>
      <w:pPr>
        <w:jc w:val="both"/>
        <w:ind w:right="160"/>
        <w:spacing w:after="0" w:line="300" w:lineRule="auto"/>
        <w:rPr>
          <w:sz w:val="20"/>
          <w:szCs w:val="20"/>
          <w:color w:val="auto"/>
        </w:rPr>
      </w:pPr>
      <w:r>
        <w:rPr>
          <w:rFonts w:ascii="Times New Roman" w:cs="Times New Roman" w:eastAsia="Times New Roman" w:hAnsi="Times New Roman"/>
          <w:sz w:val="19"/>
          <w:szCs w:val="19"/>
          <w:color w:val="auto"/>
        </w:rPr>
        <w:t>The net actuarial loss and prior service cost related to pension and other postretirement benefit plans included in other comprehensive income (loss) is net of a tax benefit for the years ended December 31, 2024, 2023 and 2022 of $34 million, $14 million and $108 million, respectively.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14) STOCK-BASED COMPENSATION</w:t>
      </w:r>
    </w:p>
    <w:p>
      <w:pPr>
        <w:spacing w:after="0" w:line="2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We have long-term equity-based incentive plans (the “Plans”) under which stock options, RSUs and PSUs are issued. The purpose of the Plans is to benefit and advance the interests of our company by attracting, retaining and motivating participants and to compensate participants for their contributions to the financial success of our company. The Plans provide for awards of stock options, stock appreciation rights, restricted and unrestricted shares, RSUs, dividend equivalents, performance awards and other equity-related awards. RSUs and PSUs accrue dividends each time we declare a quarterly cash dividend, which are paid upon vesting when the shares are delivered and are forfeited if the award does not vest. Upon exercise of stock options or vesting of RSUs and PSUs, we issue new shares from our existing authorization. At December 31, 2024, there were 38 million shares available for future grant under the Plans. Stock-based compensation awards were also granted under Viacom’s equity incentive plans until December 31, 2020. Upon exercise of outstanding stock options or vesting of RSUs and PSUs previously granted under Viacom’s equity incentive plans, shares may be issued from Viacom’s previous authorization or from treasury stock.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stock-based compensation expense for the years ended December 31, 2024, 2023 and 2022.</w:t>
      </w:r>
    </w:p>
    <w:p>
      <w:pPr>
        <w:spacing w:after="0" w:line="129" w:lineRule="exact"/>
        <w:rPr>
          <w:sz w:val="20"/>
          <w:szCs w:val="20"/>
          <w:color w:val="auto"/>
        </w:rPr>
      </w:pPr>
    </w:p>
    <w:tbl>
      <w:tblPr>
        <w:tblLayout w:type="fixed"/>
        <w:tblInd w:w="580" w:type="dxa"/>
        <w:tblCellMar>
          <w:top w:w="0" w:type="dxa"/>
          <w:left w:w="0" w:type="dxa"/>
          <w:bottom w:w="0" w:type="dxa"/>
          <w:right w:w="0" w:type="dxa"/>
        </w:tblCellMar>
      </w:tblPr>
      <w:tr>
        <w:trPr>
          <w:trHeight w:val="252"/>
        </w:trPr>
        <w:tc>
          <w:tcPr>
            <w:tcW w:w="5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3"/>
        </w:trPr>
        <w:tc>
          <w:tcPr>
            <w:tcW w:w="5200" w:type="dxa"/>
            <w:vAlign w:val="bottom"/>
          </w:tcPr>
          <w:p>
            <w:pPr>
              <w:spacing w:after="0" w:line="213" w:lineRule="exact"/>
              <w:rPr>
                <w:sz w:val="20"/>
                <w:szCs w:val="20"/>
                <w:color w:val="auto"/>
              </w:rPr>
            </w:pPr>
            <w:r>
              <w:rPr>
                <w:rFonts w:ascii="Times New Roman" w:cs="Times New Roman" w:eastAsia="Times New Roman" w:hAnsi="Times New Roman"/>
                <w:sz w:val="18"/>
                <w:szCs w:val="18"/>
                <w:color w:val="auto"/>
              </w:rPr>
              <w:t xml:space="preserve">RSUs and PSUs </w:t>
            </w:r>
            <w:r>
              <w:rPr>
                <w:rFonts w:ascii="Times New Roman" w:cs="Times New Roman" w:eastAsia="Times New Roman" w:hAnsi="Times New Roman"/>
                <w:sz w:val="22"/>
                <w:szCs w:val="22"/>
                <w:color w:val="auto"/>
                <w:vertAlign w:val="superscript"/>
              </w:rPr>
              <w:t>(a)</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210</w:t>
            </w:r>
          </w:p>
        </w:tc>
        <w:tc>
          <w:tcPr>
            <w:tcW w:w="86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172</w:t>
            </w:r>
          </w:p>
        </w:tc>
        <w:tc>
          <w:tcPr>
            <w:tcW w:w="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0"/>
        </w:trPr>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Expense included in operating and SG&amp;A</w:t>
            </w:r>
          </w:p>
        </w:tc>
        <w:tc>
          <w:tcPr>
            <w:tcW w:w="1400" w:type="dxa"/>
            <w:vAlign w:val="bottom"/>
          </w:tcPr>
          <w:p>
            <w:pPr>
              <w:spacing w:after="0"/>
              <w:rPr>
                <w:sz w:val="18"/>
                <w:szCs w:val="18"/>
                <w:color w:val="auto"/>
              </w:rPr>
            </w:pP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210</w:t>
            </w:r>
          </w:p>
        </w:tc>
        <w:tc>
          <w:tcPr>
            <w:tcW w:w="860" w:type="dxa"/>
            <w:vAlign w:val="bottom"/>
          </w:tcPr>
          <w:p>
            <w:pPr>
              <w:spacing w:after="0"/>
              <w:rPr>
                <w:sz w:val="18"/>
                <w:szCs w:val="18"/>
                <w:color w:val="auto"/>
              </w:rPr>
            </w:pP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172</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30"/>
        </w:trPr>
        <w:tc>
          <w:tcPr>
            <w:tcW w:w="5200" w:type="dxa"/>
            <w:vAlign w:val="bottom"/>
            <w:tcBorders>
              <w:bottom w:val="single" w:sz="8" w:color="auto"/>
            </w:tcBorders>
          </w:tcPr>
          <w:p>
            <w:pPr>
              <w:spacing w:after="0" w:line="230" w:lineRule="exact"/>
              <w:rPr>
                <w:sz w:val="20"/>
                <w:szCs w:val="20"/>
                <w:color w:val="auto"/>
              </w:rPr>
            </w:pPr>
            <w:r>
              <w:rPr>
                <w:rFonts w:ascii="Times New Roman" w:cs="Times New Roman" w:eastAsia="Times New Roman" w:hAnsi="Times New Roman"/>
                <w:sz w:val="18"/>
                <w:szCs w:val="18"/>
                <w:color w:val="auto"/>
              </w:rPr>
              <w:t xml:space="preserve">Expense included in restructuring charges </w:t>
            </w:r>
            <w:r>
              <w:rPr>
                <w:rFonts w:ascii="Times New Roman" w:cs="Times New Roman" w:eastAsia="Times New Roman" w:hAnsi="Times New Roman"/>
                <w:sz w:val="22"/>
                <w:szCs w:val="22"/>
                <w:color w:val="auto"/>
                <w:vertAlign w:val="superscript"/>
              </w:rPr>
              <w:t>(b)</w:t>
            </w:r>
          </w:p>
        </w:tc>
        <w:tc>
          <w:tcPr>
            <w:tcW w:w="1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35</w:t>
            </w:r>
          </w:p>
        </w:tc>
        <w:tc>
          <w:tcPr>
            <w:tcW w:w="8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 before income taxes</w:t>
            </w:r>
          </w:p>
        </w:tc>
        <w:tc>
          <w:tcPr>
            <w:tcW w:w="1400" w:type="dxa"/>
            <w:vAlign w:val="bottom"/>
          </w:tcPr>
          <w:p>
            <w:pPr>
              <w:spacing w:after="0"/>
              <w:rPr>
                <w:sz w:val="18"/>
                <w:szCs w:val="18"/>
                <w:color w:val="auto"/>
              </w:rPr>
            </w:pP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245</w:t>
            </w:r>
          </w:p>
        </w:tc>
        <w:tc>
          <w:tcPr>
            <w:tcW w:w="860" w:type="dxa"/>
            <w:vAlign w:val="bottom"/>
          </w:tcPr>
          <w:p>
            <w:pPr>
              <w:spacing w:after="0"/>
              <w:rPr>
                <w:sz w:val="18"/>
                <w:szCs w:val="18"/>
                <w:color w:val="auto"/>
              </w:rPr>
            </w:pP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177</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30"/>
        </w:trPr>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Related tax benefit</w:t>
            </w:r>
          </w:p>
        </w:tc>
        <w:tc>
          <w:tcPr>
            <w:tcW w:w="1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(37)</w:t>
            </w:r>
          </w:p>
        </w:tc>
        <w:tc>
          <w:tcPr>
            <w:tcW w:w="8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93"/>
              </w:rPr>
              <w:t>(35)</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5"/>
        </w:trPr>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Stock-based compensation expense, net of tax benefit</w:t>
            </w:r>
          </w:p>
        </w:tc>
        <w:tc>
          <w:tcPr>
            <w:tcW w:w="14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208</w:t>
            </w:r>
          </w:p>
        </w:tc>
        <w:tc>
          <w:tcPr>
            <w:tcW w:w="8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142</w:t>
            </w:r>
          </w:p>
        </w:tc>
        <w:tc>
          <w:tcPr>
            <w:tcW w:w="4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r>
    </w:tbl>
    <w:p>
      <w:pPr>
        <w:spacing w:after="0" w:line="132" w:lineRule="exact"/>
        <w:rPr>
          <w:sz w:val="20"/>
          <w:szCs w:val="20"/>
          <w:color w:val="auto"/>
        </w:rPr>
      </w:pPr>
    </w:p>
    <w:p>
      <w:pPr>
        <w:jc w:val="both"/>
        <w:ind w:left="720" w:right="640" w:hanging="237"/>
        <w:spacing w:after="0" w:line="253" w:lineRule="auto"/>
        <w:tabs>
          <w:tab w:leader="none" w:pos="703"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Transactions, certain of the Company’s employees may become entitled to payments and benefits that, in accordance with Sections 280G and 4999 of the Internal Revenue Code of 1986, as amended, may not be deductible for tax purposes by the Company and result in an excise tax for the employees. To mitigate the potential tax impacts, the Compensation Committee of the Company’s Board of Directors approved the immediate vesting and settlement in shares of the Company’s Class B Common Stock of (a) 3,414,007 RSUs that were previously granted to 77 employees and scheduled to vest in future years and (b) 634,075 PSUs, comprising the target awards previously-granted with performance periods ending in calendar years 2026 and 2027 for three executives, for which performance-based vesting conditions would otherwise have been deemed achieved at target performance for purposes of the conversion of the PSUs pursuant to the Transaction Agreement. As a result of these modifications, we recorded $31 million of stock-based compensation expense during the three months ended December 31, 2024.</w:t>
      </w:r>
    </w:p>
    <w:p>
      <w:pPr>
        <w:spacing w:after="0" w:line="38" w:lineRule="exact"/>
        <w:rPr>
          <w:rFonts w:ascii="Times New Roman" w:cs="Times New Roman" w:eastAsia="Times New Roman" w:hAnsi="Times New Roman"/>
          <w:sz w:val="16"/>
          <w:szCs w:val="16"/>
          <w:color w:val="auto"/>
        </w:rPr>
      </w:pPr>
    </w:p>
    <w:p>
      <w:pPr>
        <w:ind w:left="720" w:right="640" w:hanging="237"/>
        <w:spacing w:after="0" w:line="290" w:lineRule="auto"/>
        <w:tabs>
          <w:tab w:leader="none" w:pos="707"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accelerations as a result of restructuring activities, which are included in “Restructuring, transaction-related items, and other corporate matters” on the Consolidated Statements of Operations.</w:t>
      </w:r>
    </w:p>
    <w:p>
      <w:pPr>
        <w:spacing w:after="0" w:line="116"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9"/>
          <w:szCs w:val="19"/>
          <w:color w:val="auto"/>
        </w:rPr>
        <w:t>Included in net earnings from discontinued operations was stock-based compensation expense of $2 million and $3 million for the years ended December 31, 2023 and 2022,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RSUs and PSUs</w:t>
      </w:r>
    </w:p>
    <w:p>
      <w:pPr>
        <w:spacing w:after="0" w:line="155"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9"/>
          <w:szCs w:val="19"/>
          <w:color w:val="auto"/>
        </w:rPr>
        <w:t>Compensation expense for RSUs is determined based upon the market price of the shares underlying the awards on the date of grant and expensed over the vesting period, which is generally a one- to four-year service period.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23" w:name="page124"/>
    <w:bookmarkEnd w:id="123"/>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Forfeitures for RSUs are estimated on the date of grant based on historical forfeiture rates and adjusted based on actual forfeitures. On an annual basis, we revise the estimated forfeiture rate, as necessary.</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For PSU awards with a market condition, the number of shares to be issued upon vesting is based on the total shareholder return of the Company’s Class B Common Stock measured against the companies comprising the S&amp;P 500 Index or a defined peer group over a designated measurement period. Certain other PSU awards are based on the achievement of established internal operating goals. The fair value of PSU awards with a market condition is determined using a Monte Carlo simulation model, and is expensed over the required employee service period. Compensation expense for these PSUs is not adjusted for the actual number of shares issued based on the outcome of the market condition for completed performance periods. The fair value of PSU awards with internal performance conditions is based on the market price of the shares on the date of grant, and is expensed based on the probable outcome of internal performance metrics and subsequently adjusted to reflect the actual shares issued based on the outcome of the performance metrics for completed performance periods. For all PSU awards, if the required service period is not completed, the award is forfeited, and compensation expense is adjusted. The fair value of PSU awards granted during the year ended December 31, 2024 was $41 million and during each of the years ended December 31, 2023 and 2022 was $43 million.</w:t>
      </w:r>
    </w:p>
    <w:p>
      <w:pPr>
        <w:spacing w:after="0" w:line="1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The weighted average grant date fair value of RSUs and PSUs granted was $10.97, $22.83 and $31.58 in 2024, 2023, and 2022, respectively. The total market value of RSUs and PSUs that vested during 2024, 2023, and 2022 was $130 million, $74 million and $77 million, respectively. Total unrecognized compensation cost related to non-vested RSUs and PSUs at December 31, 2024 was $183 million, which is expected to be recognized over a weighted average period of 1.74 years.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our RSU and PSU share activity:</w:t>
      </w:r>
    </w:p>
    <w:p>
      <w:pPr>
        <w:spacing w:after="0" w:line="129" w:lineRule="exact"/>
        <w:rPr>
          <w:sz w:val="20"/>
          <w:szCs w:val="20"/>
          <w:color w:val="auto"/>
        </w:rPr>
      </w:pPr>
    </w:p>
    <w:tbl>
      <w:tblPr>
        <w:tblLayout w:type="fixed"/>
        <w:tblInd w:w="500" w:type="dxa"/>
        <w:tblCellMar>
          <w:top w:w="0" w:type="dxa"/>
          <w:left w:w="0" w:type="dxa"/>
          <w:bottom w:w="0" w:type="dxa"/>
          <w:right w:w="0" w:type="dxa"/>
        </w:tblCellMar>
      </w:tblPr>
      <w:tr>
        <w:trPr>
          <w:trHeight w:val="245"/>
        </w:trPr>
        <w:tc>
          <w:tcPr>
            <w:tcW w:w="590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w w:val="95"/>
              </w:rPr>
              <w:t>Weighted Average</w:t>
            </w:r>
          </w:p>
        </w:tc>
      </w:tr>
      <w:tr>
        <w:trPr>
          <w:trHeight w:val="232"/>
        </w:trPr>
        <w:tc>
          <w:tcPr>
            <w:tcW w:w="59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740" w:type="dxa"/>
            <w:vAlign w:val="bottom"/>
            <w:tcBorders>
              <w:bottom w:val="single" w:sz="8" w:color="auto"/>
            </w:tcBorders>
            <w:gridSpan w:val="2"/>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Grant Date Fair Value</w:t>
            </w:r>
          </w:p>
        </w:tc>
      </w:tr>
      <w:tr>
        <w:trPr>
          <w:trHeight w:val="21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December 31, 2023</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15,504,261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26.38</w:t>
            </w:r>
          </w:p>
        </w:tc>
      </w:tr>
      <w:tr>
        <w:trPr>
          <w:trHeight w:val="228"/>
        </w:trPr>
        <w:tc>
          <w:tcPr>
            <w:tcW w:w="5900" w:type="dxa"/>
            <w:vAlign w:val="bottom"/>
          </w:tcPr>
          <w:p>
            <w:pPr>
              <w:ind w:left="140"/>
              <w:spacing w:after="0" w:line="228" w:lineRule="exact"/>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2"/>
                <w:szCs w:val="22"/>
                <w:color w:val="auto"/>
                <w:vertAlign w:val="superscript"/>
              </w:rPr>
              <w:t>(a)</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20,970,112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10.97</w:t>
            </w:r>
          </w:p>
        </w:tc>
      </w:tr>
      <w:tr>
        <w:trPr>
          <w:trHeight w:val="225"/>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(12,139,195)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20.27</w:t>
            </w:r>
          </w:p>
        </w:tc>
      </w:tr>
      <w:tr>
        <w:trPr>
          <w:trHeight w:val="230"/>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(4,085,536)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17.37</w:t>
            </w:r>
          </w:p>
        </w:tc>
      </w:tr>
      <w:tr>
        <w:trPr>
          <w:trHeight w:val="225"/>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December 31, 2024</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20,249,642</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color w:val="auto"/>
              </w:rPr>
              <w:t>15.90</w:t>
            </w:r>
          </w:p>
        </w:tc>
      </w:tr>
    </w:tbl>
    <w:p>
      <w:pPr>
        <w:spacing w:after="0" w:line="1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 Grant activity includes 3.6 million of PSUs at target for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Stock Options</w:t>
      </w:r>
    </w:p>
    <w:p>
      <w:pPr>
        <w:spacing w:after="0" w:line="1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Compensation expense for stock options is determined based on the grant date fair value of the award calculated using the Black-Scholes options-pricing model. Stock options generally vest over a three- to four-year service period and expire eight years from the date of grant. Forfeitures are estimated on the date of grant based on historical forfeiture rates. We adjust the compensation expense based on actual forfeitures.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There were no stock option grants during any of the periods presented.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 December 31, 2024, all stock options are vested and there is no remaining unrecognized compensation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24" w:name="page125"/>
    <w:bookmarkEnd w:id="124"/>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our stock option activity under the Plans.</w:t>
      </w:r>
    </w:p>
    <w:p>
      <w:pPr>
        <w:spacing w:after="0" w:line="182" w:lineRule="exact"/>
        <w:rPr>
          <w:sz w:val="20"/>
          <w:szCs w:val="20"/>
          <w:color w:val="auto"/>
        </w:rPr>
      </w:pPr>
    </w:p>
    <w:tbl>
      <w:tblPr>
        <w:tblLayout w:type="fixed"/>
        <w:tblInd w:w="860" w:type="dxa"/>
        <w:tblCellMar>
          <w:top w:w="0" w:type="dxa"/>
          <w:left w:w="0" w:type="dxa"/>
          <w:bottom w:w="0" w:type="dxa"/>
          <w:right w:w="0" w:type="dxa"/>
        </w:tblCellMar>
      </w:tblPr>
      <w:tr>
        <w:trPr>
          <w:trHeight w:val="245"/>
        </w:trPr>
        <w:tc>
          <w:tcPr>
            <w:tcW w:w="518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2760" w:type="dxa"/>
            <w:vAlign w:val="bottom"/>
            <w:tcBorders>
              <w:top w:val="single" w:sz="8" w:color="auto"/>
            </w:tcBorders>
            <w:gridSpan w:val="2"/>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32"/>
        </w:trPr>
        <w:tc>
          <w:tcPr>
            <w:tcW w:w="5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0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and Exercisable at December 31, 2023</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3,545,406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54.70</w:t>
            </w:r>
          </w:p>
        </w:tc>
      </w:tr>
      <w:tr>
        <w:trPr>
          <w:trHeight w:val="230"/>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(746,960)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55.84</w:t>
            </w:r>
          </w:p>
        </w:tc>
      </w:tr>
      <w:tr>
        <w:trPr>
          <w:trHeight w:val="225"/>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and Exercisable at December 31, 2024</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2,798,446</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color w:val="auto"/>
              </w:rPr>
              <w:t>54.40</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There were no stock option exercises during the years ended December 31, 2024, 2023 and 2022.</w:t>
      </w:r>
    </w:p>
    <w:p>
      <w:pPr>
        <w:spacing w:after="0" w:line="15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At December 31, 2024, stock options outstanding and exercisable have a weighted average remaining contractual life of 1.04 years. There was no intrinsic value for options outstanding and exercisable, based on our closing stock price of $10.46 at December 31, 2024.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15) INCOME TAXES</w:t>
      </w:r>
    </w:p>
    <w:p>
      <w:pPr>
        <w:spacing w:after="0" w:line="236" w:lineRule="exact"/>
        <w:rPr>
          <w:sz w:val="20"/>
          <w:szCs w:val="20"/>
          <w:color w:val="auto"/>
        </w:rPr>
      </w:pPr>
    </w:p>
    <w:p>
      <w:pPr>
        <w:ind w:right="260"/>
        <w:spacing w:after="0" w:line="285" w:lineRule="auto"/>
        <w:rPr>
          <w:sz w:val="20"/>
          <w:szCs w:val="20"/>
          <w:color w:val="auto"/>
        </w:rPr>
      </w:pPr>
      <w:r>
        <w:rPr>
          <w:rFonts w:ascii="Times New Roman" w:cs="Times New Roman" w:eastAsia="Times New Roman" w:hAnsi="Times New Roman"/>
          <w:sz w:val="19"/>
          <w:szCs w:val="19"/>
          <w:color w:val="auto"/>
        </w:rPr>
        <w:t>The U.S. and foreign components of earnings (loss) from continuing operations before income taxes and equity in loss of investee companies were as follows:</w:t>
      </w:r>
    </w:p>
    <w:p>
      <w:pPr>
        <w:spacing w:after="0" w:line="54" w:lineRule="exact"/>
        <w:rPr>
          <w:sz w:val="20"/>
          <w:szCs w:val="20"/>
          <w:color w:val="auto"/>
        </w:rPr>
      </w:pPr>
    </w:p>
    <w:tbl>
      <w:tblPr>
        <w:tblLayout w:type="fixed"/>
        <w:tblInd w:w="700" w:type="dxa"/>
        <w:tblCellMar>
          <w:top w:w="0" w:type="dxa"/>
          <w:left w:w="0" w:type="dxa"/>
          <w:bottom w:w="0" w:type="dxa"/>
          <w:right w:w="0" w:type="dxa"/>
        </w:tblCellMar>
      </w:tblPr>
      <w:tr>
        <w:trPr>
          <w:trHeight w:val="252"/>
        </w:trPr>
        <w:tc>
          <w:tcPr>
            <w:tcW w:w="38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1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(5,862)</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(2,039)</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30"/>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(315)</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786</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25"/>
        </w:trPr>
        <w:tc>
          <w:tcPr>
            <w:tcW w:w="3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1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(6,177)</w:t>
            </w:r>
          </w:p>
        </w:tc>
        <w:tc>
          <w:tcPr>
            <w:tcW w:w="4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(1,253)</w:t>
            </w:r>
          </w:p>
        </w:tc>
        <w:tc>
          <w:tcPr>
            <w:tcW w:w="4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components of the (benefit from) provision for income taxes were as follows:</w:t>
      </w:r>
    </w:p>
    <w:p>
      <w:pPr>
        <w:spacing w:after="0" w:line="182" w:lineRule="exact"/>
        <w:rPr>
          <w:sz w:val="20"/>
          <w:szCs w:val="20"/>
          <w:color w:val="auto"/>
        </w:rPr>
      </w:pPr>
    </w:p>
    <w:tbl>
      <w:tblPr>
        <w:tblLayout w:type="fixed"/>
        <w:tblInd w:w="700" w:type="dxa"/>
        <w:tblCellMar>
          <w:top w:w="0" w:type="dxa"/>
          <w:left w:w="0" w:type="dxa"/>
          <w:bottom w:w="0" w:type="dxa"/>
          <w:right w:w="0" w:type="dxa"/>
        </w:tblCellMar>
      </w:tblPr>
      <w:tr>
        <w:trPr>
          <w:trHeight w:val="252"/>
        </w:trPr>
        <w:tc>
          <w:tcPr>
            <w:tcW w:w="4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5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5"/>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1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121</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70</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5"/>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and local</w:t>
            </w:r>
          </w:p>
        </w:tc>
        <w:tc>
          <w:tcPr>
            <w:tcW w:w="152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56</w:t>
            </w:r>
          </w:p>
        </w:tc>
        <w:tc>
          <w:tcPr>
            <w:tcW w:w="42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84</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4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1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148</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135</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9"/>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1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325</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289</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1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5"/>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152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(538)</w:t>
            </w:r>
          </w:p>
        </w:tc>
        <w:tc>
          <w:tcPr>
            <w:tcW w:w="42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(556)</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5"/>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and local</w:t>
            </w:r>
          </w:p>
        </w:tc>
        <w:tc>
          <w:tcPr>
            <w:tcW w:w="152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(116)</w:t>
            </w:r>
          </w:p>
        </w:tc>
        <w:tc>
          <w:tcPr>
            <w:tcW w:w="42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(110)</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4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1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24</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16</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8"/>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1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(630)</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(650)</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5"/>
        </w:trPr>
        <w:tc>
          <w:tcPr>
            <w:tcW w:w="4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5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(305)</w:t>
            </w:r>
          </w:p>
        </w:tc>
        <w:tc>
          <w:tcPr>
            <w:tcW w:w="4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(361)</w:t>
            </w:r>
          </w:p>
        </w:tc>
        <w:tc>
          <w:tcPr>
            <w:tcW w:w="4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r>
    </w:tbl>
    <w:p>
      <w:pPr>
        <w:spacing w:after="0" w:line="20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In addition, included in net earnings from discontinued operations was an income tax provision of $5 million, $249 million and $77 million for 2024, 2023, and 2022, respectively.</w:t>
      </w:r>
    </w:p>
    <w:p>
      <w:pPr>
        <w:spacing w:after="0" w:line="1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The equity in loss of investee companies is shown net of tax on the Consolidated Statements of Operations. The tax benefit relating to losses from equity investments was $1 million in 2024, $10 million in 2023 and $33 million in 2022, which represented an effective tax rate of 0.3%, 2.7% and 13.9% for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25" w:name="page126"/>
    <w:bookmarkEnd w:id="125"/>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9"/>
          <w:szCs w:val="19"/>
          <w:color w:val="auto"/>
        </w:rPr>
        <w:t>The difference between income taxes expected at the U.S. federal statutory income tax rate of 21% and the (benefit from) provision for income taxes is summarized as follows:</w:t>
      </w:r>
    </w:p>
    <w:p>
      <w:pPr>
        <w:spacing w:after="0" w:line="93" w:lineRule="exact"/>
        <w:rPr>
          <w:sz w:val="20"/>
          <w:szCs w:val="20"/>
          <w:color w:val="auto"/>
        </w:rPr>
      </w:pPr>
    </w:p>
    <w:tbl>
      <w:tblPr>
        <w:tblLayout w:type="fixed"/>
        <w:tblInd w:w="700" w:type="dxa"/>
        <w:tblCellMar>
          <w:top w:w="0" w:type="dxa"/>
          <w:left w:w="0" w:type="dxa"/>
          <w:bottom w:w="0" w:type="dxa"/>
          <w:right w:w="0" w:type="dxa"/>
        </w:tblCellMar>
      </w:tblPr>
      <w:tr>
        <w:trPr>
          <w:trHeight w:val="252"/>
        </w:trPr>
        <w:tc>
          <w:tcPr>
            <w:tcW w:w="4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on income at U.S. federal statutory rate</w:t>
            </w: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(1,297)</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(263)</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25"/>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taxes, net of federal tax benefit</w:t>
            </w:r>
          </w:p>
        </w:tc>
        <w:tc>
          <w:tcPr>
            <w:tcW w:w="124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(56)</w:t>
            </w:r>
          </w:p>
        </w:tc>
        <w:tc>
          <w:tcPr>
            <w:tcW w:w="42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5"/>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operations</w:t>
            </w:r>
          </w:p>
        </w:tc>
        <w:tc>
          <w:tcPr>
            <w:tcW w:w="124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74</w:t>
            </w:r>
          </w:p>
        </w:tc>
        <w:tc>
          <w:tcPr>
            <w:tcW w:w="42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(97)</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5"/>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4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5"/>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24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819</w:t>
            </w:r>
          </w:p>
        </w:tc>
        <w:tc>
          <w:tcPr>
            <w:tcW w:w="42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limitation carryforward valuation allowance</w:t>
            </w:r>
          </w:p>
        </w:tc>
        <w:tc>
          <w:tcPr>
            <w:tcW w:w="124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124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55</w:t>
            </w:r>
          </w:p>
        </w:tc>
        <w:tc>
          <w:tcPr>
            <w:tcW w:w="42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8"/>
        </w:trPr>
        <w:tc>
          <w:tcPr>
            <w:tcW w:w="474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Reorganization of foreign operations </w:t>
            </w:r>
            <w:r>
              <w:rPr>
                <w:rFonts w:ascii="Times New Roman" w:cs="Times New Roman" w:eastAsia="Times New Roman" w:hAnsi="Times New Roman"/>
                <w:sz w:val="22"/>
                <w:szCs w:val="22"/>
                <w:color w:val="auto"/>
                <w:vertAlign w:val="superscript"/>
              </w:rPr>
              <w:t>(a)</w:t>
            </w:r>
          </w:p>
        </w:tc>
        <w:tc>
          <w:tcPr>
            <w:tcW w:w="124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5"/>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deficiency from stock-based compensation</w:t>
            </w:r>
          </w:p>
        </w:tc>
        <w:tc>
          <w:tcPr>
            <w:tcW w:w="124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18</w:t>
            </w:r>
          </w:p>
        </w:tc>
        <w:tc>
          <w:tcPr>
            <w:tcW w:w="42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18</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(305)</w:t>
            </w:r>
          </w:p>
        </w:tc>
        <w:tc>
          <w:tcPr>
            <w:tcW w:w="4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(361)</w:t>
            </w:r>
          </w:p>
        </w:tc>
        <w:tc>
          <w:tcPr>
            <w:tcW w:w="4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r>
    </w:tbl>
    <w:p>
      <w:pPr>
        <w:spacing w:after="0" w:line="158" w:lineRule="exact"/>
        <w:rPr>
          <w:sz w:val="20"/>
          <w:szCs w:val="20"/>
          <w:color w:val="auto"/>
        </w:rPr>
      </w:pPr>
    </w:p>
    <w:p>
      <w:pPr>
        <w:ind w:left="880" w:right="560" w:hanging="238"/>
        <w:spacing w:after="0" w:line="290" w:lineRule="auto"/>
        <w:tabs>
          <w:tab w:leader="none" w:pos="858"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2022, reflects a deferred tax benefit resulting from the transfer of intangible assets between our subsidiaries in connection with a reorganization of our international operations. The related deferred tax asset is primarily expected to be realized over a 25-year period.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components of deferred income tax assets and liabilities.</w:t>
      </w:r>
    </w:p>
    <w:p>
      <w:pPr>
        <w:spacing w:after="0" w:line="182" w:lineRule="exact"/>
        <w:rPr>
          <w:sz w:val="20"/>
          <w:szCs w:val="20"/>
          <w:color w:val="auto"/>
        </w:rPr>
      </w:pPr>
    </w:p>
    <w:tbl>
      <w:tblPr>
        <w:tblLayout w:type="fixed"/>
        <w:tblInd w:w="720" w:type="dxa"/>
        <w:tblCellMar>
          <w:top w:w="0" w:type="dxa"/>
          <w:left w:w="0" w:type="dxa"/>
          <w:bottom w:w="0" w:type="dxa"/>
          <w:right w:w="0" w:type="dxa"/>
        </w:tblCellMar>
      </w:tblPr>
      <w:tr>
        <w:trPr>
          <w:trHeight w:val="252"/>
        </w:trPr>
        <w:tc>
          <w:tcPr>
            <w:tcW w:w="5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17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5"/>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Reserves and other accrued liabilities</w:t>
            </w:r>
          </w:p>
        </w:tc>
        <w:tc>
          <w:tcPr>
            <w:tcW w:w="1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354</w:t>
            </w: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25"/>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postretirement and other employee benefits</w:t>
            </w:r>
          </w:p>
        </w:tc>
        <w:tc>
          <w:tcPr>
            <w:tcW w:w="1780" w:type="dxa"/>
            <w:vAlign w:val="bottom"/>
          </w:tcPr>
          <w:p>
            <w:pPr>
              <w:spacing w:after="0"/>
              <w:rPr>
                <w:sz w:val="19"/>
                <w:szCs w:val="19"/>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460</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25"/>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liability</w:t>
            </w:r>
          </w:p>
        </w:tc>
        <w:tc>
          <w:tcPr>
            <w:tcW w:w="1780" w:type="dxa"/>
            <w:vAlign w:val="bottom"/>
          </w:tcPr>
          <w:p>
            <w:pPr>
              <w:spacing w:after="0"/>
              <w:rPr>
                <w:sz w:val="19"/>
                <w:szCs w:val="19"/>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409</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5"/>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credit and loss carryforwards</w:t>
            </w:r>
          </w:p>
        </w:tc>
        <w:tc>
          <w:tcPr>
            <w:tcW w:w="1780" w:type="dxa"/>
            <w:vAlign w:val="bottom"/>
          </w:tcPr>
          <w:p>
            <w:pPr>
              <w:spacing w:after="0"/>
              <w:rPr>
                <w:sz w:val="19"/>
                <w:szCs w:val="19"/>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538</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25"/>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limitation carryforward</w:t>
            </w:r>
          </w:p>
        </w:tc>
        <w:tc>
          <w:tcPr>
            <w:tcW w:w="1780" w:type="dxa"/>
            <w:vAlign w:val="bottom"/>
          </w:tcPr>
          <w:p>
            <w:pPr>
              <w:spacing w:after="0"/>
              <w:rPr>
                <w:sz w:val="19"/>
                <w:szCs w:val="19"/>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114</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5"/>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Capitalized costs</w:t>
            </w:r>
          </w:p>
        </w:tc>
        <w:tc>
          <w:tcPr>
            <w:tcW w:w="1780" w:type="dxa"/>
            <w:vAlign w:val="bottom"/>
          </w:tcPr>
          <w:p>
            <w:pPr>
              <w:spacing w:after="0"/>
              <w:rPr>
                <w:sz w:val="19"/>
                <w:szCs w:val="19"/>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180</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5"/>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1780" w:type="dxa"/>
            <w:vAlign w:val="bottom"/>
          </w:tcPr>
          <w:p>
            <w:pPr>
              <w:spacing w:after="0"/>
              <w:rPr>
                <w:sz w:val="19"/>
                <w:szCs w:val="19"/>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428</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5"/>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1780" w:type="dxa"/>
            <w:vAlign w:val="bottom"/>
          </w:tcPr>
          <w:p>
            <w:pPr>
              <w:spacing w:after="0"/>
              <w:rPr>
                <w:sz w:val="19"/>
                <w:szCs w:val="19"/>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25</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7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1780" w:type="dxa"/>
            <w:vAlign w:val="bottom"/>
          </w:tcPr>
          <w:p>
            <w:pPr>
              <w:spacing w:after="0"/>
              <w:rPr>
                <w:sz w:val="18"/>
                <w:szCs w:val="18"/>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2,518</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w:t>
            </w:r>
          </w:p>
        </w:tc>
      </w:tr>
      <w:tr>
        <w:trPr>
          <w:trHeight w:val="230"/>
        </w:trPr>
        <w:tc>
          <w:tcPr>
            <w:tcW w:w="5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17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(655)</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19"/>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17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1,863</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w:t>
            </w:r>
          </w:p>
        </w:tc>
      </w:tr>
      <w:tr>
        <w:trPr>
          <w:trHeight w:val="21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5"/>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asset</w:t>
            </w:r>
          </w:p>
        </w:tc>
        <w:tc>
          <w:tcPr>
            <w:tcW w:w="1780" w:type="dxa"/>
            <w:vAlign w:val="bottom"/>
          </w:tcPr>
          <w:p>
            <w:pPr>
              <w:spacing w:after="0"/>
              <w:rPr>
                <w:sz w:val="19"/>
                <w:szCs w:val="19"/>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(340)</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25"/>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equipment and other assets</w:t>
            </w:r>
          </w:p>
        </w:tc>
        <w:tc>
          <w:tcPr>
            <w:tcW w:w="1780" w:type="dxa"/>
            <w:vAlign w:val="bottom"/>
          </w:tcPr>
          <w:p>
            <w:pPr>
              <w:spacing w:after="0"/>
              <w:rPr>
                <w:sz w:val="19"/>
                <w:szCs w:val="19"/>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(89)</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5"/>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1780" w:type="dxa"/>
            <w:vAlign w:val="bottom"/>
          </w:tcPr>
          <w:p>
            <w:pPr>
              <w:spacing w:after="0"/>
              <w:rPr>
                <w:sz w:val="19"/>
                <w:szCs w:val="19"/>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5"/>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obligations</w:t>
            </w:r>
          </w:p>
        </w:tc>
        <w:tc>
          <w:tcPr>
            <w:tcW w:w="1780" w:type="dxa"/>
            <w:vAlign w:val="bottom"/>
          </w:tcPr>
          <w:p>
            <w:pPr>
              <w:spacing w:after="0"/>
              <w:rPr>
                <w:sz w:val="19"/>
                <w:szCs w:val="19"/>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(66)</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5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7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(16)</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8"/>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17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(511)</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25"/>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17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1,352</w:t>
            </w:r>
          </w:p>
        </w:tc>
        <w:tc>
          <w:tcPr>
            <w:tcW w:w="4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r>
    </w:tbl>
    <w:p>
      <w:pPr>
        <w:spacing w:after="0" w:line="20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At December 31, 2024, we had deferred income tax assets for federal foreign tax credit carryforwards of $52 million and net operating loss carryforwards for federal, state and local, and foreign jurisdictions of $371 million, the majority of which expire in various years from 2025 through 2036. The deferred tax asset for the U.S. interest limitation carryforward of $114 million at December 31, 2024 has an indefinite carryforward period.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26" w:name="page127"/>
    <w:bookmarkEnd w:id="126"/>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The 2024 and 2023 deferred income tax assets were reduced by a valuation allowance of $655 million and $498 million, respectively, principally relating to income tax benefits from capital losses and net operating losses in foreign jurisdictions and U.S. interest limitations, which are not expected to be realized.</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Generally, the future remittance of foreign undistributed earnings will not be subject to U.S. federal income taxes and as a result, for substantially all of our foreign subsidiaries, we do not intend to assert indefinite reinvestment of both cash held outside of the U.S. and future cash earnings. However, a future repatriation of cash could be subject to state and local income taxes, foreign income taxes, tax on foreign currency translation gains and losses, and withholding taxes. Accordingly, as of December 31, 2024, we recorded deferred income tax liabilities associated with future repatriations of $13 million on the Consolidated Balance Sheet. Additional income taxes have not been provided for outside basis differences inherent in these entities, which could be recognized upon sale or other transaction, as these amounts continue to be indefinitely invested in foreign operations. The determination of the U.S. federal deferred income tax liability for such outside basis difference is not practicable.</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sets forth the change in the reserve for uncertain tax positions, excluding related accrued interest and penalties.</w:t>
      </w:r>
    </w:p>
    <w:p>
      <w:pPr>
        <w:spacing w:after="0" w:line="129" w:lineRule="exact"/>
        <w:rPr>
          <w:sz w:val="20"/>
          <w:szCs w:val="20"/>
          <w:color w:val="auto"/>
        </w:rPr>
      </w:pPr>
    </w:p>
    <w:tbl>
      <w:tblPr>
        <w:tblLayout w:type="fixed"/>
        <w:tblInd w:w="900" w:type="dxa"/>
        <w:tblCellMar>
          <w:top w:w="0" w:type="dxa"/>
          <w:left w:w="0" w:type="dxa"/>
          <w:bottom w:w="0" w:type="dxa"/>
          <w:right w:w="0" w:type="dxa"/>
        </w:tblCellMar>
      </w:tblPr>
      <w:tr>
        <w:trPr>
          <w:trHeight w:val="252"/>
        </w:trPr>
        <w:tc>
          <w:tcPr>
            <w:tcW w:w="55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 January 1, 2022</w:t>
            </w:r>
          </w:p>
        </w:tc>
        <w:tc>
          <w:tcPr>
            <w:tcW w:w="320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1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current year tax positions</w:t>
            </w:r>
          </w:p>
        </w:tc>
        <w:tc>
          <w:tcPr>
            <w:tcW w:w="3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5"/>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prior year tax positions</w:t>
            </w:r>
          </w:p>
        </w:tc>
        <w:tc>
          <w:tcPr>
            <w:tcW w:w="3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Reductions for prior year tax positions</w:t>
            </w:r>
          </w:p>
        </w:tc>
        <w:tc>
          <w:tcPr>
            <w:tcW w:w="3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5"/>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Cash settlements</w:t>
            </w:r>
          </w:p>
        </w:tc>
        <w:tc>
          <w:tcPr>
            <w:tcW w:w="3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Statute of limitations lapses</w:t>
            </w:r>
          </w:p>
        </w:tc>
        <w:tc>
          <w:tcPr>
            <w:tcW w:w="3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8"/>
        </w:trPr>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 December 31, 2022</w:t>
            </w:r>
          </w:p>
        </w:tc>
        <w:tc>
          <w:tcPr>
            <w:tcW w:w="3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1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current year tax positions</w:t>
            </w:r>
          </w:p>
        </w:tc>
        <w:tc>
          <w:tcPr>
            <w:tcW w:w="3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5"/>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prior year tax positions</w:t>
            </w:r>
          </w:p>
        </w:tc>
        <w:tc>
          <w:tcPr>
            <w:tcW w:w="3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5"/>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Reductions for prior year tax positions</w:t>
            </w:r>
          </w:p>
        </w:tc>
        <w:tc>
          <w:tcPr>
            <w:tcW w:w="3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5"/>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Cash settlements</w:t>
            </w:r>
          </w:p>
        </w:tc>
        <w:tc>
          <w:tcPr>
            <w:tcW w:w="3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Statute of limitations lapses</w:t>
            </w:r>
          </w:p>
        </w:tc>
        <w:tc>
          <w:tcPr>
            <w:tcW w:w="3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8"/>
        </w:trPr>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3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1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current year tax positions</w:t>
            </w:r>
          </w:p>
        </w:tc>
        <w:tc>
          <w:tcPr>
            <w:tcW w:w="3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5"/>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prior year tax positions</w:t>
            </w:r>
          </w:p>
        </w:tc>
        <w:tc>
          <w:tcPr>
            <w:tcW w:w="3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Reductions for prior year tax positions</w:t>
            </w:r>
          </w:p>
        </w:tc>
        <w:tc>
          <w:tcPr>
            <w:tcW w:w="3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5"/>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Cash settlements</w:t>
            </w:r>
          </w:p>
        </w:tc>
        <w:tc>
          <w:tcPr>
            <w:tcW w:w="3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Statute of limitations lapses</w:t>
            </w:r>
          </w:p>
        </w:tc>
        <w:tc>
          <w:tcPr>
            <w:tcW w:w="3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5"/>
        </w:trPr>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32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r>
    </w:tbl>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reserve for uncertain tax positions of $280 million at December 31, 2024 includes $252 million which would affect our effective income tax rate, if and when recognized in future years. We recognized interest and penalties of $28 million, $26 million and $14 million for the years ended December 31, 2024, 2023 and 2022, respectively, in the Consolidated Statements of Operations. Liabilities for accrued interest and penalties totaling $104 million and $87 million as of December 31, 2024 and 2023, respectively, are included within “Other current liabilities” and “Other liabilities” on the Consolidated Balance Sheets.</w:t>
      </w:r>
    </w:p>
    <w:p>
      <w:pPr>
        <w:spacing w:after="0" w:line="20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The Company and its subsidiaries file income tax returns with the Internal Revenue Service (“IRS”) and various state and local and foreign jurisdictions. For periods prior to the 2019 merger of Viacom and CBS, Viacom and CBS filed separate tax returns. For CBS, during the fourth quarter of 2023, the Company and the IRS settled the income tax audit for the 2017 and 2018 tax years with the exception of one item. This item is currently being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27" w:name="page128"/>
    <w:bookmarkEnd w:id="127"/>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resolved through the Mutual Agreement Procedure process. For Viacom, we are currently under examination by the IRS for the 2016 through 2019 tax years. For tax returns filed as a merged company, we are currently under examination by the IRS for the 2019 tax year. Various tax years are also currently under examination by state and local and foreign tax authorities. With respect to open tax years in all jurisdictions, we currently do not believe that it is reasonably possible that the reserve for uncertain tax positions will significantly change within the next 12 months; however, it is difficult to predict the final outcome or timing of resolution of any particular tax matter and events could cause our current expectation to change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16) PENSION AND OTHER POSTRETIREMENT BENEFITS</w:t>
      </w:r>
    </w:p>
    <w:p>
      <w:pPr>
        <w:spacing w:after="0" w:line="1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The Company and certain of its subsidiaries sponsor qualified and non-qualified defined benefit pension plans, principally non-contributory, covering eligible employees. Our pension plans consist of both funded and unfunded plans, and our domestic plans are frozen to future benefit accruals. The majority of participants in these plans are retired employees or former employees of previously divested businesses. Plan benefits are based primarily on an employee’s years of service and pay for each year that the employee participated in the plan. We fund our pension plans in accordance with the Employee Retirement Income Security Act of 1974 (“ERISA”), the Pension Protection Act of 2006, the Internal Revenue Code of 1986 and other applicable laws, rules and regulations. Plan assets consist principally of corporate bonds, equity securities, common collective trust funds, U.S. government securities and short-term investments. The Company’s Common Stock represented approximately 0.7% and 1.0% of the fair value of plan assets at December 31, 2024 and 2023, respectively.</w:t>
      </w:r>
    </w:p>
    <w:p>
      <w:pPr>
        <w:spacing w:after="0" w:line="2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In addition, the Company sponsors health and welfare plans that provide postretirement health care and life insurance benefits to eligible retired employees and their covered dependents. Eligibility is based in part on certain age and service requirements at the time of their retirement. Most of the plans are contributory and contain cost-sharing features such as deductibles and coinsurance, which are adjusted annually, as well as caps on the annual dollar amount we will contribute toward the cost of coverage. Claims and premiums for which we are responsible are paid with our own funds.</w:t>
      </w:r>
    </w:p>
    <w:p>
      <w:pPr>
        <w:spacing w:after="0" w:line="20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The pension plan disclosures herein include information related to our domestic pension and postretirement benefit plans only, unless otherwise noted. At December 31, 2024 and 2023, the Consolidated Balance Sheets also include a liability of $31 million and $44 million, respectively, in “Pension and postretirement benefit obligations” relating to our non-U.S. pension plans and certain other retirement severance plans.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use a December 31 measurement date for all pension and other postretirement benefit plans.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sets forth the change in benefit obligation for our pension and postretirement benefit plans.</w:t>
      </w:r>
    </w:p>
    <w:p>
      <w:pPr>
        <w:spacing w:after="0" w:line="129" w:lineRule="exact"/>
        <w:rPr>
          <w:sz w:val="20"/>
          <w:szCs w:val="20"/>
          <w:color w:val="auto"/>
        </w:rPr>
      </w:pPr>
    </w:p>
    <w:tbl>
      <w:tblPr>
        <w:tblLayout w:type="fixed"/>
        <w:tblInd w:w="240" w:type="dxa"/>
        <w:tblCellMar>
          <w:top w:w="0" w:type="dxa"/>
          <w:left w:w="0" w:type="dxa"/>
          <w:bottom w:w="0" w:type="dxa"/>
          <w:right w:w="0" w:type="dxa"/>
        </w:tblCellMar>
      </w:tblPr>
      <w:tr>
        <w:trPr>
          <w:trHeight w:val="252"/>
        </w:trPr>
        <w:tc>
          <w:tcPr>
            <w:tcW w:w="55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520" w:type="dxa"/>
            <w:vAlign w:val="bottom"/>
            <w:tcBorders>
              <w:top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240" w:type="dxa"/>
            <w:vAlign w:val="bottom"/>
            <w:tcBorders>
              <w:top w:val="single" w:sz="8" w:color="auto"/>
            </w:tcBorders>
          </w:tcPr>
          <w:p>
            <w:pPr>
              <w:spacing w:after="0"/>
              <w:rPr>
                <w:sz w:val="21"/>
                <w:szCs w:val="21"/>
                <w:color w:val="auto"/>
              </w:rPr>
            </w:pPr>
          </w:p>
        </w:tc>
        <w:tc>
          <w:tcPr>
            <w:tcW w:w="2260" w:type="dxa"/>
            <w:vAlign w:val="bottom"/>
            <w:tcBorders>
              <w:top w:val="single" w:sz="8" w:color="auto"/>
            </w:tcBorders>
            <w:gridSpan w:val="3"/>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r>
      <w:tr>
        <w:trPr>
          <w:trHeight w:val="218"/>
        </w:trPr>
        <w:tc>
          <w:tcPr>
            <w:tcW w:w="55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3"/>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Benefit obligation, beginning of year</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3,711</w:t>
            </w:r>
          </w:p>
        </w:tc>
        <w:tc>
          <w:tcPr>
            <w:tcW w:w="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34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193</w:t>
            </w:r>
          </w:p>
        </w:tc>
        <w:tc>
          <w:tcPr>
            <w:tcW w:w="3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Pr>
          <w:p>
            <w:pPr>
              <w:spacing w:after="0"/>
              <w:rPr>
                <w:sz w:val="19"/>
                <w:szCs w:val="19"/>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198</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Actuarial (gain) loss</w:t>
            </w:r>
          </w:p>
        </w:tc>
        <w:tc>
          <w:tcPr>
            <w:tcW w:w="24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(93)</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24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(335)</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Participants’ contributions</w:t>
            </w:r>
          </w:p>
        </w:tc>
        <w:tc>
          <w:tcPr>
            <w:tcW w:w="240" w:type="dxa"/>
            <w:vAlign w:val="bottom"/>
          </w:tcPr>
          <w:p>
            <w:pPr>
              <w:spacing w:after="0"/>
              <w:rPr>
                <w:sz w:val="19"/>
                <w:szCs w:val="19"/>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Retiree Medicare drug subsidy</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Benefit obligation, end of year</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3,481</w:t>
            </w:r>
          </w:p>
        </w:tc>
        <w:tc>
          <w:tcPr>
            <w:tcW w:w="3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165</w:t>
            </w:r>
          </w:p>
        </w:tc>
        <w:tc>
          <w:tcPr>
            <w:tcW w:w="3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28" w:name="page129"/>
    <w:bookmarkEnd w:id="128"/>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9"/>
          <w:szCs w:val="19"/>
          <w:color w:val="auto"/>
        </w:rPr>
        <w:t>The actuarial gain of $93 million, included in the change in benefit obligation for pension benefits in 2024, was driven by a 40 basis point increase in the discount rate from December 31, 2023 to December 31,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sets forth the change in plan assets for our pension and postretirement benefit plans.</w:t>
      </w:r>
    </w:p>
    <w:p>
      <w:pPr>
        <w:spacing w:after="0" w:line="129" w:lineRule="exact"/>
        <w:rPr>
          <w:sz w:val="20"/>
          <w:szCs w:val="20"/>
          <w:color w:val="auto"/>
        </w:rPr>
      </w:pPr>
    </w:p>
    <w:tbl>
      <w:tblPr>
        <w:tblLayout w:type="fixed"/>
        <w:tblInd w:w="240" w:type="dxa"/>
        <w:tblCellMar>
          <w:top w:w="0" w:type="dxa"/>
          <w:left w:w="0" w:type="dxa"/>
          <w:bottom w:w="0" w:type="dxa"/>
          <w:right w:w="0" w:type="dxa"/>
        </w:tblCellMar>
      </w:tblPr>
      <w:tr>
        <w:trPr>
          <w:trHeight w:val="252"/>
        </w:trPr>
        <w:tc>
          <w:tcPr>
            <w:tcW w:w="55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520" w:type="dxa"/>
            <w:vAlign w:val="bottom"/>
            <w:tcBorders>
              <w:top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240" w:type="dxa"/>
            <w:vAlign w:val="bottom"/>
            <w:tcBorders>
              <w:top w:val="single" w:sz="8" w:color="auto"/>
            </w:tcBorders>
          </w:tcPr>
          <w:p>
            <w:pPr>
              <w:spacing w:after="0"/>
              <w:rPr>
                <w:sz w:val="21"/>
                <w:szCs w:val="21"/>
                <w:color w:val="auto"/>
              </w:rPr>
            </w:pPr>
          </w:p>
        </w:tc>
        <w:tc>
          <w:tcPr>
            <w:tcW w:w="2260" w:type="dxa"/>
            <w:vAlign w:val="bottom"/>
            <w:tcBorders>
              <w:top w:val="single" w:sz="8" w:color="auto"/>
            </w:tcBorders>
            <w:gridSpan w:val="3"/>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r>
      <w:tr>
        <w:trPr>
          <w:trHeight w:val="218"/>
        </w:trPr>
        <w:tc>
          <w:tcPr>
            <w:tcW w:w="55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3"/>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plan assets, beginning of year</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2,507</w:t>
            </w:r>
          </w:p>
        </w:tc>
        <w:tc>
          <w:tcPr>
            <w:tcW w:w="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34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40" w:type="dxa"/>
            <w:vAlign w:val="bottom"/>
          </w:tcPr>
          <w:p>
            <w:pPr>
              <w:spacing w:after="0"/>
              <w:rPr>
                <w:sz w:val="19"/>
                <w:szCs w:val="19"/>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Employer contributions</w:t>
            </w:r>
          </w:p>
        </w:tc>
        <w:tc>
          <w:tcPr>
            <w:tcW w:w="240" w:type="dxa"/>
            <w:vAlign w:val="bottom"/>
          </w:tcPr>
          <w:p>
            <w:pPr>
              <w:spacing w:after="0"/>
              <w:rPr>
                <w:sz w:val="19"/>
                <w:szCs w:val="19"/>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24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(335)</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Participants’ contributions</w:t>
            </w:r>
          </w:p>
        </w:tc>
        <w:tc>
          <w:tcPr>
            <w:tcW w:w="240" w:type="dxa"/>
            <w:vAlign w:val="bottom"/>
          </w:tcPr>
          <w:p>
            <w:pPr>
              <w:spacing w:after="0"/>
              <w:rPr>
                <w:sz w:val="19"/>
                <w:szCs w:val="19"/>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Retiree Medicare drug subsidy</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Fair value of plan assets, end of year</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2,352</w:t>
            </w:r>
          </w:p>
        </w:tc>
        <w:tc>
          <w:tcPr>
            <w:tcW w:w="3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16"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9"/>
          <w:szCs w:val="19"/>
          <w:color w:val="auto"/>
        </w:rPr>
        <w:t>The funded status of pension and postretirement benefit obligations and the related amounts recognized on the Consolidated Balance Sheets were as follows:</w:t>
      </w:r>
    </w:p>
    <w:p>
      <w:pPr>
        <w:spacing w:after="0" w:line="67" w:lineRule="exact"/>
        <w:rPr>
          <w:sz w:val="20"/>
          <w:szCs w:val="20"/>
          <w:color w:val="auto"/>
        </w:rPr>
      </w:pPr>
    </w:p>
    <w:tbl>
      <w:tblPr>
        <w:tblLayout w:type="fixed"/>
        <w:tblInd w:w="240" w:type="dxa"/>
        <w:tblCellMar>
          <w:top w:w="0" w:type="dxa"/>
          <w:left w:w="0" w:type="dxa"/>
          <w:bottom w:w="0" w:type="dxa"/>
          <w:right w:w="0" w:type="dxa"/>
        </w:tblCellMar>
      </w:tblPr>
      <w:tr>
        <w:trPr>
          <w:trHeight w:val="252"/>
        </w:trPr>
        <w:tc>
          <w:tcPr>
            <w:tcW w:w="55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520" w:type="dxa"/>
            <w:vAlign w:val="bottom"/>
            <w:tcBorders>
              <w:top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240" w:type="dxa"/>
            <w:vAlign w:val="bottom"/>
            <w:tcBorders>
              <w:top w:val="single" w:sz="8" w:color="auto"/>
            </w:tcBorders>
          </w:tcPr>
          <w:p>
            <w:pPr>
              <w:spacing w:after="0"/>
              <w:rPr>
                <w:sz w:val="21"/>
                <w:szCs w:val="21"/>
                <w:color w:val="auto"/>
              </w:rPr>
            </w:pPr>
          </w:p>
        </w:tc>
        <w:tc>
          <w:tcPr>
            <w:tcW w:w="2260" w:type="dxa"/>
            <w:vAlign w:val="bottom"/>
            <w:tcBorders>
              <w:top w:val="single" w:sz="8" w:color="auto"/>
            </w:tcBorders>
            <w:gridSpan w:val="3"/>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r>
      <w:tr>
        <w:trPr>
          <w:trHeight w:val="218"/>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Funded status at end of year</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(1,129)</w:t>
            </w:r>
          </w:p>
        </w:tc>
        <w:tc>
          <w:tcPr>
            <w:tcW w:w="3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(165)</w:t>
            </w:r>
          </w:p>
        </w:tc>
        <w:tc>
          <w:tcPr>
            <w:tcW w:w="3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3"/>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Amounts recognized on the Consolidated Balance Sheets: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5"/>
        </w:trPr>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Noncurrent assets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5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Noncurrent liabilities</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(1,057)</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(138)</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5"/>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amounts recognized</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(1,129)</w:t>
            </w:r>
          </w:p>
        </w:tc>
        <w:tc>
          <w:tcPr>
            <w:tcW w:w="3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(165)</w:t>
            </w:r>
          </w:p>
        </w:tc>
        <w:tc>
          <w:tcPr>
            <w:tcW w:w="3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r>
    </w:tbl>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qualified pension plans were underfunded by $347 million and $378 million at December 31, 2024 and 2023, respectively.</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amounts were recognized in accumulated other comprehensive income (loss) on the Consolidated Balance Sheets.</w:t>
      </w:r>
    </w:p>
    <w:p>
      <w:pPr>
        <w:spacing w:after="0" w:line="129" w:lineRule="exact"/>
        <w:rPr>
          <w:sz w:val="20"/>
          <w:szCs w:val="20"/>
          <w:color w:val="auto"/>
        </w:rPr>
      </w:pPr>
    </w:p>
    <w:tbl>
      <w:tblPr>
        <w:tblLayout w:type="fixed"/>
        <w:tblInd w:w="240" w:type="dxa"/>
        <w:tblCellMar>
          <w:top w:w="0" w:type="dxa"/>
          <w:left w:w="0" w:type="dxa"/>
          <w:bottom w:w="0" w:type="dxa"/>
          <w:right w:w="0" w:type="dxa"/>
        </w:tblCellMar>
      </w:tblPr>
      <w:tr>
        <w:trPr>
          <w:trHeight w:val="252"/>
        </w:trPr>
        <w:tc>
          <w:tcPr>
            <w:tcW w:w="55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520" w:type="dxa"/>
            <w:vAlign w:val="bottom"/>
            <w:tcBorders>
              <w:top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240" w:type="dxa"/>
            <w:vAlign w:val="bottom"/>
            <w:tcBorders>
              <w:top w:val="single" w:sz="8" w:color="auto"/>
            </w:tcBorders>
          </w:tcPr>
          <w:p>
            <w:pPr>
              <w:spacing w:after="0"/>
              <w:rPr>
                <w:sz w:val="21"/>
                <w:szCs w:val="21"/>
                <w:color w:val="auto"/>
              </w:rPr>
            </w:pPr>
          </w:p>
        </w:tc>
        <w:tc>
          <w:tcPr>
            <w:tcW w:w="2260" w:type="dxa"/>
            <w:vAlign w:val="bottom"/>
            <w:tcBorders>
              <w:top w:val="single" w:sz="8" w:color="auto"/>
            </w:tcBorders>
            <w:gridSpan w:val="3"/>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r>
      <w:tr>
        <w:trPr>
          <w:trHeight w:val="218"/>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actuarial (loss) gain</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(1,448)</w:t>
            </w:r>
          </w:p>
        </w:tc>
        <w:tc>
          <w:tcPr>
            <w:tcW w:w="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34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147</w:t>
            </w:r>
          </w:p>
        </w:tc>
        <w:tc>
          <w:tcPr>
            <w:tcW w:w="3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prior service cost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(1,449)</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147</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390</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165"/>
        </w:trPr>
        <w:tc>
          <w:tcPr>
            <w:tcW w:w="5520" w:type="dxa"/>
            <w:vAlign w:val="bottom"/>
          </w:tcPr>
          <w:p>
            <w:pPr>
              <w:spacing w:after="0" w:line="165" w:lineRule="exact"/>
              <w:rPr>
                <w:sz w:val="20"/>
                <w:szCs w:val="20"/>
                <w:color w:val="auto"/>
              </w:rPr>
            </w:pPr>
            <w:r>
              <w:rPr>
                <w:rFonts w:ascii="Times New Roman" w:cs="Times New Roman" w:eastAsia="Times New Roman" w:hAnsi="Times New Roman"/>
                <w:sz w:val="18"/>
                <w:szCs w:val="18"/>
                <w:color w:val="auto"/>
              </w:rPr>
              <w:t>Net amount recognized in accumulated other</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45"/>
        </w:trPr>
        <w:tc>
          <w:tcPr>
            <w:tcW w:w="5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(1,059)</w:t>
            </w:r>
          </w:p>
        </w:tc>
        <w:tc>
          <w:tcPr>
            <w:tcW w:w="3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3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133</w:t>
            </w:r>
          </w:p>
        </w:tc>
        <w:tc>
          <w:tcPr>
            <w:tcW w:w="3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r>
    </w:tbl>
    <w:p>
      <w:pPr>
        <w:spacing w:after="0" w:line="189" w:lineRule="exact"/>
        <w:rPr>
          <w:sz w:val="20"/>
          <w:szCs w:val="20"/>
          <w:color w:val="auto"/>
        </w:rPr>
      </w:pPr>
    </w:p>
    <w:p>
      <w:pPr>
        <w:ind w:right="300"/>
        <w:spacing w:after="0" w:line="300" w:lineRule="auto"/>
        <w:rPr>
          <w:sz w:val="20"/>
          <w:szCs w:val="20"/>
          <w:color w:val="auto"/>
        </w:rPr>
      </w:pPr>
      <w:r>
        <w:rPr>
          <w:rFonts w:ascii="Times New Roman" w:cs="Times New Roman" w:eastAsia="Times New Roman" w:hAnsi="Times New Roman"/>
          <w:sz w:val="19"/>
          <w:szCs w:val="19"/>
          <w:color w:val="auto"/>
        </w:rPr>
        <w:t>The accumulated benefit obligation for all defined benefit pension plans was $3.48 billion and $3.71 billion at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II-84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29" w:name="page130"/>
    <w:bookmarkEnd w:id="129"/>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Information for the pension plans with an accumulated benefit obligation in excess of plan assets is set forth below.</w:t>
      </w:r>
    </w:p>
    <w:p>
      <w:pPr>
        <w:spacing w:after="0" w:line="129" w:lineRule="exact"/>
        <w:rPr>
          <w:sz w:val="20"/>
          <w:szCs w:val="20"/>
          <w:color w:val="auto"/>
        </w:rPr>
      </w:pPr>
    </w:p>
    <w:tbl>
      <w:tblPr>
        <w:tblLayout w:type="fixed"/>
        <w:tblInd w:w="280" w:type="dxa"/>
        <w:tblCellMar>
          <w:top w:w="0" w:type="dxa"/>
          <w:left w:w="0" w:type="dxa"/>
          <w:bottom w:w="0" w:type="dxa"/>
          <w:right w:w="0" w:type="dxa"/>
        </w:tblCellMar>
      </w:tblPr>
      <w:tr>
        <w:trPr>
          <w:trHeight w:val="252"/>
        </w:trPr>
        <w:tc>
          <w:tcPr>
            <w:tcW w:w="5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24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Projected and accumulated benefit obligation</w:t>
            </w:r>
          </w:p>
        </w:tc>
        <w:tc>
          <w:tcPr>
            <w:tcW w:w="24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2,960</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w:t>
            </w:r>
          </w:p>
        </w:tc>
      </w:tr>
      <w:tr>
        <w:trPr>
          <w:trHeight w:val="237"/>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4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1,830</w:t>
            </w:r>
          </w:p>
        </w:tc>
        <w:tc>
          <w:tcPr>
            <w:tcW w:w="6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tables present the components of net periodic cost (benefit) and amounts recognized in other comprehensive income (loss).</w:t>
      </w:r>
    </w:p>
    <w:p>
      <w:pPr>
        <w:spacing w:after="0" w:line="182" w:lineRule="exact"/>
        <w:rPr>
          <w:sz w:val="20"/>
          <w:szCs w:val="20"/>
          <w:color w:val="auto"/>
        </w:rPr>
      </w:pPr>
    </w:p>
    <w:tbl>
      <w:tblPr>
        <w:tblLayout w:type="fixed"/>
        <w:tblInd w:w="280" w:type="dxa"/>
        <w:tblCellMar>
          <w:top w:w="0" w:type="dxa"/>
          <w:left w:w="0" w:type="dxa"/>
          <w:bottom w:w="0" w:type="dxa"/>
          <w:right w:w="0" w:type="dxa"/>
        </w:tblCellMar>
      </w:tblPr>
      <w:tr>
        <w:trPr>
          <w:trHeight w:val="252"/>
        </w:trPr>
        <w:tc>
          <w:tcPr>
            <w:tcW w:w="456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Pension Benefits</w:t>
            </w:r>
          </w:p>
        </w:tc>
        <w:tc>
          <w:tcPr>
            <w:tcW w:w="16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2700" w:type="dxa"/>
            <w:vAlign w:val="bottom"/>
            <w:tcBorders>
              <w:top w:val="single" w:sz="8" w:color="auto"/>
              <w:bottom w:val="single" w:sz="8" w:color="auto"/>
            </w:tcBorders>
            <w:gridSpan w:val="5"/>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r>
      <w:tr>
        <w:trPr>
          <w:trHeight w:val="218"/>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cost:</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25"/>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400" w:type="dxa"/>
            <w:vAlign w:val="bottom"/>
          </w:tcPr>
          <w:p>
            <w:pPr>
              <w:spacing w:after="0"/>
              <w:rPr>
                <w:sz w:val="19"/>
                <w:szCs w:val="19"/>
                <w:color w:val="auto"/>
              </w:rPr>
            </w:pPr>
          </w:p>
        </w:tc>
        <w:tc>
          <w:tcPr>
            <w:tcW w:w="8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19"/>
                <w:szCs w:val="19"/>
                <w:color w:val="auto"/>
              </w:rPr>
            </w:pP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5"/>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400" w:type="dxa"/>
            <w:vAlign w:val="bottom"/>
          </w:tcPr>
          <w:p>
            <w:pPr>
              <w:spacing w:after="0"/>
              <w:rPr>
                <w:sz w:val="19"/>
                <w:szCs w:val="19"/>
                <w:color w:val="auto"/>
              </w:rPr>
            </w:pP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Amortization of actuarial losses (gains)</w:t>
            </w: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5"/>
        </w:trPr>
        <w:tc>
          <w:tcPr>
            <w:tcW w:w="4560" w:type="dxa"/>
            <w:vAlign w:val="bottom"/>
            <w:tcBorders>
              <w:bottom w:val="single" w:sz="8" w:color="auto"/>
            </w:tcBorders>
          </w:tcPr>
          <w:p>
            <w:pPr>
              <w:ind w:left="140"/>
              <w:spacing w:after="0" w:line="219" w:lineRule="exact"/>
              <w:rPr>
                <w:sz w:val="20"/>
                <w:szCs w:val="20"/>
                <w:color w:val="auto"/>
              </w:rPr>
            </w:pPr>
            <w:r>
              <w:rPr>
                <w:rFonts w:ascii="Times New Roman" w:cs="Times New Roman" w:eastAsia="Times New Roman" w:hAnsi="Times New Roman"/>
                <w:sz w:val="18"/>
                <w:szCs w:val="18"/>
                <w:color w:val="auto"/>
              </w:rPr>
              <w:t xml:space="preserve">Net periodic cost (benefit) </w:t>
            </w:r>
            <w:r>
              <w:rPr>
                <w:rFonts w:ascii="Times New Roman" w:cs="Times New Roman" w:eastAsia="Times New Roman" w:hAnsi="Times New Roman"/>
                <w:sz w:val="22"/>
                <w:szCs w:val="22"/>
                <w:color w:val="auto"/>
                <w:vertAlign w:val="superscript"/>
              </w:rPr>
              <w:t>(a)</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line="119" w:lineRule="exact"/>
        <w:rPr>
          <w:sz w:val="20"/>
          <w:szCs w:val="20"/>
          <w:color w:val="auto"/>
        </w:rPr>
      </w:pPr>
    </w:p>
    <w:p>
      <w:pPr>
        <w:ind w:left="480" w:right="320" w:hanging="236"/>
        <w:spacing w:after="0" w:line="290" w:lineRule="auto"/>
        <w:tabs>
          <w:tab w:leader="none" w:pos="492"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amounts reflected in net earnings from discontinued operations of $7 million and $3 million for the years ended December 31, 2023 and 2022, respectively.</w:t>
      </w:r>
    </w:p>
    <w:p>
      <w:pPr>
        <w:spacing w:after="0" w:line="116"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9"/>
          <w:szCs w:val="19"/>
          <w:color w:val="auto"/>
        </w:rPr>
        <w:t>The service cost component of net periodic cost is presented on the Consolidated Statements of Operations within operating income. All other components of net periodic cost are presented below operating income, in “Other items, net.”</w:t>
      </w:r>
    </w:p>
    <w:p>
      <w:pPr>
        <w:spacing w:after="0" w:line="107" w:lineRule="exact"/>
        <w:rPr>
          <w:sz w:val="20"/>
          <w:szCs w:val="20"/>
          <w:color w:val="auto"/>
        </w:rPr>
      </w:pPr>
    </w:p>
    <w:tbl>
      <w:tblPr>
        <w:tblLayout w:type="fixed"/>
        <w:tblInd w:w="280" w:type="dxa"/>
        <w:tblCellMar>
          <w:top w:w="0" w:type="dxa"/>
          <w:left w:w="0" w:type="dxa"/>
          <w:bottom w:w="0" w:type="dxa"/>
          <w:right w:w="0" w:type="dxa"/>
        </w:tblCellMar>
      </w:tblPr>
      <w:tr>
        <w:trPr>
          <w:trHeight w:val="252"/>
        </w:trPr>
        <w:tc>
          <w:tcPr>
            <w:tcW w:w="456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Pension Benefits</w:t>
            </w:r>
          </w:p>
        </w:tc>
        <w:tc>
          <w:tcPr>
            <w:tcW w:w="16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2700" w:type="dxa"/>
            <w:vAlign w:val="bottom"/>
            <w:tcBorders>
              <w:top w:val="single" w:sz="8" w:color="auto"/>
              <w:bottom w:val="single" w:sz="8" w:color="auto"/>
            </w:tcBorders>
            <w:gridSpan w:val="5"/>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r>
      <w:tr>
        <w:trPr>
          <w:trHeight w:val="219"/>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25"/>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Actuarial (loss) gain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4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5"/>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 of equity investee</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Amortization of actuarial losses (gains)</w:t>
            </w: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83</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3"/>
        </w:trPr>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61</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74"/>
        </w:trPr>
        <w:tc>
          <w:tcPr>
            <w:tcW w:w="4560" w:type="dxa"/>
            <w:vAlign w:val="bottom"/>
          </w:tcPr>
          <w:p>
            <w:pPr>
              <w:ind w:left="140"/>
              <w:spacing w:after="0" w:line="174" w:lineRule="exact"/>
              <w:rPr>
                <w:sz w:val="20"/>
                <w:szCs w:val="20"/>
                <w:color w:val="auto"/>
              </w:rPr>
            </w:pPr>
            <w:r>
              <w:rPr>
                <w:rFonts w:ascii="Times New Roman" w:cs="Times New Roman" w:eastAsia="Times New Roman" w:hAnsi="Times New Roman"/>
                <w:sz w:val="18"/>
                <w:szCs w:val="18"/>
                <w:color w:val="auto"/>
              </w:rPr>
              <w:t>Recognized in other comprehensive income</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37"/>
        </w:trPr>
        <w:tc>
          <w:tcPr>
            <w:tcW w:w="45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(loss), net of tax</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4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II-85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30" w:name="page131"/>
    <w:bookmarkEnd w:id="130"/>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44" w:lineRule="exact"/>
        <w:rPr>
          <w:sz w:val="20"/>
          <w:szCs w:val="20"/>
          <w:color w:val="auto"/>
        </w:rPr>
      </w:pPr>
    </w:p>
    <w:tbl>
      <w:tblPr>
        <w:tblLayout w:type="fixed"/>
        <w:tblInd w:w="280" w:type="dxa"/>
        <w:tblCellMar>
          <w:top w:w="0" w:type="dxa"/>
          <w:left w:w="0" w:type="dxa"/>
          <w:bottom w:w="0" w:type="dxa"/>
          <w:right w:w="0" w:type="dxa"/>
        </w:tblCellMar>
      </w:tblPr>
      <w:tr>
        <w:trPr>
          <w:trHeight w:val="252"/>
        </w:trPr>
        <w:tc>
          <w:tcPr>
            <w:tcW w:w="4100" w:type="dxa"/>
            <w:vAlign w:val="bottom"/>
            <w:tcBorders>
              <w:top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9"/>
              </w:rPr>
              <w:t>Pension Benefits</w:t>
            </w:r>
          </w:p>
        </w:tc>
        <w:tc>
          <w:tcPr>
            <w:tcW w:w="76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2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c>
          <w:tcPr>
            <w:tcW w:w="640" w:type="dxa"/>
            <w:vAlign w:val="bottom"/>
            <w:tcBorders>
              <w:top w:val="single" w:sz="8" w:color="auto"/>
              <w:bottom w:val="single" w:sz="8" w:color="auto"/>
            </w:tcBorders>
          </w:tcPr>
          <w:p>
            <w:pPr>
              <w:spacing w:after="0"/>
              <w:rPr>
                <w:sz w:val="21"/>
                <w:szCs w:val="21"/>
                <w:color w:val="auto"/>
              </w:rPr>
            </w:pPr>
          </w:p>
        </w:tc>
      </w:tr>
      <w:tr>
        <w:trPr>
          <w:trHeight w:val="219"/>
        </w:trPr>
        <w:tc>
          <w:tcPr>
            <w:tcW w:w="4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7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165"/>
        </w:trPr>
        <w:tc>
          <w:tcPr>
            <w:tcW w:w="4100" w:type="dxa"/>
            <w:vAlign w:val="bottom"/>
          </w:tcPr>
          <w:p>
            <w:pPr>
              <w:ind w:left="20"/>
              <w:spacing w:after="0" w:line="165" w:lineRule="exact"/>
              <w:rPr>
                <w:sz w:val="20"/>
                <w:szCs w:val="20"/>
                <w:color w:val="auto"/>
              </w:rPr>
            </w:pPr>
            <w:r>
              <w:rPr>
                <w:rFonts w:ascii="Times New Roman" w:cs="Times New Roman" w:eastAsia="Times New Roman" w:hAnsi="Times New Roman"/>
                <w:sz w:val="18"/>
                <w:szCs w:val="18"/>
                <w:b w:val="1"/>
                <w:bCs w:val="1"/>
                <w:color w:val="auto"/>
              </w:rPr>
              <w:t>Weighted average assumptions used to determine</w:t>
            </w: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3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benefit obligations at December 31:</w:t>
            </w:r>
          </w:p>
        </w:tc>
        <w:tc>
          <w:tcPr>
            <w:tcW w:w="8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25"/>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Discount rate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4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5.6 %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380" w:type="dxa"/>
            <w:vAlign w:val="bottom"/>
          </w:tcPr>
          <w:p>
            <w:pPr>
              <w:spacing w:after="0"/>
              <w:rPr>
                <w:sz w:val="19"/>
                <w:szCs w:val="19"/>
                <w:color w:val="auto"/>
              </w:rPr>
            </w:pPr>
          </w:p>
        </w:tc>
        <w:tc>
          <w:tcPr>
            <w:tcW w:w="11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6.1 %</w:t>
            </w:r>
          </w:p>
        </w:tc>
        <w:tc>
          <w:tcPr>
            <w:tcW w:w="13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5.7 %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23"/>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N/A</w:t>
            </w:r>
          </w:p>
        </w:tc>
        <w:tc>
          <w:tcPr>
            <w:tcW w:w="13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N/A</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179"/>
        </w:trPr>
        <w:tc>
          <w:tcPr>
            <w:tcW w:w="410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b w:val="1"/>
                <w:bCs w:val="1"/>
                <w:color w:val="auto"/>
                <w:w w:val="99"/>
              </w:rPr>
              <w:t>Weighted average assumptions used to determine net</w:t>
            </w:r>
          </w:p>
        </w:tc>
        <w:tc>
          <w:tcPr>
            <w:tcW w:w="8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3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periodic costs for the year ended December 31:</w:t>
            </w:r>
          </w:p>
        </w:tc>
        <w:tc>
          <w:tcPr>
            <w:tcW w:w="8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25"/>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Discount rate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4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5.9 %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380" w:type="dxa"/>
            <w:vAlign w:val="bottom"/>
          </w:tcPr>
          <w:p>
            <w:pPr>
              <w:spacing w:after="0"/>
              <w:rPr>
                <w:sz w:val="19"/>
                <w:szCs w:val="19"/>
                <w:color w:val="auto"/>
              </w:rPr>
            </w:pPr>
          </w:p>
        </w:tc>
        <w:tc>
          <w:tcPr>
            <w:tcW w:w="11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5.7 %</w:t>
            </w:r>
          </w:p>
        </w:tc>
        <w:tc>
          <w:tcPr>
            <w:tcW w:w="13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6.0 %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25"/>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Expected long-term return on plan assets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4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5.7 %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380" w:type="dxa"/>
            <w:vAlign w:val="bottom"/>
          </w:tcPr>
          <w:p>
            <w:pPr>
              <w:spacing w:after="0"/>
              <w:rPr>
                <w:sz w:val="19"/>
                <w:szCs w:val="19"/>
                <w:color w:val="auto"/>
              </w:rPr>
            </w:pPr>
          </w:p>
        </w:tc>
        <w:tc>
          <w:tcPr>
            <w:tcW w:w="11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N/A</w:t>
            </w:r>
          </w:p>
        </w:tc>
        <w:tc>
          <w:tcPr>
            <w:tcW w:w="13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N/A</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5"/>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balance interest crediting rate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4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5.0 %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380" w:type="dxa"/>
            <w:vAlign w:val="bottom"/>
          </w:tcPr>
          <w:p>
            <w:pPr>
              <w:spacing w:after="0"/>
              <w:rPr>
                <w:sz w:val="19"/>
                <w:szCs w:val="19"/>
                <w:color w:val="auto"/>
              </w:rPr>
            </w:pPr>
          </w:p>
        </w:tc>
        <w:tc>
          <w:tcPr>
            <w:tcW w:w="11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N/A</w:t>
            </w:r>
          </w:p>
        </w:tc>
        <w:tc>
          <w:tcPr>
            <w:tcW w:w="13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N/A</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7"/>
        </w:trPr>
        <w:tc>
          <w:tcPr>
            <w:tcW w:w="4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N/A</w:t>
            </w:r>
          </w:p>
        </w:tc>
        <w:tc>
          <w:tcPr>
            <w:tcW w:w="13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N/A</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N/A - not applicable</w:t>
      </w:r>
    </w:p>
    <w:p>
      <w:pPr>
        <w:spacing w:after="0" w:line="23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The discount rates are determined primarily based on the yield of a portfolio of high quality bonds, providing cash flows necessary to meet the pension plans’ expected future benefit payments, as determined for the projected benefit obligations. The expected return on plan assets assumption is derived using the current and expected asset allocation of the pension plan assets and considering historical as well as expected returns on various classes of plan assets.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additional assumptions were used in accounting for postretirement benefits.</w:t>
      </w:r>
    </w:p>
    <w:p>
      <w:pPr>
        <w:spacing w:after="0" w:line="142" w:lineRule="exact"/>
        <w:rPr>
          <w:sz w:val="20"/>
          <w:szCs w:val="20"/>
          <w:color w:val="auto"/>
        </w:rPr>
      </w:pPr>
    </w:p>
    <w:tbl>
      <w:tblPr>
        <w:tblLayout w:type="fixed"/>
        <w:tblInd w:w="1240" w:type="dxa"/>
        <w:tblCellMar>
          <w:top w:w="0" w:type="dxa"/>
          <w:left w:w="0" w:type="dxa"/>
          <w:bottom w:w="0" w:type="dxa"/>
          <w:right w:w="0" w:type="dxa"/>
        </w:tblCellMar>
      </w:tblPr>
      <w:tr>
        <w:trPr>
          <w:trHeight w:val="252"/>
        </w:trPr>
        <w:tc>
          <w:tcPr>
            <w:tcW w:w="5120" w:type="dxa"/>
            <w:vAlign w:val="bottom"/>
            <w:tcBorders>
              <w:top w:val="single" w:sz="8" w:color="auto"/>
              <w:bottom w:val="single" w:sz="8" w:color="auto"/>
            </w:tcBorders>
          </w:tcPr>
          <w:p>
            <w:pPr>
              <w:spacing w:after="0"/>
              <w:rPr>
                <w:sz w:val="21"/>
                <w:szCs w:val="21"/>
                <w:color w:val="auto"/>
              </w:rPr>
            </w:pPr>
          </w:p>
        </w:tc>
        <w:tc>
          <w:tcPr>
            <w:tcW w:w="276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Projected health care cost trend rate (pre-65)</w:t>
            </w:r>
          </w:p>
        </w:tc>
        <w:tc>
          <w:tcPr>
            <w:tcW w:w="27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7.0 %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25"/>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Projected health care cost trend rate (post-65)</w:t>
            </w:r>
          </w:p>
        </w:tc>
        <w:tc>
          <w:tcPr>
            <w:tcW w:w="27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7.0 %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25"/>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Ultimate trend rate</w:t>
            </w:r>
          </w:p>
        </w:tc>
        <w:tc>
          <w:tcPr>
            <w:tcW w:w="27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5.0 %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7"/>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 ultimate trend rate is achieved</w:t>
            </w:r>
          </w:p>
        </w:tc>
        <w:tc>
          <w:tcPr>
            <w:tcW w:w="27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2033</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w:t>
            </w: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Plan Assets</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 Paramount Global Investments Committee (the “Committee”) determines the strategy for the investment of pension plan assets. The Committee establishes target asset allocations for our pension plan trusts based upon an analysis of the timing and amount of projected benefit payments, projected company contributions, the expected returns and risk of the asset classes and the correlation of those returns. The target asset allocation for the Company’s domestic pension plans is to invest between 60% - 68% in liability hedging assets, 22% - 30% in equity securities, 4% - 10% in real estate and real assets, and the remainder in cash, cash equivalents, Paramount stock and other investments. At December 31, 2024, the trusts were invested approximately 65% in liability hedging assets, 26% in equity securities, 7% in real estate and real assets, and the remainder in cash, cash equivalents, Paramount stock and other investments. Liability hedging assets consist of a diversified portfolio of fixed income instruments that are substantially investment grade, with a duration that approximates the duration of the liabilities covered by the trust. All equity portfolios are diversified between U.S. and non-U.S. equities and include large and small capitalization equities. The asset allocations are reviewed regularly.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31" w:name="page132"/>
    <w:bookmarkEnd w:id="131"/>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The following tables set forth our pension plan assets measured at fair value on a recurring basis at December 31, 2024 and 2023. These assets have been categorized according to the three-level fair value hierarchy established by the FASB, which prioritizes the inputs used in measuring fair value. See Note 11 for a description of the levels within this hierarchy. There are no investments categorized as Level 3.</w:t>
      </w:r>
    </w:p>
    <w:p>
      <w:pPr>
        <w:spacing w:after="0" w:line="119" w:lineRule="exact"/>
        <w:rPr>
          <w:sz w:val="20"/>
          <w:szCs w:val="20"/>
          <w:color w:val="auto"/>
        </w:rPr>
      </w:pPr>
    </w:p>
    <w:tbl>
      <w:tblPr>
        <w:tblLayout w:type="fixed"/>
        <w:tblInd w:w="340" w:type="dxa"/>
        <w:tblCellMar>
          <w:top w:w="0" w:type="dxa"/>
          <w:left w:w="0" w:type="dxa"/>
          <w:bottom w:w="0" w:type="dxa"/>
          <w:right w:w="0" w:type="dxa"/>
        </w:tblCellMar>
      </w:tblPr>
      <w:tr>
        <w:trPr>
          <w:trHeight w:val="252"/>
        </w:trPr>
        <w:tc>
          <w:tcPr>
            <w:tcW w:w="5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5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0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3"/>
        </w:trPr>
        <w:tc>
          <w:tcPr>
            <w:tcW w:w="5500" w:type="dxa"/>
            <w:vAlign w:val="bottom"/>
          </w:tcPr>
          <w:p>
            <w:pPr>
              <w:ind w:left="20"/>
              <w:spacing w:after="0" w:line="213"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2"/>
                <w:szCs w:val="22"/>
                <w:color w:val="auto"/>
                <w:vertAlign w:val="superscript"/>
              </w:rPr>
              <w:t>(a)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5"/>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5"/>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150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140</w:t>
            </w:r>
          </w:p>
        </w:tc>
        <w:tc>
          <w:tcPr>
            <w:tcW w:w="400" w:type="dxa"/>
            <w:vAlign w:val="bottom"/>
          </w:tcPr>
          <w:p>
            <w:pPr>
              <w:spacing w:after="0"/>
              <w:rPr>
                <w:sz w:val="19"/>
                <w:szCs w:val="19"/>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5"/>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Government-related securities</w:t>
            </w:r>
          </w:p>
        </w:tc>
        <w:tc>
          <w:tcPr>
            <w:tcW w:w="150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5"/>
        </w:trPr>
        <w:tc>
          <w:tcPr>
            <w:tcW w:w="5500" w:type="dxa"/>
            <w:vAlign w:val="bottom"/>
          </w:tcPr>
          <w:p>
            <w:pPr>
              <w:ind w:left="140"/>
              <w:spacing w:after="0" w:line="225" w:lineRule="exact"/>
              <w:rPr>
                <w:sz w:val="20"/>
                <w:szCs w:val="20"/>
                <w:color w:val="auto"/>
              </w:rPr>
            </w:pPr>
            <w:r>
              <w:rPr>
                <w:rFonts w:ascii="Times New Roman" w:cs="Times New Roman" w:eastAsia="Times New Roman" w:hAnsi="Times New Roman"/>
                <w:sz w:val="18"/>
                <w:szCs w:val="18"/>
                <w:color w:val="auto"/>
              </w:rPr>
              <w:t xml:space="preserve">Corporate bonds </w:t>
            </w:r>
            <w:r>
              <w:rPr>
                <w:rFonts w:ascii="Times New Roman" w:cs="Times New Roman" w:eastAsia="Times New Roman" w:hAnsi="Times New Roman"/>
                <w:sz w:val="22"/>
                <w:szCs w:val="22"/>
                <w:color w:val="auto"/>
                <w:vertAlign w:val="superscript"/>
              </w:rPr>
              <w:t>(b)</w:t>
            </w:r>
          </w:p>
        </w:tc>
        <w:tc>
          <w:tcPr>
            <w:tcW w:w="150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1,138</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r>
      <w:tr>
        <w:trPr>
          <w:trHeight w:val="225"/>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Mortgage-backed and asset-backed securities</w:t>
            </w:r>
          </w:p>
        </w:tc>
        <w:tc>
          <w:tcPr>
            <w:tcW w:w="150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5"/>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5"/>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large capitalization</w:t>
            </w:r>
          </w:p>
        </w:tc>
        <w:tc>
          <w:tcPr>
            <w:tcW w:w="150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43</w:t>
            </w:r>
          </w:p>
        </w:tc>
        <w:tc>
          <w:tcPr>
            <w:tcW w:w="400" w:type="dxa"/>
            <w:vAlign w:val="bottom"/>
          </w:tcPr>
          <w:p>
            <w:pPr>
              <w:spacing w:after="0"/>
              <w:rPr>
                <w:sz w:val="19"/>
                <w:szCs w:val="19"/>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5"/>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small capitalization</w:t>
            </w:r>
          </w:p>
        </w:tc>
        <w:tc>
          <w:tcPr>
            <w:tcW w:w="150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67</w:t>
            </w:r>
          </w:p>
        </w:tc>
        <w:tc>
          <w:tcPr>
            <w:tcW w:w="400" w:type="dxa"/>
            <w:vAlign w:val="bottom"/>
          </w:tcPr>
          <w:p>
            <w:pPr>
              <w:spacing w:after="0"/>
              <w:rPr>
                <w:sz w:val="19"/>
                <w:szCs w:val="19"/>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5"/>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Non-U.S. large capitalization</w:t>
            </w:r>
          </w:p>
        </w:tc>
        <w:tc>
          <w:tcPr>
            <w:tcW w:w="150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25</w:t>
            </w:r>
          </w:p>
        </w:tc>
        <w:tc>
          <w:tcPr>
            <w:tcW w:w="400" w:type="dxa"/>
            <w:vAlign w:val="bottom"/>
          </w:tcPr>
          <w:p>
            <w:pPr>
              <w:spacing w:after="0"/>
              <w:rPr>
                <w:sz w:val="19"/>
                <w:szCs w:val="19"/>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5"/>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Non-U.S. small capitalization</w:t>
            </w:r>
          </w:p>
        </w:tc>
        <w:tc>
          <w:tcPr>
            <w:tcW w:w="150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19"/>
                <w:szCs w:val="19"/>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Exchange Traded Fund (ETF)</w:t>
            </w:r>
          </w:p>
        </w:tc>
        <w:tc>
          <w:tcPr>
            <w:tcW w:w="150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32</w:t>
            </w:r>
          </w:p>
        </w:tc>
        <w:tc>
          <w:tcPr>
            <w:tcW w:w="400" w:type="dxa"/>
            <w:vAlign w:val="bottom"/>
          </w:tcPr>
          <w:p>
            <w:pPr>
              <w:spacing w:after="0"/>
              <w:rPr>
                <w:sz w:val="19"/>
                <w:szCs w:val="19"/>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in fair value hierarchy</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309</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1,359</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r>
      <w:tr>
        <w:trPr>
          <w:trHeight w:val="225"/>
        </w:trPr>
        <w:tc>
          <w:tcPr>
            <w:tcW w:w="550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Common collective funds measured at net asset value </w:t>
            </w:r>
            <w:r>
              <w:rPr>
                <w:rFonts w:ascii="Times New Roman" w:cs="Times New Roman" w:eastAsia="Times New Roman" w:hAnsi="Times New Roman"/>
                <w:sz w:val="22"/>
                <w:szCs w:val="22"/>
                <w:color w:val="auto"/>
                <w:vertAlign w:val="superscript"/>
              </w:rPr>
              <w:t>(c) (d)</w:t>
            </w: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25"/>
        </w:trPr>
        <w:tc>
          <w:tcPr>
            <w:tcW w:w="550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Limited partnerships measured at net asset value </w:t>
            </w:r>
            <w:r>
              <w:rPr>
                <w:rFonts w:ascii="Times New Roman" w:cs="Times New Roman" w:eastAsia="Times New Roman" w:hAnsi="Times New Roman"/>
                <w:sz w:val="22"/>
                <w:szCs w:val="22"/>
                <w:color w:val="auto"/>
                <w:vertAlign w:val="superscript"/>
              </w:rPr>
              <w:t>(c)</w:t>
            </w: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55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Mutual funds measured at net asset value </w:t>
            </w:r>
            <w:r>
              <w:rPr>
                <w:rFonts w:ascii="Times New Roman" w:cs="Times New Roman" w:eastAsia="Times New Roman" w:hAnsi="Times New Roman"/>
                <w:sz w:val="22"/>
                <w:szCs w:val="22"/>
                <w:color w:val="auto"/>
                <w:vertAlign w:val="superscript"/>
              </w:rPr>
              <w:t>(c)</w:t>
            </w:r>
          </w:p>
        </w:tc>
        <w:tc>
          <w:tcPr>
            <w:tcW w:w="1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5"/>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at fair value</w:t>
            </w:r>
          </w:p>
        </w:tc>
        <w:tc>
          <w:tcPr>
            <w:tcW w:w="1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32" w:name="page133"/>
    <w:bookmarkEnd w:id="132"/>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44" w:lineRule="exact"/>
        <w:rPr>
          <w:sz w:val="20"/>
          <w:szCs w:val="20"/>
          <w:color w:val="auto"/>
        </w:rPr>
      </w:pPr>
    </w:p>
    <w:tbl>
      <w:tblPr>
        <w:tblLayout w:type="fixed"/>
        <w:tblInd w:w="340" w:type="dxa"/>
        <w:tblCellMar>
          <w:top w:w="0" w:type="dxa"/>
          <w:left w:w="0" w:type="dxa"/>
          <w:bottom w:w="0" w:type="dxa"/>
          <w:right w:w="0" w:type="dxa"/>
        </w:tblCellMar>
      </w:tblPr>
      <w:tr>
        <w:trPr>
          <w:trHeight w:val="252"/>
        </w:trPr>
        <w:tc>
          <w:tcPr>
            <w:tcW w:w="5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15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0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3"/>
        </w:trPr>
        <w:tc>
          <w:tcPr>
            <w:tcW w:w="5500" w:type="dxa"/>
            <w:vAlign w:val="bottom"/>
          </w:tcPr>
          <w:p>
            <w:pPr>
              <w:ind w:left="20"/>
              <w:spacing w:after="0" w:line="213"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2"/>
                <w:szCs w:val="22"/>
                <w:color w:val="auto"/>
                <w:vertAlign w:val="superscript"/>
              </w:rPr>
              <w:t>(a)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5"/>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5"/>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150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107</w:t>
            </w:r>
          </w:p>
        </w:tc>
        <w:tc>
          <w:tcPr>
            <w:tcW w:w="400" w:type="dxa"/>
            <w:vAlign w:val="bottom"/>
          </w:tcPr>
          <w:p>
            <w:pPr>
              <w:spacing w:after="0"/>
              <w:rPr>
                <w:sz w:val="19"/>
                <w:szCs w:val="19"/>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2"/>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Government-related securities</w:t>
            </w:r>
          </w:p>
        </w:tc>
        <w:tc>
          <w:tcPr>
            <w:tcW w:w="150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8"/>
        </w:trPr>
        <w:tc>
          <w:tcPr>
            <w:tcW w:w="5500" w:type="dxa"/>
            <w:vAlign w:val="bottom"/>
          </w:tcPr>
          <w:p>
            <w:pPr>
              <w:ind w:left="140"/>
              <w:spacing w:after="0" w:line="228" w:lineRule="exact"/>
              <w:rPr>
                <w:sz w:val="20"/>
                <w:szCs w:val="20"/>
                <w:color w:val="auto"/>
              </w:rPr>
            </w:pPr>
            <w:r>
              <w:rPr>
                <w:rFonts w:ascii="Times New Roman" w:cs="Times New Roman" w:eastAsia="Times New Roman" w:hAnsi="Times New Roman"/>
                <w:sz w:val="18"/>
                <w:szCs w:val="18"/>
                <w:color w:val="auto"/>
              </w:rPr>
              <w:t xml:space="preserve">Corporate bonds </w:t>
            </w:r>
            <w:r>
              <w:rPr>
                <w:rFonts w:ascii="Times New Roman" w:cs="Times New Roman" w:eastAsia="Times New Roman" w:hAnsi="Times New Roman"/>
                <w:sz w:val="22"/>
                <w:szCs w:val="22"/>
                <w:color w:val="auto"/>
                <w:vertAlign w:val="superscript"/>
              </w:rPr>
              <w:t>(b)</w:t>
            </w:r>
          </w:p>
        </w:tc>
        <w:tc>
          <w:tcPr>
            <w:tcW w:w="150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1,164</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r>
      <w:tr>
        <w:trPr>
          <w:trHeight w:val="225"/>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Mortgage-backed and asset-backed securities</w:t>
            </w:r>
          </w:p>
        </w:tc>
        <w:tc>
          <w:tcPr>
            <w:tcW w:w="150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5"/>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5"/>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large capitalization</w:t>
            </w:r>
          </w:p>
        </w:tc>
        <w:tc>
          <w:tcPr>
            <w:tcW w:w="150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89</w:t>
            </w:r>
          </w:p>
        </w:tc>
        <w:tc>
          <w:tcPr>
            <w:tcW w:w="400" w:type="dxa"/>
            <w:vAlign w:val="bottom"/>
          </w:tcPr>
          <w:p>
            <w:pPr>
              <w:spacing w:after="0"/>
              <w:rPr>
                <w:sz w:val="19"/>
                <w:szCs w:val="19"/>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5"/>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small capitalization</w:t>
            </w:r>
          </w:p>
        </w:tc>
        <w:tc>
          <w:tcPr>
            <w:tcW w:w="150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18</w:t>
            </w:r>
          </w:p>
        </w:tc>
        <w:tc>
          <w:tcPr>
            <w:tcW w:w="400" w:type="dxa"/>
            <w:vAlign w:val="bottom"/>
          </w:tcPr>
          <w:p>
            <w:pPr>
              <w:spacing w:after="0"/>
              <w:rPr>
                <w:sz w:val="19"/>
                <w:szCs w:val="19"/>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5"/>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Exchange Traded Fund (ETF)</w:t>
            </w:r>
          </w:p>
        </w:tc>
        <w:tc>
          <w:tcPr>
            <w:tcW w:w="150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27</w:t>
            </w:r>
          </w:p>
        </w:tc>
        <w:tc>
          <w:tcPr>
            <w:tcW w:w="400" w:type="dxa"/>
            <w:vAlign w:val="bottom"/>
          </w:tcPr>
          <w:p>
            <w:pPr>
              <w:spacing w:after="0"/>
              <w:rPr>
                <w:sz w:val="19"/>
                <w:szCs w:val="19"/>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in fair value hierarchy</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241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1,498</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r>
      <w:tr>
        <w:trPr>
          <w:trHeight w:val="225"/>
        </w:trPr>
        <w:tc>
          <w:tcPr>
            <w:tcW w:w="550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Common collective funds measured at net asset value </w:t>
            </w:r>
            <w:r>
              <w:rPr>
                <w:rFonts w:ascii="Times New Roman" w:cs="Times New Roman" w:eastAsia="Times New Roman" w:hAnsi="Times New Roman"/>
                <w:sz w:val="22"/>
                <w:szCs w:val="22"/>
                <w:color w:val="auto"/>
                <w:vertAlign w:val="superscript"/>
              </w:rPr>
              <w:t>(c) (d)</w:t>
            </w: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25"/>
        </w:trPr>
        <w:tc>
          <w:tcPr>
            <w:tcW w:w="550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Limited partnerships measured at net asset value </w:t>
            </w:r>
            <w:r>
              <w:rPr>
                <w:rFonts w:ascii="Times New Roman" w:cs="Times New Roman" w:eastAsia="Times New Roman" w:hAnsi="Times New Roman"/>
                <w:sz w:val="22"/>
                <w:szCs w:val="22"/>
                <w:color w:val="auto"/>
                <w:vertAlign w:val="superscript"/>
              </w:rPr>
              <w:t>(c)</w:t>
            </w: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3"/>
        </w:trPr>
        <w:tc>
          <w:tcPr>
            <w:tcW w:w="5500" w:type="dxa"/>
            <w:vAlign w:val="bottom"/>
          </w:tcPr>
          <w:p>
            <w:pPr>
              <w:ind w:left="20"/>
              <w:spacing w:after="0" w:line="233" w:lineRule="exact"/>
              <w:rPr>
                <w:sz w:val="20"/>
                <w:szCs w:val="20"/>
                <w:color w:val="auto"/>
              </w:rPr>
            </w:pPr>
            <w:r>
              <w:rPr>
                <w:rFonts w:ascii="Times New Roman" w:cs="Times New Roman" w:eastAsia="Times New Roman" w:hAnsi="Times New Roman"/>
                <w:sz w:val="18"/>
                <w:szCs w:val="18"/>
                <w:color w:val="auto"/>
              </w:rPr>
              <w:t xml:space="preserve">Mutual funds measured at net asset value </w:t>
            </w:r>
            <w:r>
              <w:rPr>
                <w:rFonts w:ascii="Times New Roman" w:cs="Times New Roman" w:eastAsia="Times New Roman" w:hAnsi="Times New Roman"/>
                <w:sz w:val="22"/>
                <w:szCs w:val="22"/>
                <w:color w:val="auto"/>
                <w:vertAlign w:val="superscript"/>
              </w:rPr>
              <w:t>(c)</w:t>
            </w:r>
          </w:p>
        </w:tc>
        <w:tc>
          <w:tcPr>
            <w:tcW w:w="1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5"/>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at fair value</w:t>
            </w:r>
          </w:p>
        </w:tc>
        <w:tc>
          <w:tcPr>
            <w:tcW w:w="1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w:t>
            </w:r>
          </w:p>
        </w:tc>
      </w:tr>
    </w:tbl>
    <w:p>
      <w:pPr>
        <w:spacing w:after="0" w:line="145" w:lineRule="exact"/>
        <w:rPr>
          <w:sz w:val="20"/>
          <w:szCs w:val="20"/>
          <w:color w:val="auto"/>
        </w:rPr>
      </w:pPr>
    </w:p>
    <w:p>
      <w:pPr>
        <w:ind w:left="560" w:right="320" w:hanging="236"/>
        <w:spacing w:after="0" w:line="272" w:lineRule="auto"/>
        <w:tabs>
          <w:tab w:leader="none" w:pos="623"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Assets categorized as Level 2 reflect investments in money market funds. Negative cash at December 31, 2024 includes $60 million of pending trades for investments purchased and sold.</w:t>
      </w:r>
    </w:p>
    <w:p>
      <w:pPr>
        <w:spacing w:after="0" w:line="20" w:lineRule="exact"/>
        <w:rPr>
          <w:rFonts w:ascii="Times New Roman" w:cs="Times New Roman" w:eastAsia="Times New Roman" w:hAnsi="Times New Roman"/>
          <w:sz w:val="16"/>
          <w:szCs w:val="16"/>
          <w:color w:val="auto"/>
        </w:rPr>
      </w:pPr>
    </w:p>
    <w:p>
      <w:pPr>
        <w:ind w:left="580" w:hanging="256"/>
        <w:spacing w:after="0"/>
        <w:tabs>
          <w:tab w:leader="none" w:pos="5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of diverse sectors and industries, substantially all investment grade.</w:t>
      </w:r>
    </w:p>
    <w:p>
      <w:pPr>
        <w:spacing w:after="0" w:line="54" w:lineRule="exact"/>
        <w:rPr>
          <w:rFonts w:ascii="Times New Roman" w:cs="Times New Roman" w:eastAsia="Times New Roman" w:hAnsi="Times New Roman"/>
          <w:sz w:val="16"/>
          <w:szCs w:val="16"/>
          <w:color w:val="auto"/>
        </w:rPr>
      </w:pPr>
    </w:p>
    <w:p>
      <w:pPr>
        <w:ind w:left="560" w:right="320" w:hanging="236"/>
        <w:spacing w:after="0" w:line="285" w:lineRule="auto"/>
        <w:tabs>
          <w:tab w:leader="none" w:pos="581"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FASB guidance, investments that are measured at fair value using the net asset value per share (or its equivalent) as a practical expedient have not been classified in the fair value hierarchy.</w:t>
      </w:r>
    </w:p>
    <w:p>
      <w:pPr>
        <w:ind w:left="580" w:hanging="256"/>
        <w:spacing w:after="0"/>
        <w:tabs>
          <w:tab w:leader="none" w:pos="5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Underlying investments consist mainly of U.S. large capitalization and international equity securities.</w:t>
      </w:r>
    </w:p>
    <w:p>
      <w:pPr>
        <w:spacing w:after="0" w:line="2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Money market investments are carried at amortized cost, which approximates fair value due to the short-term maturity of these investments. Investments in equity securities are reported at fair value based on quoted market prices on national security exchanges. The fair value of investments in common collective funds and mutual funds is determined using the net asset value (“NAV”) provided by the administrator of the fund as a practical expedient. The NAV is determined by each fund’s trustee based upon the fair value of the underlying assets owned by the fund, less liabilities, divided by the number of outstanding units. The fair value of U.S. treasury securities is determined based on quoted market prices in active markets. The fair value of government-related securities and corporate bonds is determined based on quoted market prices on national security exchanges, when available, or using valuation models which incorporate certain other observable inputs, including recent trading activity for comparable securities and broker quoted prices. The fair value of mortgage-backed and asset-backed securities is based upon valuation models which incorporate available dealer quotes, projected cash flows and market information. The fair value of limited partnerships has been estimated using the NAV of the ownership interest. The NAV is determined using quarterly financial statements issued by the partnership, which determine the value based on the fair value of the underlying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33" w:name="page134"/>
    <w:bookmarkEnd w:id="133"/>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Future Benefit Payments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Estimated future benefit payments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2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2027</w:t>
            </w:r>
          </w:p>
        </w:tc>
        <w:tc>
          <w:tcPr>
            <w:tcW w:w="3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2028</w:t>
            </w:r>
          </w:p>
        </w:tc>
        <w:tc>
          <w:tcPr>
            <w:tcW w:w="36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2029</w:t>
            </w: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2030-2034</w:t>
            </w: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318</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317</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309</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309</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298</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r>
      <w:tr>
        <w:trPr>
          <w:trHeight w:val="225"/>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28</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7"/>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Retiree Medicare drug subsidy</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20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In 2025, we expect to make $124 million in contributions to our qualified pension plans to satisfy minimum funding requirements and to maintain at least an 80% funding threshold under ERISA and $75 million to our non-qualified pension plans to satisfy benefit payments due under these plans. Also in 2025, we expect to contribute approximately $28 million to our other postretirement benefit plans to satisfy our portion of benefit payments due under these plans.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Multiemployer Pension and Postretirement Benefit Plans</w:t>
      </w:r>
    </w:p>
    <w:p>
      <w:pPr>
        <w:spacing w:after="0" w:line="15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We contribute to a number of multiemployer defined benefit pension plans under the terms of collective bargaining agreements that cover our union-represented employees, including talent, writers, directors, producers and other employees, primarily in the entertainment industry. The other employers participating in these multiemployer plans are primarily in the entertainment and other related industries. The risks of participating in multiemployer plans are different from single-employer plans as assets contributed to the multiemployer plan by one employer may be used to provide benefits to employees of other participating employers and if a participating employer stops contributing to the plan, the unfunded obligations of the plan may be borne by the remaining participating employers. In addition, if we choose to stop participating in some of its multiemployer plans we may be required to pay those plans a withdrawal liability based on the underfunded status of the plan. We recognize the net periodic cost for multiemployer pension and postretirement benefit plans based on the required contributions to the plans.</w:t>
      </w:r>
    </w:p>
    <w:p>
      <w:pPr>
        <w:spacing w:after="0" w:line="16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The financial health of a multiemployer plan is indicated by the zone status, as defined by the Pension Protection Act of 2006. Plans in the red zone are in critical status; those in the yellow zone are in endangered status; and those in the green zone are neither critical nor endangered.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34" w:name="page135"/>
    <w:bookmarkEnd w:id="134"/>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table below presents information concerning our participation in multiemployer defined benefit 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94615</wp:posOffset>
            </wp:positionV>
            <wp:extent cx="71348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2240" w:type="dxa"/>
            <w:vAlign w:val="bottom"/>
            <w:vMerge w:val="restart"/>
          </w:tcPr>
          <w:p>
            <w:pPr>
              <w:jc w:val="center"/>
              <w:ind w:left="517"/>
              <w:spacing w:after="0"/>
              <w:rPr>
                <w:sz w:val="20"/>
                <w:szCs w:val="20"/>
                <w:color w:val="auto"/>
              </w:rPr>
            </w:pPr>
            <w:r>
              <w:rPr>
                <w:rFonts w:ascii="Times New Roman" w:cs="Times New Roman" w:eastAsia="Times New Roman" w:hAnsi="Times New Roman"/>
                <w:sz w:val="16"/>
                <w:szCs w:val="16"/>
                <w:b w:val="1"/>
                <w:bCs w:val="1"/>
                <w:color w:val="auto"/>
              </w:rPr>
              <w:t>Employer</w:t>
            </w:r>
          </w:p>
        </w:tc>
        <w:tc>
          <w:tcPr>
            <w:tcW w:w="100" w:type="dxa"/>
            <w:vAlign w:val="bottom"/>
          </w:tcPr>
          <w:p>
            <w:pPr>
              <w:spacing w:after="0"/>
              <w:rPr>
                <w:sz w:val="16"/>
                <w:szCs w:val="16"/>
                <w:color w:val="auto"/>
              </w:rPr>
            </w:pPr>
          </w:p>
        </w:tc>
        <w:tc>
          <w:tcPr>
            <w:tcW w:w="16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Pension</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20" w:type="dxa"/>
            <w:vAlign w:val="bottom"/>
            <w:vMerge w:val="restart"/>
          </w:tcPr>
          <w:p>
            <w:pPr>
              <w:jc w:val="center"/>
              <w:ind w:left="17"/>
              <w:spacing w:after="0"/>
              <w:rPr>
                <w:sz w:val="20"/>
                <w:szCs w:val="20"/>
                <w:color w:val="auto"/>
              </w:rPr>
            </w:pPr>
            <w:r>
              <w:rPr>
                <w:rFonts w:ascii="Times New Roman" w:cs="Times New Roman" w:eastAsia="Times New Roman" w:hAnsi="Times New Roman"/>
                <w:sz w:val="16"/>
                <w:szCs w:val="16"/>
                <w:b w:val="1"/>
                <w:bCs w:val="1"/>
                <w:color w:val="auto"/>
              </w:rPr>
              <w:t>Expiration Date</w:t>
            </w:r>
          </w:p>
        </w:tc>
        <w:tc>
          <w:tcPr>
            <w:tcW w:w="0" w:type="dxa"/>
            <w:vAlign w:val="bottom"/>
          </w:tcPr>
          <w:p>
            <w:pPr>
              <w:spacing w:after="0"/>
              <w:rPr>
                <w:sz w:val="1"/>
                <w:szCs w:val="1"/>
                <w:color w:val="auto"/>
              </w:rPr>
            </w:pPr>
          </w:p>
        </w:tc>
      </w:tr>
      <w:tr>
        <w:trPr>
          <w:trHeight w:val="159"/>
        </w:trPr>
        <w:tc>
          <w:tcPr>
            <w:tcW w:w="3780" w:type="dxa"/>
            <w:vAlign w:val="bottom"/>
          </w:tcPr>
          <w:p>
            <w:pPr>
              <w:spacing w:after="0"/>
              <w:rPr>
                <w:sz w:val="13"/>
                <w:szCs w:val="13"/>
                <w:color w:val="auto"/>
              </w:rPr>
            </w:pPr>
          </w:p>
        </w:tc>
        <w:tc>
          <w:tcPr>
            <w:tcW w:w="22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3"/>
          </w:tcPr>
          <w:p>
            <w:pPr>
              <w:jc w:val="center"/>
              <w:ind w:right="140"/>
              <w:spacing w:after="0" w:line="159" w:lineRule="exact"/>
              <w:rPr>
                <w:sz w:val="20"/>
                <w:szCs w:val="20"/>
                <w:color w:val="auto"/>
              </w:rPr>
            </w:pPr>
            <w:r>
              <w:rPr>
                <w:rFonts w:ascii="Times New Roman" w:cs="Times New Roman" w:eastAsia="Times New Roman" w:hAnsi="Times New Roman"/>
                <w:sz w:val="16"/>
                <w:szCs w:val="16"/>
                <w:b w:val="1"/>
                <w:bCs w:val="1"/>
                <w:color w:val="auto"/>
                <w:w w:val="98"/>
              </w:rPr>
              <w:t>Protection Act</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2240" w:type="dxa"/>
            <w:vAlign w:val="bottom"/>
          </w:tcPr>
          <w:p>
            <w:pPr>
              <w:jc w:val="center"/>
              <w:ind w:left="517"/>
              <w:spacing w:after="0" w:line="120" w:lineRule="exact"/>
              <w:rPr>
                <w:sz w:val="20"/>
                <w:szCs w:val="20"/>
                <w:color w:val="auto"/>
              </w:rPr>
            </w:pPr>
            <w:r>
              <w:rPr>
                <w:rFonts w:ascii="Times New Roman" w:cs="Times New Roman" w:eastAsia="Times New Roman" w:hAnsi="Times New Roman"/>
                <w:sz w:val="12"/>
                <w:szCs w:val="12"/>
                <w:b w:val="1"/>
                <w:bCs w:val="1"/>
                <w:color w:val="auto"/>
              </w:rPr>
              <w:t>Identification</w:t>
            </w:r>
          </w:p>
        </w:tc>
        <w:tc>
          <w:tcPr>
            <w:tcW w:w="100" w:type="dxa"/>
            <w:vAlign w:val="bottom"/>
          </w:tcPr>
          <w:p>
            <w:pPr>
              <w:spacing w:after="0"/>
              <w:rPr>
                <w:sz w:val="10"/>
                <w:szCs w:val="10"/>
                <w:color w:val="auto"/>
              </w:rPr>
            </w:pPr>
          </w:p>
        </w:tc>
        <w:tc>
          <w:tcPr>
            <w:tcW w:w="14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 xml:space="preserve">Zone Status </w:t>
            </w:r>
            <w:r>
              <w:rPr>
                <w:rFonts w:ascii="Times New Roman" w:cs="Times New Roman" w:eastAsia="Times New Roman" w:hAnsi="Times New Roman"/>
                <w:sz w:val="20"/>
                <w:szCs w:val="20"/>
                <w:b w:val="1"/>
                <w:bCs w:val="1"/>
                <w:color w:val="auto"/>
                <w:w w:val="95"/>
                <w:vertAlign w:val="superscript"/>
              </w:rPr>
              <w:t>(a)</w:t>
            </w:r>
          </w:p>
        </w:tc>
        <w:tc>
          <w:tcPr>
            <w:tcW w:w="14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2060" w:type="dxa"/>
            <w:vAlign w:val="bottom"/>
            <w:gridSpan w:val="7"/>
            <w:vMerge w:val="restart"/>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Company Contributions</w:t>
            </w:r>
          </w:p>
        </w:tc>
        <w:tc>
          <w:tcPr>
            <w:tcW w:w="1320" w:type="dxa"/>
            <w:vAlign w:val="bottom"/>
          </w:tcPr>
          <w:p>
            <w:pPr>
              <w:jc w:val="center"/>
              <w:ind w:left="37"/>
              <w:spacing w:after="0" w:line="120" w:lineRule="exact"/>
              <w:rPr>
                <w:sz w:val="20"/>
                <w:szCs w:val="20"/>
                <w:color w:val="auto"/>
              </w:rPr>
            </w:pPr>
            <w:r>
              <w:rPr>
                <w:rFonts w:ascii="Times New Roman" w:cs="Times New Roman" w:eastAsia="Times New Roman" w:hAnsi="Times New Roman"/>
                <w:sz w:val="12"/>
                <w:szCs w:val="12"/>
                <w:b w:val="1"/>
                <w:bCs w:val="1"/>
                <w:color w:val="auto"/>
              </w:rPr>
              <w:t>of Collective</w:t>
            </w:r>
          </w:p>
        </w:tc>
        <w:tc>
          <w:tcPr>
            <w:tcW w:w="0" w:type="dxa"/>
            <w:vAlign w:val="bottom"/>
          </w:tcPr>
          <w:p>
            <w:pPr>
              <w:spacing w:after="0"/>
              <w:rPr>
                <w:sz w:val="1"/>
                <w:szCs w:val="1"/>
                <w:color w:val="auto"/>
              </w:rPr>
            </w:pPr>
          </w:p>
        </w:tc>
      </w:tr>
      <w:tr>
        <w:trPr>
          <w:trHeight w:val="146"/>
        </w:trPr>
        <w:tc>
          <w:tcPr>
            <w:tcW w:w="3780" w:type="dxa"/>
            <w:vAlign w:val="bottom"/>
          </w:tcPr>
          <w:p>
            <w:pPr>
              <w:spacing w:after="0"/>
              <w:rPr>
                <w:sz w:val="12"/>
                <w:szCs w:val="12"/>
                <w:color w:val="auto"/>
              </w:rPr>
            </w:pPr>
          </w:p>
        </w:tc>
        <w:tc>
          <w:tcPr>
            <w:tcW w:w="2240" w:type="dxa"/>
            <w:vAlign w:val="bottom"/>
          </w:tcPr>
          <w:p>
            <w:pPr>
              <w:jc w:val="center"/>
              <w:ind w:left="517"/>
              <w:spacing w:after="0" w:line="139" w:lineRule="exact"/>
              <w:rPr>
                <w:sz w:val="20"/>
                <w:szCs w:val="20"/>
                <w:color w:val="auto"/>
              </w:rPr>
            </w:pPr>
            <w:r>
              <w:rPr>
                <w:rFonts w:ascii="Times New Roman" w:cs="Times New Roman" w:eastAsia="Times New Roman" w:hAnsi="Times New Roman"/>
                <w:sz w:val="16"/>
                <w:szCs w:val="16"/>
                <w:b w:val="1"/>
                <w:bCs w:val="1"/>
                <w:color w:val="auto"/>
                <w:w w:val="98"/>
              </w:rPr>
              <w:t>Number/Pension Plan</w:t>
            </w:r>
          </w:p>
        </w:tc>
        <w:tc>
          <w:tcPr>
            <w:tcW w:w="100" w:type="dxa"/>
            <w:vAlign w:val="bottom"/>
          </w:tcPr>
          <w:p>
            <w:pPr>
              <w:spacing w:after="0"/>
              <w:rPr>
                <w:sz w:val="12"/>
                <w:szCs w:val="12"/>
                <w:color w:val="auto"/>
              </w:rPr>
            </w:pPr>
          </w:p>
        </w:tc>
        <w:tc>
          <w:tcPr>
            <w:tcW w:w="1460" w:type="dxa"/>
            <w:vAlign w:val="bottom"/>
            <w:tcBorders>
              <w:bottom w:val="single" w:sz="8" w:color="auto"/>
            </w:tcBorders>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7"/>
            <w:vMerge w:val="continue"/>
          </w:tcPr>
          <w:p>
            <w:pPr>
              <w:spacing w:after="0"/>
              <w:rPr>
                <w:sz w:val="12"/>
                <w:szCs w:val="12"/>
                <w:color w:val="auto"/>
              </w:rPr>
            </w:pPr>
          </w:p>
        </w:tc>
        <w:tc>
          <w:tcPr>
            <w:tcW w:w="1320" w:type="dxa"/>
            <w:vAlign w:val="bottom"/>
          </w:tcPr>
          <w:p>
            <w:pPr>
              <w:jc w:val="center"/>
              <w:ind w:left="37"/>
              <w:spacing w:after="0" w:line="139" w:lineRule="exact"/>
              <w:rPr>
                <w:sz w:val="20"/>
                <w:szCs w:val="20"/>
                <w:color w:val="auto"/>
              </w:rPr>
            </w:pPr>
            <w:r>
              <w:rPr>
                <w:rFonts w:ascii="Times New Roman" w:cs="Times New Roman" w:eastAsia="Times New Roman" w:hAnsi="Times New Roman"/>
                <w:sz w:val="16"/>
                <w:szCs w:val="16"/>
                <w:b w:val="1"/>
                <w:bCs w:val="1"/>
                <w:color w:val="auto"/>
                <w:w w:val="99"/>
              </w:rPr>
              <w:t>Bargaining</w:t>
            </w:r>
          </w:p>
        </w:tc>
        <w:tc>
          <w:tcPr>
            <w:tcW w:w="0" w:type="dxa"/>
            <w:vAlign w:val="bottom"/>
          </w:tcPr>
          <w:p>
            <w:pPr>
              <w:spacing w:after="0"/>
              <w:rPr>
                <w:sz w:val="1"/>
                <w:szCs w:val="1"/>
                <w:color w:val="auto"/>
              </w:rPr>
            </w:pPr>
          </w:p>
        </w:tc>
      </w:tr>
      <w:tr>
        <w:trPr>
          <w:trHeight w:val="204"/>
        </w:trPr>
        <w:tc>
          <w:tcPr>
            <w:tcW w:w="378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6"/>
                <w:szCs w:val="16"/>
                <w:b w:val="1"/>
                <w:bCs w:val="1"/>
                <w:color w:val="auto"/>
              </w:rPr>
              <w:t>Pension Plan</w:t>
            </w:r>
          </w:p>
        </w:tc>
        <w:tc>
          <w:tcPr>
            <w:tcW w:w="2240" w:type="dxa"/>
            <w:vAlign w:val="bottom"/>
            <w:tcBorders>
              <w:bottom w:val="single" w:sz="8" w:color="auto"/>
            </w:tcBorders>
          </w:tcPr>
          <w:p>
            <w:pPr>
              <w:jc w:val="center"/>
              <w:ind w:left="517"/>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820" w:type="dxa"/>
            <w:vAlign w:val="bottom"/>
            <w:tcBorders>
              <w:bottom w:val="single" w:sz="8" w:color="auto"/>
            </w:tcBorders>
            <w:gridSpan w:val="2"/>
          </w:tcPr>
          <w:p>
            <w:pPr>
              <w:jc w:val="center"/>
              <w:ind w:left="16"/>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320" w:type="dxa"/>
            <w:vAlign w:val="bottom"/>
            <w:tcBorders>
              <w:bottom w:val="single" w:sz="8" w:color="auto"/>
            </w:tcBorders>
          </w:tcPr>
          <w:p>
            <w:pPr>
              <w:jc w:val="center"/>
              <w:ind w:left="17"/>
              <w:spacing w:after="0"/>
              <w:rPr>
                <w:sz w:val="20"/>
                <w:szCs w:val="20"/>
                <w:color w:val="auto"/>
              </w:rPr>
            </w:pPr>
            <w:r>
              <w:rPr>
                <w:rFonts w:ascii="Times New Roman" w:cs="Times New Roman" w:eastAsia="Times New Roman" w:hAnsi="Times New Roman"/>
                <w:sz w:val="16"/>
                <w:szCs w:val="16"/>
                <w:b w:val="1"/>
                <w:bCs w:val="1"/>
                <w:color w:val="auto"/>
                <w:w w:val="97"/>
              </w:rPr>
              <w:t>Agreement</w:t>
            </w:r>
          </w:p>
        </w:tc>
        <w:tc>
          <w:tcPr>
            <w:tcW w:w="0" w:type="dxa"/>
            <w:vAlign w:val="bottom"/>
          </w:tcPr>
          <w:p>
            <w:pPr>
              <w:spacing w:after="0"/>
              <w:rPr>
                <w:sz w:val="1"/>
                <w:szCs w:val="1"/>
                <w:color w:val="auto"/>
              </w:rPr>
            </w:pPr>
          </w:p>
        </w:tc>
      </w:tr>
      <w:tr>
        <w:trPr>
          <w:trHeight w:val="215"/>
        </w:trPr>
        <w:tc>
          <w:tcPr>
            <w:tcW w:w="3780" w:type="dxa"/>
            <w:vAlign w:val="bottom"/>
          </w:tcPr>
          <w:p>
            <w:pPr>
              <w:ind w:left="20"/>
              <w:spacing w:after="0" w:line="214" w:lineRule="exact"/>
              <w:rPr>
                <w:sz w:val="20"/>
                <w:szCs w:val="20"/>
                <w:color w:val="auto"/>
              </w:rPr>
            </w:pPr>
            <w:r>
              <w:rPr>
                <w:rFonts w:ascii="Times New Roman" w:cs="Times New Roman" w:eastAsia="Times New Roman" w:hAnsi="Times New Roman"/>
                <w:sz w:val="18"/>
                <w:szCs w:val="18"/>
                <w:color w:val="auto"/>
              </w:rPr>
              <w:t xml:space="preserve">AFTRA Retirement Plan </w:t>
            </w:r>
            <w:r>
              <w:rPr>
                <w:rFonts w:ascii="Times New Roman" w:cs="Times New Roman" w:eastAsia="Times New Roman" w:hAnsi="Times New Roman"/>
                <w:sz w:val="22"/>
                <w:szCs w:val="22"/>
                <w:color w:val="auto"/>
                <w:vertAlign w:val="superscript"/>
              </w:rPr>
              <w:t>(b)</w:t>
            </w:r>
          </w:p>
        </w:tc>
        <w:tc>
          <w:tcPr>
            <w:tcW w:w="2240" w:type="dxa"/>
            <w:vAlign w:val="bottom"/>
          </w:tcPr>
          <w:p>
            <w:pPr>
              <w:jc w:val="center"/>
              <w:ind w:left="517"/>
              <w:spacing w:after="0"/>
              <w:rPr>
                <w:sz w:val="20"/>
                <w:szCs w:val="20"/>
                <w:color w:val="auto"/>
              </w:rPr>
            </w:pPr>
            <w:r>
              <w:rPr>
                <w:rFonts w:ascii="Times New Roman" w:cs="Times New Roman" w:eastAsia="Times New Roman" w:hAnsi="Times New Roman"/>
                <w:sz w:val="18"/>
                <w:szCs w:val="18"/>
                <w:color w:val="auto"/>
                <w:w w:val="96"/>
              </w:rPr>
              <w:t>13-6414972-001</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Green</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Green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320" w:type="dxa"/>
            <w:vAlign w:val="bottom"/>
          </w:tcPr>
          <w:p>
            <w:pPr>
              <w:jc w:val="center"/>
              <w:ind w:left="37"/>
              <w:spacing w:after="0"/>
              <w:rPr>
                <w:sz w:val="20"/>
                <w:szCs w:val="20"/>
                <w:color w:val="auto"/>
              </w:rPr>
            </w:pPr>
            <w:r>
              <w:rPr>
                <w:rFonts w:ascii="Times New Roman" w:cs="Times New Roman" w:eastAsia="Times New Roman" w:hAnsi="Times New Roman"/>
                <w:sz w:val="18"/>
                <w:szCs w:val="18"/>
                <w:color w:val="auto"/>
                <w:w w:val="98"/>
              </w:rPr>
              <w:t>6/30/2026</w:t>
            </w:r>
          </w:p>
        </w:tc>
        <w:tc>
          <w:tcPr>
            <w:tcW w:w="0" w:type="dxa"/>
            <w:vAlign w:val="bottom"/>
          </w:tcPr>
          <w:p>
            <w:pPr>
              <w:spacing w:after="0"/>
              <w:rPr>
                <w:sz w:val="1"/>
                <w:szCs w:val="1"/>
                <w:color w:val="auto"/>
              </w:rPr>
            </w:pPr>
          </w:p>
        </w:tc>
      </w:tr>
      <w:tr>
        <w:trPr>
          <w:trHeight w:val="225"/>
        </w:trPr>
        <w:tc>
          <w:tcPr>
            <w:tcW w:w="378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Directors Guild of America - Producer </w:t>
            </w:r>
            <w:r>
              <w:rPr>
                <w:rFonts w:ascii="Times New Roman" w:cs="Times New Roman" w:eastAsia="Times New Roman" w:hAnsi="Times New Roman"/>
                <w:sz w:val="22"/>
                <w:szCs w:val="22"/>
                <w:color w:val="auto"/>
                <w:vertAlign w:val="superscript"/>
              </w:rPr>
              <w:t>(b)</w:t>
            </w:r>
          </w:p>
        </w:tc>
        <w:tc>
          <w:tcPr>
            <w:tcW w:w="2240" w:type="dxa"/>
            <w:vAlign w:val="bottom"/>
          </w:tcPr>
          <w:p>
            <w:pPr>
              <w:jc w:val="center"/>
              <w:ind w:left="517"/>
              <w:spacing w:after="0"/>
              <w:rPr>
                <w:sz w:val="20"/>
                <w:szCs w:val="20"/>
                <w:color w:val="auto"/>
              </w:rPr>
            </w:pPr>
            <w:r>
              <w:rPr>
                <w:rFonts w:ascii="Times New Roman" w:cs="Times New Roman" w:eastAsia="Times New Roman" w:hAnsi="Times New Roman"/>
                <w:sz w:val="18"/>
                <w:szCs w:val="18"/>
                <w:color w:val="auto"/>
                <w:w w:val="96"/>
              </w:rPr>
              <w:t>95-2892780-001</w:t>
            </w:r>
          </w:p>
        </w:tc>
        <w:tc>
          <w:tcPr>
            <w:tcW w:w="1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Green</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Green</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320" w:type="dxa"/>
            <w:vAlign w:val="bottom"/>
          </w:tcPr>
          <w:p>
            <w:pPr>
              <w:jc w:val="center"/>
              <w:ind w:left="37"/>
              <w:spacing w:after="0"/>
              <w:rPr>
                <w:sz w:val="20"/>
                <w:szCs w:val="20"/>
                <w:color w:val="auto"/>
              </w:rPr>
            </w:pPr>
            <w:r>
              <w:rPr>
                <w:rFonts w:ascii="Times New Roman" w:cs="Times New Roman" w:eastAsia="Times New Roman" w:hAnsi="Times New Roman"/>
                <w:sz w:val="18"/>
                <w:szCs w:val="18"/>
                <w:color w:val="auto"/>
                <w:w w:val="98"/>
              </w:rPr>
              <w:t>6/30/2026</w:t>
            </w:r>
          </w:p>
        </w:tc>
        <w:tc>
          <w:tcPr>
            <w:tcW w:w="0" w:type="dxa"/>
            <w:vAlign w:val="bottom"/>
          </w:tcPr>
          <w:p>
            <w:pPr>
              <w:spacing w:after="0"/>
              <w:rPr>
                <w:sz w:val="1"/>
                <w:szCs w:val="1"/>
                <w:color w:val="auto"/>
              </w:rPr>
            </w:pPr>
          </w:p>
        </w:tc>
      </w:tr>
      <w:tr>
        <w:trPr>
          <w:trHeight w:val="225"/>
        </w:trPr>
        <w:tc>
          <w:tcPr>
            <w:tcW w:w="378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Producer-Writers Guild of America </w:t>
            </w:r>
            <w:r>
              <w:rPr>
                <w:rFonts w:ascii="Times New Roman" w:cs="Times New Roman" w:eastAsia="Times New Roman" w:hAnsi="Times New Roman"/>
                <w:sz w:val="22"/>
                <w:szCs w:val="22"/>
                <w:color w:val="auto"/>
                <w:vertAlign w:val="superscript"/>
              </w:rPr>
              <w:t>(b)</w:t>
            </w:r>
          </w:p>
        </w:tc>
        <w:tc>
          <w:tcPr>
            <w:tcW w:w="2240" w:type="dxa"/>
            <w:vAlign w:val="bottom"/>
          </w:tcPr>
          <w:p>
            <w:pPr>
              <w:jc w:val="center"/>
              <w:ind w:left="517"/>
              <w:spacing w:after="0"/>
              <w:rPr>
                <w:sz w:val="20"/>
                <w:szCs w:val="20"/>
                <w:color w:val="auto"/>
              </w:rPr>
            </w:pPr>
            <w:r>
              <w:rPr>
                <w:rFonts w:ascii="Times New Roman" w:cs="Times New Roman" w:eastAsia="Times New Roman" w:hAnsi="Times New Roman"/>
                <w:sz w:val="18"/>
                <w:szCs w:val="18"/>
                <w:color w:val="auto"/>
                <w:w w:val="96"/>
              </w:rPr>
              <w:t>95-2216351-001</w:t>
            </w:r>
          </w:p>
        </w:tc>
        <w:tc>
          <w:tcPr>
            <w:tcW w:w="1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Green</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Green</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320" w:type="dxa"/>
            <w:vAlign w:val="bottom"/>
          </w:tcPr>
          <w:p>
            <w:pPr>
              <w:jc w:val="center"/>
              <w:ind w:left="17"/>
              <w:spacing w:after="0"/>
              <w:rPr>
                <w:sz w:val="20"/>
                <w:szCs w:val="20"/>
                <w:color w:val="auto"/>
              </w:rPr>
            </w:pPr>
            <w:r>
              <w:rPr>
                <w:rFonts w:ascii="Times New Roman" w:cs="Times New Roman" w:eastAsia="Times New Roman" w:hAnsi="Times New Roman"/>
                <w:sz w:val="18"/>
                <w:szCs w:val="18"/>
                <w:color w:val="auto"/>
                <w:w w:val="96"/>
              </w:rPr>
              <w:t>5/1/2026</w:t>
            </w:r>
          </w:p>
        </w:tc>
        <w:tc>
          <w:tcPr>
            <w:tcW w:w="0" w:type="dxa"/>
            <w:vAlign w:val="bottom"/>
          </w:tcPr>
          <w:p>
            <w:pPr>
              <w:spacing w:after="0"/>
              <w:rPr>
                <w:sz w:val="1"/>
                <w:szCs w:val="1"/>
                <w:color w:val="auto"/>
              </w:rPr>
            </w:pPr>
          </w:p>
        </w:tc>
      </w:tr>
      <w:tr>
        <w:trPr>
          <w:trHeight w:val="225"/>
        </w:trPr>
        <w:tc>
          <w:tcPr>
            <w:tcW w:w="378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Screen Actors Guild - Producers </w:t>
            </w:r>
            <w:r>
              <w:rPr>
                <w:rFonts w:ascii="Times New Roman" w:cs="Times New Roman" w:eastAsia="Times New Roman" w:hAnsi="Times New Roman"/>
                <w:sz w:val="22"/>
                <w:szCs w:val="22"/>
                <w:color w:val="auto"/>
                <w:vertAlign w:val="superscript"/>
              </w:rPr>
              <w:t>(b)</w:t>
            </w:r>
          </w:p>
        </w:tc>
        <w:tc>
          <w:tcPr>
            <w:tcW w:w="2240" w:type="dxa"/>
            <w:vAlign w:val="bottom"/>
          </w:tcPr>
          <w:p>
            <w:pPr>
              <w:jc w:val="center"/>
              <w:ind w:left="517"/>
              <w:spacing w:after="0"/>
              <w:rPr>
                <w:sz w:val="20"/>
                <w:szCs w:val="20"/>
                <w:color w:val="auto"/>
              </w:rPr>
            </w:pPr>
            <w:r>
              <w:rPr>
                <w:rFonts w:ascii="Times New Roman" w:cs="Times New Roman" w:eastAsia="Times New Roman" w:hAnsi="Times New Roman"/>
                <w:sz w:val="18"/>
                <w:szCs w:val="18"/>
                <w:color w:val="auto"/>
                <w:w w:val="96"/>
              </w:rPr>
              <w:t>95-2110997-001</w:t>
            </w:r>
          </w:p>
        </w:tc>
        <w:tc>
          <w:tcPr>
            <w:tcW w:w="1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Green</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Green</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320" w:type="dxa"/>
            <w:vAlign w:val="bottom"/>
          </w:tcPr>
          <w:p>
            <w:pPr>
              <w:jc w:val="center"/>
              <w:ind w:left="37"/>
              <w:spacing w:after="0"/>
              <w:rPr>
                <w:sz w:val="20"/>
                <w:szCs w:val="20"/>
                <w:color w:val="auto"/>
              </w:rPr>
            </w:pPr>
            <w:r>
              <w:rPr>
                <w:rFonts w:ascii="Times New Roman" w:cs="Times New Roman" w:eastAsia="Times New Roman" w:hAnsi="Times New Roman"/>
                <w:sz w:val="18"/>
                <w:szCs w:val="18"/>
                <w:color w:val="auto"/>
                <w:w w:val="98"/>
              </w:rPr>
              <w:t>6/30/2026</w:t>
            </w:r>
          </w:p>
        </w:tc>
        <w:tc>
          <w:tcPr>
            <w:tcW w:w="0" w:type="dxa"/>
            <w:vAlign w:val="bottom"/>
          </w:tcPr>
          <w:p>
            <w:pPr>
              <w:spacing w:after="0"/>
              <w:rPr>
                <w:sz w:val="1"/>
                <w:szCs w:val="1"/>
                <w:color w:val="auto"/>
              </w:rPr>
            </w:pPr>
          </w:p>
        </w:tc>
      </w:tr>
      <w:tr>
        <w:trPr>
          <w:trHeight w:val="225"/>
        </w:trPr>
        <w:tc>
          <w:tcPr>
            <w:tcW w:w="378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Motion Picture Industry </w:t>
            </w:r>
            <w:r>
              <w:rPr>
                <w:rFonts w:ascii="Times New Roman" w:cs="Times New Roman" w:eastAsia="Times New Roman" w:hAnsi="Times New Roman"/>
                <w:sz w:val="22"/>
                <w:szCs w:val="22"/>
                <w:color w:val="auto"/>
                <w:vertAlign w:val="superscript"/>
              </w:rPr>
              <w:t>(b)</w:t>
            </w:r>
          </w:p>
        </w:tc>
        <w:tc>
          <w:tcPr>
            <w:tcW w:w="2240" w:type="dxa"/>
            <w:vAlign w:val="bottom"/>
          </w:tcPr>
          <w:p>
            <w:pPr>
              <w:jc w:val="center"/>
              <w:ind w:left="517"/>
              <w:spacing w:after="0"/>
              <w:rPr>
                <w:sz w:val="20"/>
                <w:szCs w:val="20"/>
                <w:color w:val="auto"/>
              </w:rPr>
            </w:pPr>
            <w:r>
              <w:rPr>
                <w:rFonts w:ascii="Times New Roman" w:cs="Times New Roman" w:eastAsia="Times New Roman" w:hAnsi="Times New Roman"/>
                <w:sz w:val="18"/>
                <w:szCs w:val="18"/>
                <w:color w:val="auto"/>
                <w:w w:val="96"/>
              </w:rPr>
              <w:t>95-1810805-001</w:t>
            </w:r>
          </w:p>
        </w:tc>
        <w:tc>
          <w:tcPr>
            <w:tcW w:w="1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Green</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Green</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320" w:type="dxa"/>
            <w:vAlign w:val="bottom"/>
          </w:tcPr>
          <w:p>
            <w:pPr>
              <w:jc w:val="center"/>
              <w:ind w:left="37"/>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225"/>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I.A.T.S.E. Local No. 33 Pension Trust Fund</w:t>
            </w:r>
          </w:p>
        </w:tc>
        <w:tc>
          <w:tcPr>
            <w:tcW w:w="2240" w:type="dxa"/>
            <w:vAlign w:val="bottom"/>
          </w:tcPr>
          <w:p>
            <w:pPr>
              <w:jc w:val="center"/>
              <w:ind w:left="517"/>
              <w:spacing w:after="0"/>
              <w:rPr>
                <w:sz w:val="20"/>
                <w:szCs w:val="20"/>
                <w:color w:val="auto"/>
              </w:rPr>
            </w:pPr>
            <w:r>
              <w:rPr>
                <w:rFonts w:ascii="Times New Roman" w:cs="Times New Roman" w:eastAsia="Times New Roman" w:hAnsi="Times New Roman"/>
                <w:sz w:val="18"/>
                <w:szCs w:val="18"/>
                <w:color w:val="auto"/>
                <w:w w:val="96"/>
              </w:rPr>
              <w:t>95-6377503-001</w:t>
            </w:r>
          </w:p>
        </w:tc>
        <w:tc>
          <w:tcPr>
            <w:tcW w:w="1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Green</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Green</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320" w:type="dxa"/>
            <w:vAlign w:val="bottom"/>
          </w:tcPr>
          <w:p>
            <w:pPr>
              <w:jc w:val="center"/>
              <w:ind w:left="37"/>
              <w:spacing w:after="0"/>
              <w:rPr>
                <w:sz w:val="20"/>
                <w:szCs w:val="20"/>
                <w:color w:val="auto"/>
              </w:rPr>
            </w:pPr>
            <w:r>
              <w:rPr>
                <w:rFonts w:ascii="Times New Roman" w:cs="Times New Roman" w:eastAsia="Times New Roman" w:hAnsi="Times New Roman"/>
                <w:sz w:val="18"/>
                <w:szCs w:val="18"/>
                <w:color w:val="auto"/>
                <w:w w:val="97"/>
              </w:rPr>
              <w:t>12/31/2025</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Plans</w:t>
            </w: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7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Total contributions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320" w:right="320" w:hanging="235"/>
        <w:spacing w:after="0" w:line="285" w:lineRule="auto"/>
        <w:tabs>
          <w:tab w:leader="none" w:pos="298"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zone status for each individual plan listed was certified by each plan’s actuary as of the beginning of the plan years for 2024 and 2023. The plan year is the twelve months ending December 31 for each plan listed above except AFTRA Retirement Plan, which has a plan year ending November 30.</w:t>
      </w:r>
    </w:p>
    <w:p>
      <w:pPr>
        <w:ind w:left="320" w:hanging="235"/>
        <w:spacing w:after="0"/>
        <w:tabs>
          <w:tab w:leader="none" w:pos="3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was listed in these plan’s most recent Form 5500 as providing more than 5% of total contributions for the plan.</w:t>
      </w:r>
    </w:p>
    <w:p>
      <w:pPr>
        <w:spacing w:after="0" w:line="54" w:lineRule="exact"/>
        <w:rPr>
          <w:rFonts w:ascii="Times New Roman" w:cs="Times New Roman" w:eastAsia="Times New Roman" w:hAnsi="Times New Roman"/>
          <w:sz w:val="16"/>
          <w:szCs w:val="16"/>
          <w:color w:val="auto"/>
        </w:rPr>
      </w:pPr>
    </w:p>
    <w:p>
      <w:pPr>
        <w:ind w:left="300" w:hanging="215"/>
        <w:spacing w:after="0"/>
        <w:tabs>
          <w:tab w:leader="none" w:pos="3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expiration dates range from July 31, 2024 through March 2, 2025.</w:t>
      </w:r>
    </w:p>
    <w:p>
      <w:pPr>
        <w:spacing w:after="0" w:line="13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As a result of the above noted zone status there were no funding improvements or rehabilitation plans implemented, as defined by ERISA, nor any surcharges imposed for any of the individual plans listed.</w:t>
      </w:r>
    </w:p>
    <w:p>
      <w:pPr>
        <w:spacing w:after="0" w:line="16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We also contribute to multiemployer plans that provide postretirement healthcare and other benefits to certain employees under collective bargaining agreements. The contributions to these plans were $215 million, $172 million and $192 million for the years ended December 31, 2024, 2023 and 2022, respectively.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Defined Contribution Plans</w:t>
      </w:r>
    </w:p>
    <w:p>
      <w:pPr>
        <w:spacing w:after="0" w:line="17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We sponsor defined contribution plans for the benefit of employees meeting eligibility requirements. Employer contributions to such plans were $133 million, $151 million and $137 million for the years ended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35" w:name="page136"/>
    <w:bookmarkEnd w:id="135"/>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17) SEGMENT INFORMATION</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Our operating segments, which are the same as our reportable segments, have been determined in accordance with our internal management structure, which is organized based upon products and services. The tables below set forth our financial information by reportable segment that is regularly reviewed by the Office of the CEO (see Note 1), which is the Company’s CODM. We present operating income excluding depreciation and amortization, stock-based compensation, restructuring charges, transaction-related items, other corporate matters, programming charges, impairment charges and gains or losses on dispositions, each where applicable (“Adjusted OIBDA”), as the primary measure of profit and loss for our operating segments in accordance with FASB guidance for segment reporting. Programming charges consist only of charges related to major strategic changes (see Note 3), and do not include impairment charges that occur as part of our normal operations, which are recorded within content costs in the tables below, where applicable, and are not excluded in Adjusted OIBDA. Adjusted OIBDA is the primary method used by our management, including the CODM, for planning and forecasting of future periods, evaluating the operating performance of our segments, and making decisions about resource allocation. Stock-based compensation is excluded from our segment measure of profit and loss because it is set and approved by our Board of Directors in consultation with corporate executive management.</w:t>
      </w:r>
    </w:p>
    <w:p>
      <w:pPr>
        <w:spacing w:after="0" w:line="200" w:lineRule="exact"/>
        <w:rPr>
          <w:sz w:val="20"/>
          <w:szCs w:val="20"/>
          <w:color w:val="auto"/>
        </w:rPr>
      </w:pPr>
    </w:p>
    <w:p>
      <w:pPr>
        <w:spacing w:after="0" w:line="280" w:lineRule="exact"/>
        <w:rPr>
          <w:sz w:val="20"/>
          <w:szCs w:val="20"/>
          <w:color w:val="auto"/>
        </w:rPr>
      </w:pPr>
    </w:p>
    <w:tbl>
      <w:tblPr>
        <w:tblLayout w:type="fixed"/>
        <w:tblInd w:w="700" w:type="dxa"/>
        <w:tblCellMar>
          <w:top w:w="0" w:type="dxa"/>
          <w:left w:w="0" w:type="dxa"/>
          <w:bottom w:w="0" w:type="dxa"/>
          <w:right w:w="0" w:type="dxa"/>
        </w:tblCellMar>
      </w:tblPr>
      <w:tr>
        <w:trPr>
          <w:trHeight w:val="252"/>
        </w:trPr>
        <w:tc>
          <w:tcPr>
            <w:tcW w:w="38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1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5"/>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Advertising</w:t>
            </w:r>
          </w:p>
        </w:tc>
        <w:tc>
          <w:tcPr>
            <w:tcW w:w="2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8,180</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8,188</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9,350</w:t>
            </w:r>
          </w:p>
        </w:tc>
      </w:tr>
      <w:tr>
        <w:trPr>
          <w:trHeight w:val="225"/>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Affiliate and subscription</w:t>
            </w:r>
          </w:p>
        </w:tc>
        <w:tc>
          <w:tcPr>
            <w:tcW w:w="210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7,647</w:t>
            </w:r>
          </w:p>
        </w:tc>
        <w:tc>
          <w:tcPr>
            <w:tcW w:w="42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8,085</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8,180</w:t>
            </w:r>
          </w:p>
        </w:tc>
      </w:tr>
      <w:tr>
        <w:trPr>
          <w:trHeight w:val="230"/>
        </w:trPr>
        <w:tc>
          <w:tcPr>
            <w:tcW w:w="3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Licensing and other</w:t>
            </w:r>
          </w:p>
        </w:tc>
        <w:tc>
          <w:tcPr>
            <w:tcW w:w="2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2,952</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3,812</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4,202</w:t>
            </w:r>
          </w:p>
        </w:tc>
      </w:tr>
      <w:tr>
        <w:trPr>
          <w:trHeight w:val="219"/>
        </w:trPr>
        <w:tc>
          <w:tcPr>
            <w:tcW w:w="3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TV Media</w:t>
            </w:r>
          </w:p>
        </w:tc>
        <w:tc>
          <w:tcPr>
            <w:tcW w:w="2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18,779</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20,085</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21,732</w:t>
            </w:r>
          </w:p>
        </w:tc>
      </w:tr>
      <w:tr>
        <w:trPr>
          <w:trHeight w:val="213"/>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Advertising</w:t>
            </w:r>
          </w:p>
        </w:tc>
        <w:tc>
          <w:tcPr>
            <w:tcW w:w="210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2,114</w:t>
            </w:r>
          </w:p>
        </w:tc>
        <w:tc>
          <w:tcPr>
            <w:tcW w:w="42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1,795</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r>
      <w:tr>
        <w:trPr>
          <w:trHeight w:val="225"/>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Subscription</w:t>
            </w:r>
          </w:p>
        </w:tc>
        <w:tc>
          <w:tcPr>
            <w:tcW w:w="210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5,506</w:t>
            </w:r>
          </w:p>
        </w:tc>
        <w:tc>
          <w:tcPr>
            <w:tcW w:w="42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4,933</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w:t>
            </w:r>
          </w:p>
        </w:tc>
      </w:tr>
      <w:tr>
        <w:trPr>
          <w:trHeight w:val="230"/>
        </w:trPr>
        <w:tc>
          <w:tcPr>
            <w:tcW w:w="3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Licensing</w:t>
            </w:r>
          </w:p>
        </w:tc>
        <w:tc>
          <w:tcPr>
            <w:tcW w:w="2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3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Direct-to-Consumer</w:t>
            </w:r>
          </w:p>
        </w:tc>
        <w:tc>
          <w:tcPr>
            <w:tcW w:w="2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7,632</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6,736</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4,904</w:t>
            </w:r>
          </w:p>
        </w:tc>
      </w:tr>
      <w:tr>
        <w:trPr>
          <w:trHeight w:val="213"/>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Advertising</w:t>
            </w:r>
          </w:p>
        </w:tc>
        <w:tc>
          <w:tcPr>
            <w:tcW w:w="210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16</w:t>
            </w:r>
          </w:p>
        </w:tc>
        <w:tc>
          <w:tcPr>
            <w:tcW w:w="42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24</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5"/>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Theatrical</w:t>
            </w:r>
          </w:p>
        </w:tc>
        <w:tc>
          <w:tcPr>
            <w:tcW w:w="210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813</w:t>
            </w:r>
          </w:p>
        </w:tc>
        <w:tc>
          <w:tcPr>
            <w:tcW w:w="42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813</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r>
      <w:tr>
        <w:trPr>
          <w:trHeight w:val="230"/>
        </w:trPr>
        <w:tc>
          <w:tcPr>
            <w:tcW w:w="3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Licensing and other</w:t>
            </w:r>
          </w:p>
        </w:tc>
        <w:tc>
          <w:tcPr>
            <w:tcW w:w="2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2,126</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2,120</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w:t>
            </w:r>
          </w:p>
        </w:tc>
      </w:tr>
      <w:tr>
        <w:trPr>
          <w:trHeight w:val="219"/>
        </w:trPr>
        <w:tc>
          <w:tcPr>
            <w:tcW w:w="3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Filmed Entertainment</w:t>
            </w:r>
          </w:p>
        </w:tc>
        <w:tc>
          <w:tcPr>
            <w:tcW w:w="2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2,955</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2,957</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3,706</w:t>
            </w:r>
          </w:p>
        </w:tc>
      </w:tr>
      <w:tr>
        <w:trPr>
          <w:trHeight w:val="218"/>
        </w:trPr>
        <w:tc>
          <w:tcPr>
            <w:tcW w:w="3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Eliminations</w:t>
            </w:r>
          </w:p>
        </w:tc>
        <w:tc>
          <w:tcPr>
            <w:tcW w:w="2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(153)</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(126)</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5"/>
        </w:trPr>
        <w:tc>
          <w:tcPr>
            <w:tcW w:w="3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1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29,213</w:t>
            </w:r>
          </w:p>
        </w:tc>
        <w:tc>
          <w:tcPr>
            <w:tcW w:w="4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29,652</w:t>
            </w:r>
          </w:p>
        </w:tc>
        <w:tc>
          <w:tcPr>
            <w:tcW w:w="4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30,154</w:t>
            </w:r>
          </w:p>
        </w:tc>
      </w:tr>
    </w:tbl>
    <w:p>
      <w:pPr>
        <w:spacing w:after="0" w:line="2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Revenues generated between segments are principally from intersegment arrangements for the distribution of content, rental of studio space, and advertising, as well as licensing revenues earned from third parties who license our content to our internal platforms either through a sub-license or co-production arrangement. These transactions are recorded at market value as if the sales were to third parties and are eliminated in consolidation. For content that is licensed between segments, content costs are allocated across segments based on the relative value of the distribution windows within each segment. Accordingly, no intersegment licensing revenues or profits are recorded by the licensor segment.</w:t>
      </w:r>
    </w:p>
    <w:p>
      <w:pPr>
        <w:spacing w:after="0" w:line="139" w:lineRule="exact"/>
        <w:rPr>
          <w:sz w:val="20"/>
          <w:szCs w:val="20"/>
          <w:color w:val="auto"/>
        </w:rPr>
      </w:pPr>
    </w:p>
    <w:tbl>
      <w:tblPr>
        <w:tblLayout w:type="fixed"/>
        <w:tblInd w:w="700" w:type="dxa"/>
        <w:tblCellMar>
          <w:top w:w="0" w:type="dxa"/>
          <w:left w:w="0" w:type="dxa"/>
          <w:bottom w:w="0" w:type="dxa"/>
          <w:right w:w="0" w:type="dxa"/>
        </w:tblCellMar>
      </w:tblPr>
      <w:tr>
        <w:trPr>
          <w:trHeight w:val="252"/>
        </w:trPr>
        <w:tc>
          <w:tcPr>
            <w:tcW w:w="4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6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Intercompany Revenues:</w:t>
            </w:r>
          </w:p>
        </w:tc>
        <w:tc>
          <w:tcPr>
            <w:tcW w:w="1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5"/>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TV Media</w:t>
            </w:r>
          </w:p>
        </w:tc>
        <w:tc>
          <w:tcPr>
            <w:tcW w:w="18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84</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63</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5"/>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Direct-to-Consumer</w:t>
            </w:r>
          </w:p>
        </w:tc>
        <w:tc>
          <w:tcPr>
            <w:tcW w:w="186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Filmed Entertainment</w:t>
            </w:r>
          </w:p>
        </w:tc>
        <w:tc>
          <w:tcPr>
            <w:tcW w:w="18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69</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62</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5"/>
        </w:trPr>
        <w:tc>
          <w:tcPr>
            <w:tcW w:w="4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Intercompany Revenues</w:t>
            </w:r>
          </w:p>
        </w:tc>
        <w:tc>
          <w:tcPr>
            <w:tcW w:w="18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153</w:t>
            </w: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126</w:t>
            </w: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r>
    </w:tbl>
    <w:p>
      <w:pPr>
        <w:spacing w:after="0" w:line="200" w:lineRule="exact"/>
        <w:rPr>
          <w:sz w:val="20"/>
          <w:szCs w:val="20"/>
          <w:color w:val="auto"/>
        </w:rPr>
      </w:pPr>
    </w:p>
    <w:p>
      <w:pPr>
        <w:sectPr>
          <w:pgSz w:w="11900" w:h="16838" w:orient="portrait"/>
          <w:cols w:equalWidth="0" w:num="1">
            <w:col w:w="11240"/>
          </w:cols>
          <w:pgMar w:left="320" w:top="4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type w:val="continuous"/>
        </w:sectPr>
      </w:pPr>
    </w:p>
    <w:bookmarkStart w:id="136" w:name="page137"/>
    <w:bookmarkEnd w:id="136"/>
    <w:p>
      <w:pPr>
        <w:ind w:left="296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60" w:type="dxa"/>
        <w:tblCellMar>
          <w:top w:w="0" w:type="dxa"/>
          <w:left w:w="0" w:type="dxa"/>
          <w:bottom w:w="0" w:type="dxa"/>
          <w:right w:w="0" w:type="dxa"/>
        </w:tblCellMar>
      </w:tblPr>
      <w:tr>
        <w:trPr>
          <w:trHeight w:val="252"/>
        </w:trPr>
        <w:tc>
          <w:tcPr>
            <w:tcW w:w="5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TV Media</w:t>
            </w: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1"/>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18,779</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20,085</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21,732</w:t>
            </w:r>
          </w:p>
        </w:tc>
      </w:tr>
      <w:tr>
        <w:trPr>
          <w:trHeight w:val="272"/>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Content costs</w:t>
            </w:r>
          </w:p>
        </w:tc>
        <w:tc>
          <w:tcPr>
            <w:tcW w:w="840" w:type="dxa"/>
            <w:vAlign w:val="bottom"/>
          </w:tcPr>
          <w:p>
            <w:pPr>
              <w:spacing w:after="0"/>
              <w:rPr>
                <w:sz w:val="23"/>
                <w:szCs w:val="23"/>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9,199</w:t>
            </w:r>
          </w:p>
        </w:tc>
        <w:tc>
          <w:tcPr>
            <w:tcW w:w="420" w:type="dxa"/>
            <w:vAlign w:val="bottom"/>
          </w:tcPr>
          <w:p>
            <w:pPr>
              <w:spacing w:after="0"/>
              <w:rPr>
                <w:sz w:val="23"/>
                <w:szCs w:val="23"/>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9,861</w:t>
            </w: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10,696</w:t>
            </w:r>
          </w:p>
        </w:tc>
      </w:tr>
      <w:tr>
        <w:trPr>
          <w:trHeight w:val="222"/>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 and marketing</w:t>
            </w:r>
          </w:p>
        </w:tc>
        <w:tc>
          <w:tcPr>
            <w:tcW w:w="84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689</w:t>
            </w:r>
          </w:p>
        </w:tc>
        <w:tc>
          <w:tcPr>
            <w:tcW w:w="42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761</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233"/>
        </w:trPr>
        <w:tc>
          <w:tcPr>
            <w:tcW w:w="5140" w:type="dxa"/>
            <w:vAlign w:val="bottom"/>
            <w:tcBorders>
              <w:bottom w:val="single" w:sz="8" w:color="auto"/>
            </w:tcBorders>
          </w:tcPr>
          <w:p>
            <w:pPr>
              <w:ind w:left="140"/>
              <w:spacing w:after="0" w:line="233"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2"/>
                <w:szCs w:val="22"/>
                <w:color w:val="auto"/>
                <w:vertAlign w:val="superscript"/>
              </w:rPr>
              <w:t>(a)</w:t>
            </w:r>
          </w:p>
        </w:tc>
        <w:tc>
          <w:tcPr>
            <w:tcW w:w="8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4,543</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4,672</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4,679</w:t>
            </w:r>
          </w:p>
        </w:tc>
      </w:tr>
      <w:tr>
        <w:trPr>
          <w:trHeight w:val="225"/>
        </w:trPr>
        <w:tc>
          <w:tcPr>
            <w:tcW w:w="5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segment expenses</w:t>
            </w:r>
          </w:p>
        </w:tc>
        <w:tc>
          <w:tcPr>
            <w:tcW w:w="84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14,431</w:t>
            </w:r>
          </w:p>
        </w:tc>
        <w:tc>
          <w:tcPr>
            <w:tcW w:w="42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15,294</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16,281</w:t>
            </w:r>
          </w:p>
        </w:tc>
      </w:tr>
      <w:tr>
        <w:trPr>
          <w:trHeight w:val="272"/>
        </w:trPr>
        <w:tc>
          <w:tcPr>
            <w:tcW w:w="5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TV Media Adjusted OIBDA</w:t>
            </w:r>
          </w:p>
        </w:tc>
        <w:tc>
          <w:tcPr>
            <w:tcW w:w="8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4,348</w:t>
            </w: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4,791</w:t>
            </w: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5,451</w:t>
            </w:r>
          </w:p>
        </w:tc>
      </w:tr>
      <w:tr>
        <w:trPr>
          <w:trHeight w:val="21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Direct-to-Consumer</w:t>
            </w: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1"/>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840" w:type="dxa"/>
            <w:vAlign w:val="bottom"/>
          </w:tcPr>
          <w:p>
            <w:pPr>
              <w:spacing w:after="0"/>
              <w:rPr>
                <w:sz w:val="20"/>
                <w:szCs w:val="20"/>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7,632</w:t>
            </w:r>
          </w:p>
        </w:tc>
        <w:tc>
          <w:tcPr>
            <w:tcW w:w="420" w:type="dxa"/>
            <w:vAlign w:val="bottom"/>
          </w:tcPr>
          <w:p>
            <w:pPr>
              <w:spacing w:after="0"/>
              <w:rPr>
                <w:sz w:val="20"/>
                <w:szCs w:val="20"/>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6,736</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w:t>
            </w:r>
          </w:p>
        </w:tc>
      </w:tr>
      <w:tr>
        <w:trPr>
          <w:trHeight w:val="272"/>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Content costs</w:t>
            </w:r>
          </w:p>
        </w:tc>
        <w:tc>
          <w:tcPr>
            <w:tcW w:w="840" w:type="dxa"/>
            <w:vAlign w:val="bottom"/>
          </w:tcPr>
          <w:p>
            <w:pPr>
              <w:spacing w:after="0"/>
              <w:rPr>
                <w:sz w:val="23"/>
                <w:szCs w:val="23"/>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4,415</w:t>
            </w:r>
          </w:p>
        </w:tc>
        <w:tc>
          <w:tcPr>
            <w:tcW w:w="420" w:type="dxa"/>
            <w:vAlign w:val="bottom"/>
          </w:tcPr>
          <w:p>
            <w:pPr>
              <w:spacing w:after="0"/>
              <w:rPr>
                <w:sz w:val="23"/>
                <w:szCs w:val="23"/>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4,459</w:t>
            </w: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w:t>
            </w:r>
          </w:p>
        </w:tc>
      </w:tr>
      <w:tr>
        <w:trPr>
          <w:trHeight w:val="222"/>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 and marketing</w:t>
            </w:r>
          </w:p>
        </w:tc>
        <w:tc>
          <w:tcPr>
            <w:tcW w:w="84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1,341</w:t>
            </w:r>
          </w:p>
        </w:tc>
        <w:tc>
          <w:tcPr>
            <w:tcW w:w="42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1,751</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r>
      <w:tr>
        <w:trPr>
          <w:trHeight w:val="233"/>
        </w:trPr>
        <w:tc>
          <w:tcPr>
            <w:tcW w:w="5140" w:type="dxa"/>
            <w:vAlign w:val="bottom"/>
            <w:tcBorders>
              <w:bottom w:val="single" w:sz="8" w:color="auto"/>
            </w:tcBorders>
          </w:tcPr>
          <w:p>
            <w:pPr>
              <w:ind w:left="140"/>
              <w:spacing w:after="0" w:line="233"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2"/>
                <w:szCs w:val="22"/>
                <w:color w:val="auto"/>
                <w:vertAlign w:val="superscript"/>
              </w:rPr>
              <w:t>(b)</w:t>
            </w:r>
          </w:p>
        </w:tc>
        <w:tc>
          <w:tcPr>
            <w:tcW w:w="8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2,373</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2,189</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w:t>
            </w:r>
          </w:p>
        </w:tc>
      </w:tr>
      <w:tr>
        <w:trPr>
          <w:trHeight w:val="225"/>
        </w:trPr>
        <w:tc>
          <w:tcPr>
            <w:tcW w:w="5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segment expenses</w:t>
            </w:r>
          </w:p>
        </w:tc>
        <w:tc>
          <w:tcPr>
            <w:tcW w:w="84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8,129</w:t>
            </w:r>
          </w:p>
        </w:tc>
        <w:tc>
          <w:tcPr>
            <w:tcW w:w="42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8,399</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6,723</w:t>
            </w:r>
          </w:p>
        </w:tc>
      </w:tr>
      <w:tr>
        <w:trPr>
          <w:trHeight w:val="272"/>
        </w:trPr>
        <w:tc>
          <w:tcPr>
            <w:tcW w:w="5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Direct-to-Consumer Adjusted OIBDA</w:t>
            </w:r>
          </w:p>
        </w:tc>
        <w:tc>
          <w:tcPr>
            <w:tcW w:w="8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(497)</w:t>
            </w: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(1,663)</w:t>
            </w: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w:t>
            </w:r>
          </w:p>
        </w:tc>
      </w:tr>
      <w:tr>
        <w:trPr>
          <w:trHeight w:val="21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Filmed Entertainment</w:t>
            </w: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1"/>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840" w:type="dxa"/>
            <w:vAlign w:val="bottom"/>
          </w:tcPr>
          <w:p>
            <w:pPr>
              <w:spacing w:after="0"/>
              <w:rPr>
                <w:sz w:val="20"/>
                <w:szCs w:val="20"/>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2,955</w:t>
            </w:r>
          </w:p>
        </w:tc>
        <w:tc>
          <w:tcPr>
            <w:tcW w:w="420" w:type="dxa"/>
            <w:vAlign w:val="bottom"/>
          </w:tcPr>
          <w:p>
            <w:pPr>
              <w:spacing w:after="0"/>
              <w:rPr>
                <w:sz w:val="20"/>
                <w:szCs w:val="20"/>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2,957</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w:t>
            </w:r>
          </w:p>
        </w:tc>
      </w:tr>
      <w:tr>
        <w:trPr>
          <w:trHeight w:val="272"/>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Content costs</w:t>
            </w:r>
          </w:p>
        </w:tc>
        <w:tc>
          <w:tcPr>
            <w:tcW w:w="840" w:type="dxa"/>
            <w:vAlign w:val="bottom"/>
          </w:tcPr>
          <w:p>
            <w:pPr>
              <w:spacing w:after="0"/>
              <w:rPr>
                <w:sz w:val="23"/>
                <w:szCs w:val="23"/>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1,496</w:t>
            </w:r>
          </w:p>
        </w:tc>
        <w:tc>
          <w:tcPr>
            <w:tcW w:w="420" w:type="dxa"/>
            <w:vAlign w:val="bottom"/>
          </w:tcPr>
          <w:p>
            <w:pPr>
              <w:spacing w:after="0"/>
              <w:rPr>
                <w:sz w:val="23"/>
                <w:szCs w:val="23"/>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1,545</w:t>
            </w: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w:t>
            </w:r>
          </w:p>
        </w:tc>
      </w:tr>
      <w:tr>
        <w:trPr>
          <w:trHeight w:val="222"/>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 and marketing</w:t>
            </w:r>
          </w:p>
        </w:tc>
        <w:tc>
          <w:tcPr>
            <w:tcW w:w="84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783</w:t>
            </w:r>
          </w:p>
        </w:tc>
        <w:tc>
          <w:tcPr>
            <w:tcW w:w="42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751</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33"/>
        </w:trPr>
        <w:tc>
          <w:tcPr>
            <w:tcW w:w="5140" w:type="dxa"/>
            <w:vAlign w:val="bottom"/>
            <w:tcBorders>
              <w:bottom w:val="single" w:sz="8" w:color="auto"/>
            </w:tcBorders>
          </w:tcPr>
          <w:p>
            <w:pPr>
              <w:ind w:left="140"/>
              <w:spacing w:after="0" w:line="233"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2"/>
                <w:szCs w:val="22"/>
                <w:color w:val="auto"/>
                <w:vertAlign w:val="superscript"/>
              </w:rPr>
              <w:t>(c)</w:t>
            </w:r>
          </w:p>
        </w:tc>
        <w:tc>
          <w:tcPr>
            <w:tcW w:w="8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772</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780</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r>
      <w:tr>
        <w:trPr>
          <w:trHeight w:val="225"/>
        </w:trPr>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segment expenses</w:t>
            </w:r>
          </w:p>
        </w:tc>
        <w:tc>
          <w:tcPr>
            <w:tcW w:w="84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3,051</w:t>
            </w:r>
          </w:p>
        </w:tc>
        <w:tc>
          <w:tcPr>
            <w:tcW w:w="42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3,076</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w:t>
            </w:r>
          </w:p>
        </w:tc>
      </w:tr>
      <w:tr>
        <w:trPr>
          <w:trHeight w:val="272"/>
        </w:trPr>
        <w:tc>
          <w:tcPr>
            <w:tcW w:w="5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Filmed Entertainment Adjusted OIBDA</w:t>
            </w:r>
          </w:p>
        </w:tc>
        <w:tc>
          <w:tcPr>
            <w:tcW w:w="8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(96)</w:t>
            </w: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(119)</w:t>
            </w: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1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Corporate/Eliminations</w:t>
            </w:r>
          </w:p>
        </w:tc>
        <w:tc>
          <w:tcPr>
            <w:tcW w:w="84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(427)</w:t>
            </w:r>
          </w:p>
        </w:tc>
        <w:tc>
          <w:tcPr>
            <w:tcW w:w="42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(447)</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28"/>
        </w:trPr>
        <w:tc>
          <w:tcPr>
            <w:tcW w:w="514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Stock-based compensation </w:t>
            </w:r>
            <w:r>
              <w:rPr>
                <w:rFonts w:ascii="Times New Roman" w:cs="Times New Roman" w:eastAsia="Times New Roman" w:hAnsi="Times New Roman"/>
                <w:sz w:val="22"/>
                <w:szCs w:val="22"/>
                <w:color w:val="auto"/>
                <w:vertAlign w:val="superscript"/>
              </w:rPr>
              <w:t>(d)</w:t>
            </w:r>
          </w:p>
        </w:tc>
        <w:tc>
          <w:tcPr>
            <w:tcW w:w="84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(210)</w:t>
            </w:r>
          </w:p>
        </w:tc>
        <w:tc>
          <w:tcPr>
            <w:tcW w:w="42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(172)</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5"/>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(392)</w:t>
            </w:r>
          </w:p>
        </w:tc>
        <w:tc>
          <w:tcPr>
            <w:tcW w:w="42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(418)</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25"/>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Programming charges</w:t>
            </w:r>
          </w:p>
        </w:tc>
        <w:tc>
          <w:tcPr>
            <w:tcW w:w="84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(1,118)</w:t>
            </w:r>
          </w:p>
        </w:tc>
        <w:tc>
          <w:tcPr>
            <w:tcW w:w="42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(2,371)</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84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(6,130)</w:t>
            </w:r>
          </w:p>
        </w:tc>
        <w:tc>
          <w:tcPr>
            <w:tcW w:w="42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(83)</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177"/>
        </w:trPr>
        <w:tc>
          <w:tcPr>
            <w:tcW w:w="514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Restructuring, transaction-related items, and other corporate</w:t>
            </w: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matters</w:t>
            </w:r>
          </w:p>
        </w:tc>
        <w:tc>
          <w:tcPr>
            <w:tcW w:w="840" w:type="dxa"/>
            <w:vAlign w:val="bottom"/>
          </w:tcPr>
          <w:p>
            <w:pPr>
              <w:spacing w:after="0"/>
              <w:rPr>
                <w:sz w:val="20"/>
                <w:szCs w:val="20"/>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(747)</w:t>
            </w:r>
          </w:p>
        </w:tc>
        <w:tc>
          <w:tcPr>
            <w:tcW w:w="420" w:type="dxa"/>
            <w:vAlign w:val="bottom"/>
          </w:tcPr>
          <w:p>
            <w:pPr>
              <w:spacing w:after="0"/>
              <w:rPr>
                <w:sz w:val="20"/>
                <w:szCs w:val="20"/>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3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Gains on dispositions</w:t>
            </w:r>
          </w:p>
        </w:tc>
        <w:tc>
          <w:tcPr>
            <w:tcW w:w="8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84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(5,269)</w:t>
            </w:r>
          </w:p>
        </w:tc>
        <w:tc>
          <w:tcPr>
            <w:tcW w:w="42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(451)</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r>
      <w:tr>
        <w:trPr>
          <w:trHeight w:val="225"/>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(860)</w:t>
            </w:r>
          </w:p>
        </w:tc>
        <w:tc>
          <w:tcPr>
            <w:tcW w:w="42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(920)</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225"/>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84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151</w:t>
            </w:r>
          </w:p>
        </w:tc>
        <w:tc>
          <w:tcPr>
            <w:tcW w:w="42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137</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5"/>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 from investments</w:t>
            </w:r>
          </w:p>
        </w:tc>
        <w:tc>
          <w:tcPr>
            <w:tcW w:w="84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(17)</w:t>
            </w:r>
          </w:p>
        </w:tc>
        <w:tc>
          <w:tcPr>
            <w:tcW w:w="42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168</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5"/>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84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29</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51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items, net</w:t>
            </w:r>
          </w:p>
        </w:tc>
        <w:tc>
          <w:tcPr>
            <w:tcW w:w="8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(182)</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(216)</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165"/>
        </w:trPr>
        <w:tc>
          <w:tcPr>
            <w:tcW w:w="5140" w:type="dxa"/>
            <w:vAlign w:val="bottom"/>
          </w:tcPr>
          <w:p>
            <w:pPr>
              <w:ind w:left="20"/>
              <w:spacing w:after="0" w:line="165" w:lineRule="exact"/>
              <w:rPr>
                <w:sz w:val="20"/>
                <w:szCs w:val="20"/>
                <w:color w:val="auto"/>
              </w:rPr>
            </w:pPr>
            <w:r>
              <w:rPr>
                <w:rFonts w:ascii="Times New Roman" w:cs="Times New Roman" w:eastAsia="Times New Roman" w:hAnsi="Times New Roman"/>
                <w:sz w:val="18"/>
                <w:szCs w:val="18"/>
                <w:color w:val="auto"/>
              </w:rPr>
              <w:t>Earnings (loss) from continuing operations before income taxes</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3"/>
        </w:trPr>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equity in loss of investee companies</w:t>
            </w:r>
          </w:p>
        </w:tc>
        <w:tc>
          <w:tcPr>
            <w:tcW w:w="840" w:type="dxa"/>
            <w:vAlign w:val="bottom"/>
          </w:tcPr>
          <w:p>
            <w:pPr>
              <w:spacing w:after="0"/>
              <w:rPr>
                <w:sz w:val="20"/>
                <w:szCs w:val="20"/>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(6,177)</w:t>
            </w:r>
          </w:p>
        </w:tc>
        <w:tc>
          <w:tcPr>
            <w:tcW w:w="420" w:type="dxa"/>
            <w:vAlign w:val="bottom"/>
          </w:tcPr>
          <w:p>
            <w:pPr>
              <w:spacing w:after="0"/>
              <w:rPr>
                <w:sz w:val="20"/>
                <w:szCs w:val="20"/>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(1,253)</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r>
      <w:tr>
        <w:trPr>
          <w:trHeight w:val="225"/>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84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305</w:t>
            </w:r>
          </w:p>
        </w:tc>
        <w:tc>
          <w:tcPr>
            <w:tcW w:w="42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361</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3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Equity in loss of investee companies, net of tax</w:t>
            </w:r>
          </w:p>
        </w:tc>
        <w:tc>
          <w:tcPr>
            <w:tcW w:w="8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(291)</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(360)</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 from continuing operations</w:t>
            </w:r>
          </w:p>
        </w:tc>
        <w:tc>
          <w:tcPr>
            <w:tcW w:w="84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(6,163)</w:t>
            </w:r>
          </w:p>
        </w:tc>
        <w:tc>
          <w:tcPr>
            <w:tcW w:w="42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(1,252)</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3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 from discontinued operations, net of tax</w:t>
            </w:r>
          </w:p>
        </w:tc>
        <w:tc>
          <w:tcPr>
            <w:tcW w:w="8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14</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676</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 (Paramount and noncontrolling interests)</w:t>
            </w:r>
          </w:p>
        </w:tc>
        <w:tc>
          <w:tcPr>
            <w:tcW w:w="84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(6,149)</w:t>
            </w:r>
          </w:p>
        </w:tc>
        <w:tc>
          <w:tcPr>
            <w:tcW w:w="42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(576)</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r>
      <w:tr>
        <w:trPr>
          <w:trHeight w:val="23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noncontrolling interests</w:t>
            </w:r>
          </w:p>
        </w:tc>
        <w:tc>
          <w:tcPr>
            <w:tcW w:w="8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5"/>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 (loss) attributable to Paramount</w:t>
            </w:r>
          </w:p>
        </w:tc>
        <w:tc>
          <w:tcPr>
            <w:tcW w:w="8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(6,190)</w:t>
            </w:r>
          </w:p>
        </w:tc>
        <w:tc>
          <w:tcPr>
            <w:tcW w:w="4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(608)</w:t>
            </w:r>
          </w:p>
        </w:tc>
        <w:tc>
          <w:tcPr>
            <w:tcW w:w="4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r>
    </w:tbl>
    <w:p>
      <w:pPr>
        <w:spacing w:after="0" w:line="117" w:lineRule="exact"/>
        <w:rPr>
          <w:sz w:val="20"/>
          <w:szCs w:val="20"/>
          <w:color w:val="auto"/>
        </w:rPr>
      </w:pPr>
    </w:p>
    <w:p>
      <w:pPr>
        <w:jc w:val="both"/>
        <w:ind w:left="240" w:hanging="238"/>
        <w:spacing w:after="0" w:line="267" w:lineRule="auto"/>
        <w:tabs>
          <w:tab w:leader="none" w:pos="2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segment expenses for our </w:t>
      </w:r>
      <w:r>
        <w:rPr>
          <w:rFonts w:ascii="Times New Roman" w:cs="Times New Roman" w:eastAsia="Times New Roman" w:hAnsi="Times New Roman"/>
          <w:sz w:val="16"/>
          <w:szCs w:val="16"/>
          <w:i w:val="1"/>
          <w:iCs w:val="1"/>
          <w:color w:val="auto"/>
        </w:rPr>
        <w:t>TV Media</w:t>
      </w:r>
      <w:r>
        <w:rPr>
          <w:rFonts w:ascii="Times New Roman" w:cs="Times New Roman" w:eastAsia="Times New Roman" w:hAnsi="Times New Roman"/>
          <w:sz w:val="16"/>
          <w:szCs w:val="16"/>
          <w:color w:val="auto"/>
        </w:rPr>
        <w:t xml:space="preserve"> segment include employee compensation; revenue-sharing costs to television stations affiliated with the CBS Television Network; costs relating to the distribution of our content; costs for research, occupancy, technology, and professional services; and other costs associated with our operations.</w:t>
      </w:r>
    </w:p>
    <w:p>
      <w:pPr>
        <w:spacing w:after="0" w:line="8" w:lineRule="exact"/>
        <w:rPr>
          <w:rFonts w:ascii="Times New Roman" w:cs="Times New Roman" w:eastAsia="Times New Roman" w:hAnsi="Times New Roman"/>
          <w:sz w:val="16"/>
          <w:szCs w:val="16"/>
          <w:color w:val="auto"/>
        </w:rPr>
      </w:pPr>
    </w:p>
    <w:p>
      <w:pPr>
        <w:ind w:left="240" w:hanging="238"/>
        <w:spacing w:after="0" w:line="292" w:lineRule="auto"/>
        <w:tabs>
          <w:tab w:leader="none" w:pos="269"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segment expenses for our </w:t>
      </w:r>
      <w:r>
        <w:rPr>
          <w:rFonts w:ascii="Times New Roman" w:cs="Times New Roman" w:eastAsia="Times New Roman" w:hAnsi="Times New Roman"/>
          <w:sz w:val="16"/>
          <w:szCs w:val="16"/>
          <w:i w:val="1"/>
          <w:iCs w:val="1"/>
          <w:color w:val="auto"/>
        </w:rPr>
        <w:t>Direct-to-Consumer</w:t>
      </w:r>
      <w:r>
        <w:rPr>
          <w:rFonts w:ascii="Times New Roman" w:cs="Times New Roman" w:eastAsia="Times New Roman" w:hAnsi="Times New Roman"/>
          <w:sz w:val="16"/>
          <w:szCs w:val="16"/>
          <w:color w:val="auto"/>
        </w:rPr>
        <w:t xml:space="preserve"> segment include employee compensation; revenue-sharing costs, including for third-party distribution; costs for occupancy, technology, and professional services; and other costs associated with our operations.</w:t>
      </w:r>
    </w:p>
    <w:p>
      <w:pPr>
        <w:sectPr>
          <w:pgSz w:w="11900" w:h="16838" w:orient="portrait"/>
          <w:cols w:equalWidth="0" w:num="1">
            <w:col w:w="9960"/>
          </w:cols>
          <w:pgMar w:left="960" w:top="404"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73660</wp:posOffset>
            </wp:positionV>
            <wp:extent cx="716026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9960"/>
          </w:cols>
          <w:pgMar w:left="960" w:top="404" w:right="979" w:bottom="1440" w:gutter="0" w:footer="0" w:header="0"/>
          <w:type w:val="continuous"/>
        </w:sectPr>
      </w:pPr>
    </w:p>
    <w:bookmarkStart w:id="137" w:name="page138"/>
    <w:bookmarkEnd w:id="137"/>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22" w:lineRule="exact"/>
        <w:rPr>
          <w:sz w:val="20"/>
          <w:szCs w:val="20"/>
          <w:color w:val="auto"/>
        </w:rPr>
      </w:pPr>
    </w:p>
    <w:p>
      <w:pPr>
        <w:ind w:left="880" w:right="640" w:hanging="238"/>
        <w:spacing w:after="0" w:line="275" w:lineRule="auto"/>
        <w:tabs>
          <w:tab w:leader="none" w:pos="867"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segment expenses for our </w:t>
      </w:r>
      <w:r>
        <w:rPr>
          <w:rFonts w:ascii="Times New Roman" w:cs="Times New Roman" w:eastAsia="Times New Roman" w:hAnsi="Times New Roman"/>
          <w:sz w:val="16"/>
          <w:szCs w:val="16"/>
          <w:i w:val="1"/>
          <w:iCs w:val="1"/>
          <w:color w:val="auto"/>
        </w:rPr>
        <w:t>Filmed Entertainment</w:t>
      </w:r>
      <w:r>
        <w:rPr>
          <w:rFonts w:ascii="Times New Roman" w:cs="Times New Roman" w:eastAsia="Times New Roman" w:hAnsi="Times New Roman"/>
          <w:sz w:val="16"/>
          <w:szCs w:val="16"/>
          <w:color w:val="auto"/>
        </w:rPr>
        <w:t xml:space="preserve"> segment include employee compensation; costs relating to the distribution of our content; costs for occupancy, technology, and professional services; and other costs associated with our operations.</w:t>
      </w:r>
    </w:p>
    <w:p>
      <w:pPr>
        <w:spacing w:after="0" w:line="17" w:lineRule="exact"/>
        <w:rPr>
          <w:rFonts w:ascii="Times New Roman" w:cs="Times New Roman" w:eastAsia="Times New Roman" w:hAnsi="Times New Roman"/>
          <w:sz w:val="16"/>
          <w:szCs w:val="16"/>
          <w:color w:val="auto"/>
        </w:rPr>
      </w:pPr>
    </w:p>
    <w:p>
      <w:pPr>
        <w:ind w:left="880" w:right="640" w:hanging="238"/>
        <w:spacing w:after="0" w:line="272" w:lineRule="auto"/>
        <w:tabs>
          <w:tab w:leader="none" w:pos="8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Stock-based compensation expense of $35 million for 2024, $5 million for 2023 and $14 million for 2022 is included in “Restructuring, transaction-related items, and other corporate matters.”</w:t>
      </w:r>
    </w:p>
    <w:p>
      <w:pPr>
        <w:spacing w:after="0" w:line="200" w:lineRule="exact"/>
        <w:rPr>
          <w:sz w:val="20"/>
          <w:szCs w:val="20"/>
          <w:color w:val="auto"/>
        </w:rPr>
      </w:pPr>
    </w:p>
    <w:tbl>
      <w:tblPr>
        <w:tblLayout w:type="fixed"/>
        <w:tblInd w:w="640" w:type="dxa"/>
        <w:tblCellMar>
          <w:top w:w="0" w:type="dxa"/>
          <w:left w:w="0" w:type="dxa"/>
          <w:bottom w:w="0" w:type="dxa"/>
          <w:right w:w="0" w:type="dxa"/>
        </w:tblCellMar>
      </w:tblPr>
      <w:tr>
        <w:trPr>
          <w:trHeight w:val="252"/>
        </w:trPr>
        <w:tc>
          <w:tcPr>
            <w:tcW w:w="60" w:type="dxa"/>
            <w:vAlign w:val="bottom"/>
          </w:tcPr>
          <w:p>
            <w:pPr>
              <w:spacing w:after="0"/>
              <w:rPr>
                <w:sz w:val="21"/>
                <w:szCs w:val="21"/>
                <w:color w:val="auto"/>
              </w:rPr>
            </w:pPr>
          </w:p>
        </w:tc>
        <w:tc>
          <w:tcPr>
            <w:tcW w:w="48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3"/>
        </w:trPr>
        <w:tc>
          <w:tcPr>
            <w:tcW w:w="60" w:type="dxa"/>
            <w:vAlign w:val="bottom"/>
          </w:tcPr>
          <w:p>
            <w:pPr>
              <w:spacing w:after="0"/>
              <w:rPr>
                <w:sz w:val="18"/>
                <w:szCs w:val="18"/>
                <w:color w:val="auto"/>
              </w:rPr>
            </w:pPr>
          </w:p>
        </w:tc>
        <w:tc>
          <w:tcPr>
            <w:tcW w:w="4820" w:type="dxa"/>
            <w:vAlign w:val="bottom"/>
          </w:tcPr>
          <w:p>
            <w:pPr>
              <w:ind w:left="20"/>
              <w:spacing w:after="0" w:line="213" w:lineRule="exact"/>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22"/>
                <w:szCs w:val="22"/>
                <w:b w:val="1"/>
                <w:bCs w:val="1"/>
                <w:color w:val="auto"/>
                <w:vertAlign w:val="superscript"/>
              </w:rPr>
              <w:t>(a)</w:t>
            </w: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5"/>
        </w:trPr>
        <w:tc>
          <w:tcPr>
            <w:tcW w:w="60" w:type="dxa"/>
            <w:vAlign w:val="bottom"/>
          </w:tcPr>
          <w:p>
            <w:pPr>
              <w:spacing w:after="0"/>
              <w:rPr>
                <w:sz w:val="19"/>
                <w:szCs w:val="19"/>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23,688</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23,962</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24,412</w:t>
            </w:r>
          </w:p>
        </w:tc>
      </w:tr>
      <w:tr>
        <w:trPr>
          <w:trHeight w:val="230"/>
        </w:trPr>
        <w:tc>
          <w:tcPr>
            <w:tcW w:w="60" w:type="dxa"/>
            <w:vAlign w:val="bottom"/>
          </w:tcPr>
          <w:p>
            <w:pPr>
              <w:spacing w:after="0"/>
              <w:rPr>
                <w:sz w:val="20"/>
                <w:szCs w:val="20"/>
                <w:color w:val="auto"/>
              </w:rPr>
            </w:pPr>
          </w:p>
        </w:tc>
        <w:tc>
          <w:tcPr>
            <w:tcW w:w="4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1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5,525</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5,690</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5,742</w:t>
            </w:r>
          </w:p>
        </w:tc>
      </w:tr>
      <w:tr>
        <w:trPr>
          <w:trHeight w:val="225"/>
        </w:trPr>
        <w:tc>
          <w:tcPr>
            <w:tcW w:w="60" w:type="dxa"/>
            <w:vAlign w:val="bottom"/>
          </w:tcPr>
          <w:p>
            <w:pPr>
              <w:spacing w:after="0"/>
              <w:rPr>
                <w:sz w:val="19"/>
                <w:szCs w:val="19"/>
                <w:color w:val="auto"/>
              </w:rPr>
            </w:pPr>
          </w:p>
        </w:tc>
        <w:tc>
          <w:tcPr>
            <w:tcW w:w="48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1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29,213</w:t>
            </w: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29,652</w:t>
            </w: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30,154</w:t>
            </w:r>
          </w:p>
        </w:tc>
      </w:tr>
      <w:tr>
        <w:trPr>
          <w:trHeight w:val="353"/>
        </w:trPr>
        <w:tc>
          <w:tcPr>
            <w:tcW w:w="4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 Revenue classifications are based on customers’ locations.</w:t>
            </w: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144" w:lineRule="exact"/>
        <w:rPr>
          <w:sz w:val="20"/>
          <w:szCs w:val="20"/>
          <w:color w:val="auto"/>
        </w:rPr>
      </w:pPr>
    </w:p>
    <w:tbl>
      <w:tblPr>
        <w:tblLayout w:type="fixed"/>
        <w:tblInd w:w="1260" w:type="dxa"/>
        <w:tblCellMar>
          <w:top w:w="0" w:type="dxa"/>
          <w:left w:w="0" w:type="dxa"/>
          <w:bottom w:w="0" w:type="dxa"/>
          <w:right w:w="0" w:type="dxa"/>
        </w:tblCellMar>
      </w:tblPr>
      <w:tr>
        <w:trPr>
          <w:trHeight w:val="252"/>
        </w:trPr>
        <w:tc>
          <w:tcPr>
            <w:tcW w:w="4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23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3"/>
        </w:trPr>
        <w:tc>
          <w:tcPr>
            <w:tcW w:w="4120" w:type="dxa"/>
            <w:vAlign w:val="bottom"/>
          </w:tcPr>
          <w:p>
            <w:pPr>
              <w:spacing w:after="0" w:line="213" w:lineRule="exact"/>
              <w:rPr>
                <w:sz w:val="20"/>
                <w:szCs w:val="20"/>
                <w:color w:val="auto"/>
              </w:rPr>
            </w:pPr>
            <w:r>
              <w:rPr>
                <w:rFonts w:ascii="Times New Roman" w:cs="Times New Roman" w:eastAsia="Times New Roman" w:hAnsi="Times New Roman"/>
                <w:sz w:val="18"/>
                <w:szCs w:val="18"/>
                <w:b w:val="1"/>
                <w:bCs w:val="1"/>
                <w:color w:val="auto"/>
              </w:rPr>
              <w:t xml:space="preserve">Long-lived Assets: </w:t>
            </w:r>
            <w:r>
              <w:rPr>
                <w:rFonts w:ascii="Times New Roman" w:cs="Times New Roman" w:eastAsia="Times New Roman" w:hAnsi="Times New Roman"/>
                <w:sz w:val="22"/>
                <w:szCs w:val="22"/>
                <w:b w:val="1"/>
                <w:bCs w:val="1"/>
                <w:color w:val="auto"/>
                <w:vertAlign w:val="superscript"/>
              </w:rPr>
              <w:t>(a)</w:t>
            </w:r>
          </w:p>
        </w:tc>
        <w:tc>
          <w:tcPr>
            <w:tcW w:w="2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5"/>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2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15,407</w:t>
            </w:r>
          </w:p>
        </w:tc>
        <w:tc>
          <w:tcPr>
            <w:tcW w:w="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15,249</w:t>
            </w:r>
          </w:p>
        </w:tc>
      </w:tr>
      <w:tr>
        <w:trPr>
          <w:trHeight w:val="230"/>
        </w:trPr>
        <w:tc>
          <w:tcPr>
            <w:tcW w:w="4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2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1,095</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w:t>
            </w:r>
          </w:p>
        </w:tc>
      </w:tr>
      <w:tr>
        <w:trPr>
          <w:trHeight w:val="225"/>
        </w:trPr>
        <w:tc>
          <w:tcPr>
            <w:tcW w:w="41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Total Long-lived Assets</w:t>
            </w:r>
          </w:p>
        </w:tc>
        <w:tc>
          <w:tcPr>
            <w:tcW w:w="23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16,502</w:t>
            </w:r>
          </w:p>
        </w:tc>
        <w:tc>
          <w:tcPr>
            <w:tcW w:w="3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16,700</w:t>
            </w:r>
          </w:p>
        </w:tc>
      </w:tr>
    </w:tbl>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(a) Reflects total assets less current assets, investments, goodwill, intangible assets, noncurrent receivables and noncurrent deferred tax assets.</w:t>
      </w:r>
    </w:p>
    <w:p>
      <w:pPr>
        <w:spacing w:after="0" w:line="21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We do not disclose our assets by segment because they are not regularly provided to the CODM and are not used to evaluate our operating performance or in determining the allocation of resources.</w:t>
      </w:r>
    </w:p>
    <w:p>
      <w:pPr>
        <w:spacing w:after="0" w:line="153" w:lineRule="exact"/>
        <w:rPr>
          <w:sz w:val="20"/>
          <w:szCs w:val="20"/>
          <w:color w:val="auto"/>
        </w:rPr>
      </w:pPr>
    </w:p>
    <w:p>
      <w:pPr>
        <w:jc w:val="right"/>
        <w:ind w:right="9540"/>
        <w:spacing w:after="0"/>
        <w:rPr>
          <w:sz w:val="20"/>
          <w:szCs w:val="20"/>
          <w:color w:val="auto"/>
        </w:rPr>
      </w:pPr>
      <w:r>
        <w:rPr>
          <w:rFonts w:ascii="Times New Roman" w:cs="Times New Roman" w:eastAsia="Times New Roman" w:hAnsi="Times New Roman"/>
          <w:sz w:val="19"/>
          <w:szCs w:val="19"/>
          <w:b w:val="1"/>
          <w:bCs w:val="1"/>
          <w:color w:val="auto"/>
        </w:rPr>
        <w:t>18) DISPOSITIONS</w:t>
      </w:r>
    </w:p>
    <w:p>
      <w:pPr>
        <w:spacing w:after="0" w:line="155" w:lineRule="exact"/>
        <w:rPr>
          <w:sz w:val="20"/>
          <w:szCs w:val="20"/>
          <w:color w:val="auto"/>
        </w:rPr>
      </w:pPr>
    </w:p>
    <w:p>
      <w:pPr>
        <w:jc w:val="right"/>
        <w:ind w:right="9520"/>
        <w:spacing w:after="0"/>
        <w:rPr>
          <w:sz w:val="20"/>
          <w:szCs w:val="20"/>
          <w:color w:val="auto"/>
        </w:rPr>
      </w:pPr>
      <w:r>
        <w:rPr>
          <w:rFonts w:ascii="Times New Roman" w:cs="Times New Roman" w:eastAsia="Times New Roman" w:hAnsi="Times New Roman"/>
          <w:sz w:val="19"/>
          <w:szCs w:val="19"/>
          <w:i w:val="1"/>
          <w:iCs w:val="1"/>
          <w:color w:val="auto"/>
        </w:rPr>
        <w:t>Simon &amp; Schuster</w:t>
      </w:r>
    </w:p>
    <w:p>
      <w:pPr>
        <w:spacing w:after="0" w:line="15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On October 30, 2023, we completed the sale of Simon &amp; Schuster to affiliates of Kohlberg Kravis Roberts &amp; Co. for $1.62 billion. As a result, we recognized a pretax gain during the fourth quarter of 2023 of $695 million. During 2024, as a result of working capital adjustments we recorded additional pretax gains on the sale totaling $19 million ($14 million, net of tax).</w:t>
      </w:r>
    </w:p>
    <w:p>
      <w:pPr>
        <w:spacing w:after="0" w:line="17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The following tables set forth details of net earnings from discontinued operations for the years ended December 31, 2023 and 2022, which primarily relates to Simon &amp; Schuster.</w:t>
      </w:r>
    </w:p>
    <w:p>
      <w:pPr>
        <w:spacing w:after="0" w:line="93" w:lineRule="exact"/>
        <w:rPr>
          <w:sz w:val="20"/>
          <w:szCs w:val="20"/>
          <w:color w:val="auto"/>
        </w:rPr>
      </w:pPr>
    </w:p>
    <w:tbl>
      <w:tblPr>
        <w:tblLayout w:type="fixed"/>
        <w:tblInd w:w="600" w:type="dxa"/>
        <w:tblCellMar>
          <w:top w:w="0" w:type="dxa"/>
          <w:left w:w="0" w:type="dxa"/>
          <w:bottom w:w="0" w:type="dxa"/>
          <w:right w:w="0" w:type="dxa"/>
        </w:tblCellMar>
      </w:tblPr>
      <w:tr>
        <w:trPr>
          <w:trHeight w:val="252"/>
        </w:trPr>
        <w:tc>
          <w:tcPr>
            <w:tcW w:w="4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2560" w:type="dxa"/>
            <w:vAlign w:val="bottom"/>
            <w:tcBorders>
              <w:top w:val="single" w:sz="8" w:color="auto"/>
              <w:bottom w:val="single" w:sz="8" w:color="auto"/>
            </w:tcBorders>
            <w:gridSpan w:val="2"/>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Simon &amp; Schuster</w:t>
            </w:r>
          </w:p>
        </w:tc>
        <w:tc>
          <w:tcPr>
            <w:tcW w:w="4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212"/>
              <w:spacing w:after="0" w:line="251" w:lineRule="exact"/>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22"/>
                <w:szCs w:val="22"/>
                <w:b w:val="1"/>
                <w:bCs w:val="1"/>
                <w:color w:val="auto"/>
                <w:vertAlign w:val="superscript"/>
              </w:rPr>
              <w:t>(a)</w:t>
            </w:r>
          </w:p>
        </w:tc>
        <w:tc>
          <w:tcPr>
            <w:tcW w:w="48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5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958</w:t>
            </w:r>
          </w:p>
        </w:tc>
        <w:tc>
          <w:tcPr>
            <w:tcW w:w="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5"/>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1520" w:type="dxa"/>
            <w:vAlign w:val="bottom"/>
          </w:tcPr>
          <w:p>
            <w:pPr>
              <w:spacing w:after="0"/>
              <w:rPr>
                <w:sz w:val="19"/>
                <w:szCs w:val="19"/>
                <w:color w:val="auto"/>
              </w:rPr>
            </w:pPr>
          </w:p>
        </w:tc>
        <w:tc>
          <w:tcPr>
            <w:tcW w:w="10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580</w:t>
            </w:r>
          </w:p>
        </w:tc>
        <w:tc>
          <w:tcPr>
            <w:tcW w:w="440" w:type="dxa"/>
            <w:vAlign w:val="bottom"/>
          </w:tcPr>
          <w:p>
            <w:pPr>
              <w:spacing w:after="0"/>
              <w:rPr>
                <w:sz w:val="19"/>
                <w:szCs w:val="19"/>
                <w:color w:val="auto"/>
              </w:rPr>
            </w:pPr>
          </w:p>
        </w:tc>
        <w:tc>
          <w:tcPr>
            <w:tcW w:w="10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25"/>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20" w:type="dxa"/>
            <w:vAlign w:val="bottom"/>
          </w:tcPr>
          <w:p>
            <w:pPr>
              <w:spacing w:after="0"/>
              <w:rPr>
                <w:sz w:val="19"/>
                <w:szCs w:val="19"/>
                <w:color w:val="auto"/>
              </w:rPr>
            </w:pPr>
          </w:p>
        </w:tc>
        <w:tc>
          <w:tcPr>
            <w:tcW w:w="10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149</w:t>
            </w:r>
          </w:p>
        </w:tc>
        <w:tc>
          <w:tcPr>
            <w:tcW w:w="440" w:type="dxa"/>
            <w:vAlign w:val="bottom"/>
          </w:tcPr>
          <w:p>
            <w:pPr>
              <w:spacing w:after="0"/>
              <w:rPr>
                <w:sz w:val="19"/>
                <w:szCs w:val="19"/>
                <w:color w:val="auto"/>
              </w:rPr>
            </w:pPr>
          </w:p>
        </w:tc>
        <w:tc>
          <w:tcPr>
            <w:tcW w:w="10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30"/>
        </w:trPr>
        <w:tc>
          <w:tcPr>
            <w:tcW w:w="4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1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3"/>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520" w:type="dxa"/>
            <w:vAlign w:val="bottom"/>
          </w:tcPr>
          <w:p>
            <w:pPr>
              <w:spacing w:after="0"/>
              <w:rPr>
                <w:sz w:val="18"/>
                <w:szCs w:val="18"/>
                <w:color w:val="auto"/>
              </w:rPr>
            </w:pPr>
          </w:p>
        </w:tc>
        <w:tc>
          <w:tcPr>
            <w:tcW w:w="10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731</w:t>
            </w:r>
          </w:p>
        </w:tc>
        <w:tc>
          <w:tcPr>
            <w:tcW w:w="440" w:type="dxa"/>
            <w:vAlign w:val="bottom"/>
          </w:tcPr>
          <w:p>
            <w:pPr>
              <w:spacing w:after="0"/>
              <w:rPr>
                <w:sz w:val="18"/>
                <w:szCs w:val="18"/>
                <w:color w:val="auto"/>
              </w:rPr>
            </w:pPr>
          </w:p>
        </w:tc>
        <w:tc>
          <w:tcPr>
            <w:tcW w:w="10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25"/>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520" w:type="dxa"/>
            <w:vAlign w:val="bottom"/>
          </w:tcPr>
          <w:p>
            <w:pPr>
              <w:spacing w:after="0"/>
              <w:rPr>
                <w:sz w:val="19"/>
                <w:szCs w:val="19"/>
                <w:color w:val="auto"/>
              </w:rPr>
            </w:pPr>
          </w:p>
        </w:tc>
        <w:tc>
          <w:tcPr>
            <w:tcW w:w="10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227</w:t>
            </w:r>
          </w:p>
        </w:tc>
        <w:tc>
          <w:tcPr>
            <w:tcW w:w="440" w:type="dxa"/>
            <w:vAlign w:val="bottom"/>
          </w:tcPr>
          <w:p>
            <w:pPr>
              <w:spacing w:after="0"/>
              <w:rPr>
                <w:sz w:val="19"/>
                <w:szCs w:val="19"/>
                <w:color w:val="auto"/>
              </w:rPr>
            </w:pPr>
          </w:p>
        </w:tc>
        <w:tc>
          <w:tcPr>
            <w:tcW w:w="10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30"/>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1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(9)</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discontinued operations</w:t>
            </w:r>
          </w:p>
        </w:tc>
        <w:tc>
          <w:tcPr>
            <w:tcW w:w="1520" w:type="dxa"/>
            <w:vAlign w:val="bottom"/>
          </w:tcPr>
          <w:p>
            <w:pPr>
              <w:spacing w:after="0"/>
              <w:rPr>
                <w:sz w:val="18"/>
                <w:szCs w:val="18"/>
                <w:color w:val="auto"/>
              </w:rPr>
            </w:pPr>
          </w:p>
        </w:tc>
        <w:tc>
          <w:tcPr>
            <w:tcW w:w="10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218</w:t>
            </w:r>
          </w:p>
        </w:tc>
        <w:tc>
          <w:tcPr>
            <w:tcW w:w="440" w:type="dxa"/>
            <w:vAlign w:val="bottom"/>
          </w:tcPr>
          <w:p>
            <w:pPr>
              <w:spacing w:after="0"/>
              <w:rPr>
                <w:sz w:val="18"/>
                <w:szCs w:val="18"/>
                <w:color w:val="auto"/>
              </w:rPr>
            </w:pPr>
          </w:p>
        </w:tc>
        <w:tc>
          <w:tcPr>
            <w:tcW w:w="10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30"/>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discontinued operations, net of tax</w:t>
            </w:r>
          </w:p>
        </w:tc>
        <w:tc>
          <w:tcPr>
            <w:tcW w:w="1520" w:type="dxa"/>
            <w:vAlign w:val="bottom"/>
          </w:tcPr>
          <w:p>
            <w:pPr>
              <w:spacing w:after="0"/>
              <w:rPr>
                <w:sz w:val="18"/>
                <w:szCs w:val="18"/>
                <w:color w:val="auto"/>
              </w:rPr>
            </w:pPr>
          </w:p>
        </w:tc>
        <w:tc>
          <w:tcPr>
            <w:tcW w:w="10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230</w:t>
            </w:r>
          </w:p>
        </w:tc>
        <w:tc>
          <w:tcPr>
            <w:tcW w:w="440" w:type="dxa"/>
            <w:vAlign w:val="bottom"/>
          </w:tcPr>
          <w:p>
            <w:pPr>
              <w:spacing w:after="0"/>
              <w:rPr>
                <w:sz w:val="18"/>
                <w:szCs w:val="18"/>
                <w:color w:val="auto"/>
              </w:rPr>
            </w:pPr>
          </w:p>
        </w:tc>
        <w:tc>
          <w:tcPr>
            <w:tcW w:w="10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9</w:t>
            </w: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33"/>
        </w:trPr>
        <w:tc>
          <w:tcPr>
            <w:tcW w:w="4740" w:type="dxa"/>
            <w:vAlign w:val="bottom"/>
            <w:tcBorders>
              <w:bottom w:val="single" w:sz="8" w:color="auto"/>
            </w:tcBorders>
          </w:tcPr>
          <w:p>
            <w:pPr>
              <w:ind w:left="20"/>
              <w:spacing w:after="0" w:line="233" w:lineRule="exact"/>
              <w:rPr>
                <w:sz w:val="20"/>
                <w:szCs w:val="20"/>
                <w:color w:val="auto"/>
              </w:rPr>
            </w:pPr>
            <w:r>
              <w:rPr>
                <w:rFonts w:ascii="Times New Roman" w:cs="Times New Roman" w:eastAsia="Times New Roman" w:hAnsi="Times New Roman"/>
                <w:sz w:val="18"/>
                <w:szCs w:val="18"/>
                <w:color w:val="auto"/>
              </w:rPr>
              <w:t xml:space="preserve">Gain on sale (net of tax of $258 million) </w:t>
            </w:r>
            <w:r>
              <w:rPr>
                <w:rFonts w:ascii="Times New Roman" w:cs="Times New Roman" w:eastAsia="Times New Roman" w:hAnsi="Times New Roman"/>
                <w:sz w:val="22"/>
                <w:szCs w:val="22"/>
                <w:color w:val="auto"/>
                <w:vertAlign w:val="superscript"/>
              </w:rPr>
              <w:t>(b)</w:t>
            </w:r>
          </w:p>
        </w:tc>
        <w:tc>
          <w:tcPr>
            <w:tcW w:w="1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437</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25"/>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 from discontinued operations, net of tax</w:t>
            </w:r>
          </w:p>
        </w:tc>
        <w:tc>
          <w:tcPr>
            <w:tcW w:w="15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667</w:t>
            </w:r>
          </w:p>
        </w:tc>
        <w:tc>
          <w:tcPr>
            <w:tcW w:w="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9</w:t>
            </w:r>
          </w:p>
        </w:tc>
        <w:tc>
          <w:tcPr>
            <w:tcW w:w="4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r>
    </w:tbl>
    <w:p>
      <w:pPr>
        <w:spacing w:after="0" w:line="200" w:lineRule="exact"/>
        <w:rPr>
          <w:sz w:val="20"/>
          <w:szCs w:val="20"/>
          <w:color w:val="auto"/>
        </w:rPr>
      </w:pPr>
    </w:p>
    <w:p>
      <w:pPr>
        <w:sectPr>
          <w:pgSz w:w="11900" w:h="16838" w:orient="portrait"/>
          <w:cols w:equalWidth="0" w:num="1">
            <w:col w:w="11240"/>
          </w:cols>
          <w:pgMar w:left="320" w:top="4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type w:val="continuous"/>
        </w:sectPr>
      </w:pPr>
    </w:p>
    <w:bookmarkStart w:id="138" w:name="page139"/>
    <w:bookmarkEnd w:id="138"/>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44" w:lineRule="exact"/>
        <w:rPr>
          <w:sz w:val="20"/>
          <w:szCs w:val="20"/>
          <w:color w:val="auto"/>
        </w:rPr>
      </w:pPr>
    </w:p>
    <w:tbl>
      <w:tblPr>
        <w:tblLayout w:type="fixed"/>
        <w:tblInd w:w="460" w:type="dxa"/>
        <w:tblCellMar>
          <w:top w:w="0" w:type="dxa"/>
          <w:left w:w="0" w:type="dxa"/>
          <w:bottom w:w="0" w:type="dxa"/>
          <w:right w:w="0" w:type="dxa"/>
        </w:tblCellMar>
      </w:tblPr>
      <w:tr>
        <w:trPr>
          <w:trHeight w:val="252"/>
        </w:trPr>
        <w:tc>
          <w:tcPr>
            <w:tcW w:w="48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2660" w:type="dxa"/>
            <w:vAlign w:val="bottom"/>
            <w:tcBorders>
              <w:top w:val="single" w:sz="8" w:color="auto"/>
              <w:bottom w:val="single" w:sz="8" w:color="auto"/>
            </w:tcBorders>
            <w:gridSpan w:val="2"/>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Simon &amp; Schuster</w:t>
            </w:r>
          </w:p>
        </w:tc>
        <w:tc>
          <w:tcPr>
            <w:tcW w:w="4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12"/>
              <w:spacing w:after="0" w:line="251" w:lineRule="exact"/>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22"/>
                <w:szCs w:val="22"/>
                <w:b w:val="1"/>
                <w:bCs w:val="1"/>
                <w:color w:val="auto"/>
                <w:vertAlign w:val="superscript"/>
              </w:rPr>
              <w:t>(a)</w:t>
            </w:r>
          </w:p>
        </w:tc>
        <w:tc>
          <w:tcPr>
            <w:tcW w:w="5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Revenues</w:t>
            </w:r>
          </w:p>
        </w:tc>
        <w:tc>
          <w:tcPr>
            <w:tcW w:w="15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1,177</w:t>
            </w:r>
          </w:p>
        </w:tc>
        <w:tc>
          <w:tcPr>
            <w:tcW w:w="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w:t>
            </w:r>
          </w:p>
        </w:tc>
      </w:tr>
      <w:tr>
        <w:trPr>
          <w:trHeight w:val="213"/>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5"/>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1560" w:type="dxa"/>
            <w:vAlign w:val="bottom"/>
          </w:tcPr>
          <w:p>
            <w:pPr>
              <w:spacing w:after="0"/>
              <w:rPr>
                <w:sz w:val="19"/>
                <w:szCs w:val="19"/>
                <w:color w:val="auto"/>
              </w:rPr>
            </w:pPr>
          </w:p>
        </w:tc>
        <w:tc>
          <w:tcPr>
            <w:tcW w:w="11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746</w:t>
            </w:r>
          </w:p>
        </w:tc>
        <w:tc>
          <w:tcPr>
            <w:tcW w:w="460" w:type="dxa"/>
            <w:vAlign w:val="bottom"/>
          </w:tcPr>
          <w:p>
            <w:pPr>
              <w:spacing w:after="0"/>
              <w:rPr>
                <w:sz w:val="19"/>
                <w:szCs w:val="19"/>
                <w:color w:val="auto"/>
              </w:rPr>
            </w:pP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(30)</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225"/>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60" w:type="dxa"/>
            <w:vAlign w:val="bottom"/>
          </w:tcPr>
          <w:p>
            <w:pPr>
              <w:spacing w:after="0"/>
              <w:rPr>
                <w:sz w:val="19"/>
                <w:szCs w:val="19"/>
                <w:color w:val="auto"/>
              </w:rPr>
            </w:pPr>
          </w:p>
        </w:tc>
        <w:tc>
          <w:tcPr>
            <w:tcW w:w="11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180</w:t>
            </w:r>
          </w:p>
        </w:tc>
        <w:tc>
          <w:tcPr>
            <w:tcW w:w="460" w:type="dxa"/>
            <w:vAlign w:val="bottom"/>
          </w:tcPr>
          <w:p>
            <w:pPr>
              <w:spacing w:after="0"/>
              <w:rPr>
                <w:sz w:val="19"/>
                <w:szCs w:val="19"/>
                <w:color w:val="auto"/>
              </w:rPr>
            </w:pP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30"/>
        </w:trPr>
        <w:tc>
          <w:tcPr>
            <w:tcW w:w="4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15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3"/>
        </w:trPr>
        <w:tc>
          <w:tcPr>
            <w:tcW w:w="4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56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929</w:t>
            </w:r>
          </w:p>
        </w:tc>
        <w:tc>
          <w:tcPr>
            <w:tcW w:w="46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(30)</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r>
      <w:tr>
        <w:trPr>
          <w:trHeight w:val="222"/>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560" w:type="dxa"/>
            <w:vAlign w:val="bottom"/>
          </w:tcPr>
          <w:p>
            <w:pPr>
              <w:spacing w:after="0"/>
              <w:rPr>
                <w:sz w:val="19"/>
                <w:szCs w:val="19"/>
                <w:color w:val="auto"/>
              </w:rPr>
            </w:pPr>
          </w:p>
        </w:tc>
        <w:tc>
          <w:tcPr>
            <w:tcW w:w="11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248</w:t>
            </w:r>
          </w:p>
        </w:tc>
        <w:tc>
          <w:tcPr>
            <w:tcW w:w="460" w:type="dxa"/>
            <w:vAlign w:val="bottom"/>
          </w:tcPr>
          <w:p>
            <w:pPr>
              <w:spacing w:after="0"/>
              <w:rPr>
                <w:sz w:val="19"/>
                <w:szCs w:val="19"/>
                <w:color w:val="auto"/>
              </w:rPr>
            </w:pP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30</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28"/>
        </w:trPr>
        <w:tc>
          <w:tcPr>
            <w:tcW w:w="4840" w:type="dxa"/>
            <w:vAlign w:val="bottom"/>
          </w:tcPr>
          <w:p>
            <w:pPr>
              <w:spacing w:after="0" w:line="228" w:lineRule="exact"/>
              <w:rPr>
                <w:sz w:val="20"/>
                <w:szCs w:val="20"/>
                <w:color w:val="auto"/>
              </w:rPr>
            </w:pPr>
            <w:r>
              <w:rPr>
                <w:rFonts w:ascii="Times New Roman" w:cs="Times New Roman" w:eastAsia="Times New Roman" w:hAnsi="Times New Roman"/>
                <w:sz w:val="18"/>
                <w:szCs w:val="18"/>
                <w:color w:val="auto"/>
              </w:rPr>
              <w:t xml:space="preserve">Termination fee, net of advisory fees </w:t>
            </w:r>
            <w:r>
              <w:rPr>
                <w:rFonts w:ascii="Times New Roman" w:cs="Times New Roman" w:eastAsia="Times New Roman" w:hAnsi="Times New Roman"/>
                <w:sz w:val="22"/>
                <w:szCs w:val="22"/>
                <w:color w:val="auto"/>
                <w:vertAlign w:val="superscript"/>
              </w:rPr>
              <w:t>(c)</w:t>
            </w:r>
          </w:p>
        </w:tc>
        <w:tc>
          <w:tcPr>
            <w:tcW w:w="1560" w:type="dxa"/>
            <w:vAlign w:val="bottom"/>
          </w:tcPr>
          <w:p>
            <w:pPr>
              <w:spacing w:after="0"/>
              <w:rPr>
                <w:sz w:val="19"/>
                <w:szCs w:val="19"/>
                <w:color w:val="auto"/>
              </w:rPr>
            </w:pPr>
          </w:p>
        </w:tc>
        <w:tc>
          <w:tcPr>
            <w:tcW w:w="11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190</w:t>
            </w:r>
          </w:p>
        </w:tc>
        <w:tc>
          <w:tcPr>
            <w:tcW w:w="460" w:type="dxa"/>
            <w:vAlign w:val="bottom"/>
          </w:tcPr>
          <w:p>
            <w:pPr>
              <w:spacing w:after="0"/>
              <w:rPr>
                <w:sz w:val="19"/>
                <w:szCs w:val="19"/>
                <w:color w:val="auto"/>
              </w:rPr>
            </w:pP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30"/>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items, net</w:t>
            </w:r>
          </w:p>
        </w:tc>
        <w:tc>
          <w:tcPr>
            <w:tcW w:w="15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(12)</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3"/>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discontinued operations</w:t>
            </w:r>
          </w:p>
        </w:tc>
        <w:tc>
          <w:tcPr>
            <w:tcW w:w="156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426</w:t>
            </w:r>
          </w:p>
        </w:tc>
        <w:tc>
          <w:tcPr>
            <w:tcW w:w="460" w:type="dxa"/>
            <w:vAlign w:val="bottom"/>
          </w:tcPr>
          <w:p>
            <w:pPr>
              <w:spacing w:after="0"/>
              <w:rPr>
                <w:sz w:val="18"/>
                <w:szCs w:val="18"/>
                <w:color w:val="auto"/>
              </w:rPr>
            </w:pP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30</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30"/>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5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(70)</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(7)</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5"/>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earnings from discontinued operations, net of tax</w:t>
            </w:r>
          </w:p>
        </w:tc>
        <w:tc>
          <w:tcPr>
            <w:tcW w:w="15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356</w:t>
            </w:r>
          </w:p>
        </w:tc>
        <w:tc>
          <w:tcPr>
            <w:tcW w:w="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23</w:t>
            </w:r>
          </w:p>
        </w:tc>
        <w:tc>
          <w:tcPr>
            <w:tcW w:w="5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r>
    </w:tbl>
    <w:p>
      <w:pPr>
        <w:spacing w:after="0" w:line="119" w:lineRule="exact"/>
        <w:rPr>
          <w:sz w:val="20"/>
          <w:szCs w:val="20"/>
          <w:color w:val="auto"/>
        </w:rPr>
      </w:pPr>
    </w:p>
    <w:p>
      <w:pPr>
        <w:ind w:left="640" w:right="740" w:hanging="237"/>
        <w:spacing w:after="0" w:line="272" w:lineRule="auto"/>
        <w:tabs>
          <w:tab w:leader="none" w:pos="653"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relates to indemnification obligations for leases associated with the previously discontinued operations of Famous Players Inc. (“Famous Players”).</w:t>
      </w:r>
    </w:p>
    <w:p>
      <w:pPr>
        <w:spacing w:after="0" w:line="6" w:lineRule="exact"/>
        <w:rPr>
          <w:rFonts w:ascii="Times New Roman" w:cs="Times New Roman" w:eastAsia="Times New Roman" w:hAnsi="Times New Roman"/>
          <w:sz w:val="16"/>
          <w:szCs w:val="16"/>
          <w:color w:val="auto"/>
        </w:rPr>
      </w:pPr>
    </w:p>
    <w:p>
      <w:pPr>
        <w:ind w:left="640" w:right="740" w:hanging="237"/>
        <w:spacing w:after="0" w:line="285" w:lineRule="auto"/>
        <w:tabs>
          <w:tab w:leader="none" w:pos="638"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provision on the gain on sale differs from the amount that would be expected at the U.S. federal statutory income tax rate primarily because the goodwill was not deductible for tax purposes.</w:t>
      </w:r>
    </w:p>
    <w:p>
      <w:pPr>
        <w:ind w:left="640" w:right="740" w:hanging="237"/>
        <w:spacing w:after="0" w:line="290" w:lineRule="auto"/>
        <w:tabs>
          <w:tab w:leader="none" w:pos="622"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the terms of a previous agreement to sell Simon &amp; Schuster, we received a $200 million termination payment after the U.S. Department of Justice prevailed in its suit to block the sale.</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i w:val="1"/>
          <w:iCs w:val="1"/>
          <w:color w:val="auto"/>
        </w:rPr>
        <w:t>Other</w:t>
      </w:r>
    </w:p>
    <w:p>
      <w:pPr>
        <w:spacing w:after="0" w:line="168"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19"/>
          <w:szCs w:val="19"/>
          <w:color w:val="auto"/>
        </w:rPr>
        <w:t>In September 2022, in connection with our funding commitments under our streaming joint venture, SkyShowtime, we made a noncash contribution of certain assets of Paramount+ in the Nordics to the joint venture, which resulted in a gain of $41 million. Also in 2022, we recorded gains on dispositions totaling $15 million, comprised of a gain from the sale of international intangible assets and a working capital adjustment to the gain from the fourth quarter 2021 sale of CBS Studio Center.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19) COMMITMENTS AND CONTINGENCIES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Commitments</w:t>
      </w:r>
    </w:p>
    <w:p>
      <w:pPr>
        <w:spacing w:after="0" w:line="157" w:lineRule="exact"/>
        <w:rPr>
          <w:sz w:val="20"/>
          <w:szCs w:val="20"/>
          <w:color w:val="auto"/>
        </w:rPr>
      </w:pPr>
    </w:p>
    <w:p>
      <w:pPr>
        <w:jc w:val="both"/>
        <w:ind w:right="120"/>
        <w:spacing w:after="0" w:line="300" w:lineRule="auto"/>
        <w:rPr>
          <w:sz w:val="20"/>
          <w:szCs w:val="20"/>
          <w:color w:val="auto"/>
        </w:rPr>
      </w:pPr>
      <w:r>
        <w:rPr>
          <w:rFonts w:ascii="Times New Roman" w:cs="Times New Roman" w:eastAsia="Times New Roman" w:hAnsi="Times New Roman"/>
          <w:sz w:val="19"/>
          <w:szCs w:val="19"/>
          <w:color w:val="auto"/>
        </w:rPr>
        <w:t>Our long-term commitments not recorded on the balance sheet primarily consist of programming and talent commitments and purchase obligations for goods and services resulting from our normal course of business.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Off-Balance Sheet Arrangements</w:t>
      </w:r>
    </w:p>
    <w:p>
      <w:pPr>
        <w:spacing w:after="0" w:line="155" w:lineRule="exact"/>
        <w:rPr>
          <w:sz w:val="20"/>
          <w:szCs w:val="20"/>
          <w:color w:val="auto"/>
        </w:rPr>
      </w:pPr>
    </w:p>
    <w:p>
      <w:pPr>
        <w:jc w:val="both"/>
        <w:ind w:right="100"/>
        <w:spacing w:after="0" w:line="269" w:lineRule="auto"/>
        <w:rPr>
          <w:sz w:val="20"/>
          <w:szCs w:val="20"/>
          <w:color w:val="auto"/>
        </w:rPr>
      </w:pPr>
      <w:r>
        <w:rPr>
          <w:rFonts w:ascii="Times New Roman" w:cs="Times New Roman" w:eastAsia="Times New Roman" w:hAnsi="Times New Roman"/>
          <w:sz w:val="19"/>
          <w:szCs w:val="19"/>
          <w:color w:val="auto"/>
        </w:rPr>
        <w:t>Our long-term programming and talent commitments not recorded on the balance sheet, estimated to aggregate to $29.86 billion as of December 31, 2024, include $26.21 billion for sports programming rights and $3.65 billion relating to the production and licensing of television and film programming, including talent contracts. We also have long-term committed purchase obligations which include agreements to purchase goods or services in the future that totaled $1.17 billion as of December 31, 2024. These commitments are payable as follows:</w:t>
      </w:r>
    </w:p>
    <w:p>
      <w:pPr>
        <w:spacing w:after="0" w:line="136" w:lineRule="exact"/>
        <w:rPr>
          <w:sz w:val="20"/>
          <w:szCs w:val="20"/>
          <w:color w:val="auto"/>
        </w:rPr>
      </w:pPr>
    </w:p>
    <w:tbl>
      <w:tblPr>
        <w:tblLayout w:type="fixed"/>
        <w:tblInd w:w="320" w:type="dxa"/>
        <w:tblCellMar>
          <w:top w:w="0" w:type="dxa"/>
          <w:left w:w="0" w:type="dxa"/>
          <w:bottom w:w="0" w:type="dxa"/>
          <w:right w:w="0" w:type="dxa"/>
        </w:tblCellMar>
      </w:tblPr>
      <w:tr>
        <w:trPr>
          <w:trHeight w:val="252"/>
        </w:trPr>
        <w:tc>
          <w:tcPr>
            <w:tcW w:w="372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gridSpan w:val="5"/>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3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r>
      <w:tr>
        <w:trPr>
          <w:trHeight w:val="211"/>
        </w:trPr>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2030 and</w:t>
            </w:r>
          </w:p>
        </w:tc>
      </w:tr>
      <w:tr>
        <w:trPr>
          <w:trHeight w:val="232"/>
        </w:trPr>
        <w:tc>
          <w:tcPr>
            <w:tcW w:w="3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2027</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2028</w:t>
            </w: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2029</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Thereafter</w:t>
            </w:r>
          </w:p>
        </w:tc>
      </w:tr>
      <w:tr>
        <w:trPr>
          <w:trHeight w:val="21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5"/>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Programming and talent commitments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29,864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3,982</w:t>
            </w:r>
          </w:p>
        </w:tc>
        <w:tc>
          <w:tcPr>
            <w:tcW w:w="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4,131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3,533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3,661</w:t>
            </w:r>
          </w:p>
        </w:tc>
        <w:tc>
          <w:tcPr>
            <w:tcW w:w="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3,328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7"/>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1,173</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554</w:t>
            </w:r>
          </w:p>
        </w:tc>
        <w:tc>
          <w:tcPr>
            <w:tcW w:w="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445</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113</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340"/>
          </w:cols>
          <w:pgMar w:left="320" w:top="4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color w:val="auto"/>
        </w:rPr>
        <w:t>II-94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404" w:right="239" w:bottom="1440" w:gutter="0" w:footer="0" w:header="0"/>
          <w:type w:val="continuous"/>
        </w:sectPr>
      </w:pPr>
    </w:p>
    <w:bookmarkStart w:id="139" w:name="page140"/>
    <w:bookmarkEnd w:id="139"/>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On-Balance Sheet Arrangements</w:t>
      </w:r>
    </w:p>
    <w:p>
      <w:pPr>
        <w:spacing w:after="0" w:line="15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At December 31, 2024, we also had long-term contractual obligations for programming liabilities, participations, and residuals. These long-term contractual obligations are payable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1055370</wp:posOffset>
            </wp:positionH>
            <wp:positionV relativeFrom="paragraph">
              <wp:posOffset>71755</wp:posOffset>
            </wp:positionV>
            <wp:extent cx="503999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039995" cy="17145"/>
                    </a:xfrm>
                    <a:prstGeom prst="rect">
                      <a:avLst/>
                    </a:prstGeom>
                    <a:noFill/>
                  </pic:spPr>
                </pic:pic>
              </a:graphicData>
            </a:graphic>
          </wp:anchor>
        </w:drawing>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Payments Due by Period</w:t>
      </w:r>
    </w:p>
    <w:p>
      <w:pPr>
        <w:spacing w:after="0" w:line="25" w:lineRule="exact"/>
        <w:rPr>
          <w:sz w:val="20"/>
          <w:szCs w:val="20"/>
          <w:color w:val="auto"/>
        </w:rPr>
      </w:pPr>
    </w:p>
    <w:tbl>
      <w:tblPr>
        <w:tblLayout w:type="fixed"/>
        <w:tblInd w:w="1660" w:type="dxa"/>
        <w:tblCellMar>
          <w:top w:w="0" w:type="dxa"/>
          <w:left w:w="0" w:type="dxa"/>
          <w:bottom w:w="0" w:type="dxa"/>
          <w:right w:w="0" w:type="dxa"/>
        </w:tblCellMar>
      </w:tblPr>
      <w:tr>
        <w:trPr>
          <w:trHeight w:val="211"/>
        </w:trPr>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7"/>
              </w:rPr>
              <w:t>2030 and</w:t>
            </w:r>
          </w:p>
        </w:tc>
      </w:tr>
      <w:tr>
        <w:trPr>
          <w:trHeight w:val="232"/>
        </w:trPr>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2027</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2028</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2029</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6"/>
              </w:rPr>
              <w:t>Thereafter</w:t>
            </w:r>
          </w:p>
        </w:tc>
      </w:tr>
      <w:tr>
        <w:trPr>
          <w:trHeight w:val="225"/>
        </w:trPr>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1,571</w:t>
            </w:r>
          </w:p>
        </w:tc>
        <w:tc>
          <w:tcPr>
            <w:tcW w:w="3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1,053</w:t>
            </w:r>
          </w:p>
        </w:tc>
        <w:tc>
          <w:tcPr>
            <w:tcW w:w="3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312</w:t>
            </w:r>
          </w:p>
        </w:tc>
        <w:tc>
          <w:tcPr>
            <w:tcW w:w="3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118</w:t>
            </w:r>
          </w:p>
        </w:tc>
        <w:tc>
          <w:tcPr>
            <w:tcW w:w="3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pacing w:after="0" w:line="20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We also have long-term lease commitments for office space, equipment, transponders and studio facilities, which are recorded on the Consolidated Balance Sheet at December 31, 2024. See Note 9 for details of our operating lease commitments.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Guarantees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Letters of Credit and Surety Bonds</w:t>
      </w:r>
    </w:p>
    <w:p>
      <w:pPr>
        <w:spacing w:after="0" w:line="1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At December 31, 2024, we had outstanding letters of credit and surety bonds of $226 million that were not recorded on the Consolidated Balance Sheet, as well as a $1.9 billion standby letter of credit facility. In accordance with the contractual requirements of one of our commitments, in January 2024 a $1.9 billion letter of credit was issued under this facility and the amount outstanding under the letter of credit decreases as we make payments under the related contractual commitment. The amount outstanding was zero at December 31, 2024 and $1.75 billion in January 2025. Letters of credit and surety bonds are primarily used as security against non-performance in the normal course of business under contractual requirements of certain of our commitments. The standby letter of credit facility, which matures in May 2026, is subject to provisions similar to the Credit Facility, including the same principal financial covenant (see Note 8).</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Lease Guarantees</w:t>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We have certain indemnification obligations with respect to leases primarily associated with the previously discontinued operations of Famous Players. Our guarantee liability relating to these lease commitments totaled $8 million at December 31, 2024, and is presented within “Other liabilities” on the Consolidated Balance Sheet. The amount of lease commitments varies over time depending on the expiration or termination of individual underlying leases, or the related indemnification obligation, and foreign exchange rates, among other things. We may also have exposure for certain other expenses related to the leases, such as property taxes and common area maintenance. We believe our accrual is sufficient to meet any future obligations based on our consideration of available financial information, the lessees’ historical performance in meeting their lease obligations and the underlying economic factors impacting the lessees’ business models.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w:t>
      </w:r>
    </w:p>
    <w:p>
      <w:pPr>
        <w:spacing w:after="0" w:line="15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In the course of our business, we both provide and receive indemnities which are intended to allocate certain risks associated with business transactions. Similarly, we may remain contingently liable for various obligations of a business that has been divested in the event that a third party does not live up to its obligations under an indemnification obligation. We record a liability for our indemnification obligations and other contingent liabilities when probable and reasonably estimable.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40" w:name="page141"/>
    <w:bookmarkEnd w:id="140"/>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Legal Matters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General</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On an ongoing basis, we vigorously defend ourselves in numerous lawsuits and proceedings and respond to various investigations and inquiries from federal, state, local and international authorities (collectively, “Litigation”). Litigation may be brought against us without merit, is inherently uncertain and always difficult to predict. However, based on our understanding and evaluation of the relevant facts and circumstances, we believe that the following matters are not likely, in the aggregate, to result in a material adverse effect on our business, financial condition and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Litigation Relating to the Transactions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In connection with the Transactions, on July 24, 2024, Scott Baker, a purported holder of Class B Common Stock, filed a putative class action lawsuit in the Court of Chancery of the State of Delaware (the “Court”) against NAI, Shari E. Redstone, Barbara M. Byrne, Linda M. Griego, Judith A. McHale, Charles E. Phillips, Jr., Susan Schuman, Skydance and David Ellison (the “Baker Action”). The complaint alleges breaches of fiduciary duties to Class B stockholders in connection with the negotiation and approval of the Transaction Agreement, among other claims, and seeks unspecified damages, costs and expenses, as well as other relief. On November 4, 2024, the Court granted the parties’ stipulation in the Baker Action agreeing to (i) postpone briefing on motions to dismiss until the filing or designation of an operative complaint following the resolution of the plaintiff’s motion to appoint him and the Baerlocher Family Trust, a purported holder of Class B Common Stock, as co-lead plaintiffs and Berger Montague PC as interim class counsel (the “Baker Leadership Motion”), and (ii) stay discovery until the resolution of any motions to dismiss any operative complaint following resolution of the Baker Leadership Motion. Throughout October 2024, various purported stockholders filed motions for intervention to oppose the Baker Leadership Motion. On December 31, 2024, the plaintiff, along with Mark Baerlocher, as trustee for the Baerlocher Family Trust, filed an amended complaint alleging the same breaches of fiduciary duties against the same defendants as in the original complaint.</w:t>
      </w:r>
    </w:p>
    <w:p>
      <w:pPr>
        <w:spacing w:after="0" w:line="21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Further, on April 30, 2024, a purported holder of Class B Common Stock filed a verified complaint for the inspection of books and records under Section 220 of the General Corporation Law of the State of Delaware (the “DGCL”) in the Court against us, seeking the inspection of our books and records in order to investigate whether our Board of Directors, NAI, Shari E. Redstone and/or our executive officers may have breached their fiduciary duties to our stockholders for alleged diversion of corporate opportunities (the “220 Action”). The magistrate judge held a trial on July 24, 2024 relating to the 220 Action and denied the request for the inspection of books and records. The plaintiff in the 220 Action noticed an exception to the Court, and on January 29, 2025, the Court ruled that the plaintiff is entitled to obtain books and records that are both necessary and sufficient to fulfill the purpose of its request. On February 25, 2025, the Court granted an implementing order that returned the 220 Action to the magistrate judge for further proceedings on the scope of production. Certain other purported holders of Class B Common Stock and Class A Common Stock have delivered demand letters to investigate similar alleged breaches of fiduciary duties in connection with the Transactions and are requesting the inspection of books and records. We have also received demand letters from purported holders of Class B Common Stock related to alleged omissions in New Paramount’s registration statement on Form S-4.</w:t>
      </w:r>
    </w:p>
    <w:p>
      <w:pPr>
        <w:spacing w:after="0" w:line="20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Additionally, on August 20, 2024, LiveVideo.AI Corp. filed a lawsuit in the Southern District of New York against Shari E. Redstone, NAI, Christine Varney and Monica Seligman, alleging that defendants did not fairly consider its offer to purchase Paramount. The complaint asserts claims for unfair competition, tortious interference, unjust enrichment and aiding and abetting breach of fiduciary duty, among others, and seeks unspecified monetary damages, costs and other relief. As of the date of this Annual Report on Form 10-K, the defendants have not been served.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41" w:name="page142"/>
    <w:bookmarkEnd w:id="141"/>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On December 30, 2024, a purported holder of Class B Common Stock and Class A Common Stock filed a complaint for the inspection of books and records under Section 220 of the DGCL (the “Section 220 Demand”) in the Court against us to investigate possible breaches of fiduciary duties in connection with the Transactions. The complaint alleges that the documents produced to such purported stockholder thus far pursuant to the Section 220 Demand are insufficient to determine whether our officers, Board of Directors, Special Committee, NAI or Skydance breached their fiduciary duties (or aided and abetted such breaches). The complaint seeks an order requiring us to produce the documents identified in the Section 220 Demand, among other relief. Trial is scheduled for April 2025.</w:t>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On February 4, 2025, New York City Employees’ Retirement System, the New York City Fire Department Pension Fund, the New York City Police Pension Fund, the New York City Board Of Education Retirement System, and the Teachers’ Retirement System of the City of New York, purported holders of Class B Common Stock and Class A Common Stock, filed a putative class action lawsuit in the Court against Barbara M. Byrne, Linda M. Griego, Judith A. McHale and Susan Schuman, which alleges breaches of fiduciary duties for their alleged failure to sufficiently consider an alternate offer that the plaintiffs claim is superior to the Transactions (the “NYCERS Action”). The plaintiffs argue that the no-shop provision in the Transaction Agreement should be declared invalid and unenforceable because it prevents the parties from engaging in further deal discussions and negotiations with companies other than Skydance, including, specifically, Project Rise Partners, after the no-shop period begins. The plaintiffs further assert that the Court has the power to invalidate this provision because Skydance allegedly aided and abetted NAI’s and Shari E. Redstone’s breach of fiduciary duties, including by agreeing to indemnify Shari E. Redstone (through Skydance’s separate agreement with NAI) for any breach of fiduciary duty claims arising out of the Transactions up to a certain amount. Skydance, NAI, Shari E. Redstone and Paramount are not parties to the action. The NYCERS Action seeks, among other forms of relief, an order from the Court enjoining the closing of the Transactions until the Court has reached a final resolution on the plaintiffs’ claims and an order compelling the Special Committee to evaluate Project Rise Partners’ alternative offer to, among other things, acquire Class A Common Stock for $23.00 per share and Class B Common Stock for $19.00 per share. The Project Rise Partners offer was made after the go-shop period in the Transaction Agreement had ended. The complaint does not seek compensatory damages at this time. The plaintiffs filed a motion for expedited proceedings along with their complaint. On February 18, 2025, the plaintiffs moved to join Paramount and Skydance (and various other entities named in the Transaction Agreement) as necessary parties to the litigation and moved for a temporary restraining order preventing the closing of the Transactions until the Court considers the plaintiffs’ anticipated motion for injunctive relief following expedited discovery. The same day, Project Rise Partners moved the Court to grant it leave to file an affidavit under seal. Oral argument on the plaintiffs’ motion to expedite, motion for a temporary restraining order and motion for joinder, as well as Project Rise Partners’ motion for leave to file an affidavit, is scheduled for March 3, 2025.</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Claims Related to Former Businesses</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i w:val="1"/>
          <w:iCs w:val="1"/>
          <w:color w:val="auto"/>
        </w:rPr>
        <w:t>Asbestos</w:t>
      </w:r>
    </w:p>
    <w:p>
      <w:pPr>
        <w:spacing w:after="0" w:line="1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We are a defendant in lawsuits claiming various personal injuries related to asbestos and other materials, which allegedly occurred as a result of exposure caused by various products manufactured by Westinghouse, a predecessor, generally prior to the early 1970s. Westinghouse was neither a producer nor a manufacturer of asbestos. We are typically named as one of a large number of defendants in both state and federal cases. In the majority of asbestos lawsuits, the plaintiffs have not identified which of our products is the basis of a claim. Claims against us in which a product has been identified most commonly relate to allegations of exposure to asbestos-containing insulating material used in conjunction with turbines and electrical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42" w:name="page143"/>
    <w:bookmarkEnd w:id="142"/>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Claims are frequently filed and/or settled in groups, which may make the amount and timing of settlements, and the number of pending claims, subject to significant fluctuation from period to period. We do not report as pending those claims on inactive, stayed, deferred or similar dockets that some jurisdictions have established for claimants who allege minimal or no impairment. As of December 31, 2024, we had pending approximately 18,310 asbestos claims, as compared with approximately 19,970 as of December 31, 2023 and 21,580 as of December 31, 2022. During 2024, we received approximately 3,100 new claims and closed or moved to an inactive docket approximately 4,760 claims. We report claims as closed when we become aware that a dismissal order has been entered by a court or when we have reached agreement with the claimants on the material terms of a settlement. Settlement costs depend on the seriousness of the injuries that form the basis of the claims, the quality of evidence supporting the claims and other factors. Our total costs for the years 2024 and 2023 for settlement and defense of asbestos claims after insurance recoveries and net of tax were approximately $34 million and $54 million, respectively. Our costs for settlement and defense of asbestos claims may vary year to year and insurance proceeds are not always recovered in the same period as the insured portion of the expenses.</w:t>
      </w:r>
    </w:p>
    <w:p>
      <w:pPr>
        <w:spacing w:after="0" w:line="200" w:lineRule="exact"/>
        <w:rPr>
          <w:sz w:val="20"/>
          <w:szCs w:val="20"/>
          <w:color w:val="auto"/>
        </w:rPr>
      </w:pPr>
    </w:p>
    <w:p>
      <w:pPr>
        <w:spacing w:after="0" w:line="2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Filings include claims for individuals suffering from mesothelioma, a rare cancer, the risk of which is allegedly increased by exposure to asbestos; lung cancer, a cancer which may be caused by various factors, one of which is alleged to be asbestos exposure; other cancers, and conditions that are substantially less serious, including claims brought on behalf of individuals who are asymptomatic as to an allegedly asbestos-related disease. A significant number of pending claims against us are non-cancer claims. It is difficult to predict long-term future asbestos liabilities, as events and circumstances may impact the estimate. We record an accrual for a loss contingency when it is both probable that a liability has been incurred and when the amount of the loss can be reasonably estimated. The reasonably estimable period for our long-term asbestos liability is 10 years, which we determined in consultation with a third-party firm with expertise in estimating asbestos liability and is due to the inherent uncertainties in the tort litigation system. Our estimated asbestos liability is based upon many factors, including the number of outstanding claims, estimated average cost per claim, the breakdown of claims by disease type, historic claim filings, costs per claim of resolution and the filing of new claims, and is assessed in consultation with the third-party firm. Based on an assessment of these factors during the fourth quarters of 2024 and 2023, we increased the accrual for asbestos matters by $57 million and $23 million, respectively, which were recorded as charges in “Restructuring, transaction-related items, and other corporate matters” on the Consolidated Statements of Operations. The increased accrual in each year was primarily the result of a lower-than-expected rate of decline in new claims. Changes in circumstances in future periods could cause our actual liabilities to be higher or lower than our current accrual. We will continue to evaluate our estimates and update our accrual as needed.</w:t>
      </w:r>
    </w:p>
    <w:p>
      <w:pPr>
        <w:spacing w:after="0" w:line="200" w:lineRule="exact"/>
        <w:rPr>
          <w:sz w:val="20"/>
          <w:szCs w:val="20"/>
          <w:color w:val="auto"/>
        </w:rPr>
      </w:pPr>
    </w:p>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i w:val="1"/>
          <w:iCs w:val="1"/>
          <w:color w:val="auto"/>
        </w:rPr>
        <w:t>Other</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From time to time, we receive claims from federal and state environmental regulatory agencies and other entities asserting that we are or may be liable for environmental cleanup costs and related damages principally relating to our historical and predecessor operations. In addition, from time to time we receive personal injury claims including toxic tort and product liability claims (other than asbestos) arising from our historical operations and predecessors. While we believe that our accruals for these matters are adequate, there can be no assurance that circumstances will not change in future periods and, as a result, our actual liabilities may be higher or lower than our accrual.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43" w:name="page144"/>
    <w:bookmarkEnd w:id="143"/>
    <w:p>
      <w:pPr>
        <w:ind w:left="360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20) SUPPLEMENTAL FINANCIAL INFORMATION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presents the components of “Other items, net” on the Consolidated Statements of Operations.</w:t>
      </w:r>
    </w:p>
    <w:p>
      <w:pPr>
        <w:spacing w:after="0" w:line="129" w:lineRule="exact"/>
        <w:rPr>
          <w:sz w:val="20"/>
          <w:szCs w:val="20"/>
          <w:color w:val="auto"/>
        </w:rPr>
      </w:pPr>
    </w:p>
    <w:tbl>
      <w:tblPr>
        <w:tblLayout w:type="fixed"/>
        <w:tblInd w:w="700" w:type="dxa"/>
        <w:tblCellMar>
          <w:top w:w="0" w:type="dxa"/>
          <w:left w:w="0" w:type="dxa"/>
          <w:bottom w:w="0" w:type="dxa"/>
          <w:right w:w="0" w:type="dxa"/>
        </w:tblCellMar>
      </w:tblPr>
      <w:tr>
        <w:trPr>
          <w:trHeight w:val="252"/>
        </w:trPr>
        <w:tc>
          <w:tcPr>
            <w:tcW w:w="4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 costs</w:t>
            </w:r>
          </w:p>
        </w:tc>
        <w:tc>
          <w:tcPr>
            <w:tcW w:w="1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(139)</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(153)</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5"/>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losses</w:t>
            </w:r>
          </w:p>
        </w:tc>
        <w:tc>
          <w:tcPr>
            <w:tcW w:w="166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(47)</w:t>
            </w:r>
          </w:p>
        </w:tc>
        <w:tc>
          <w:tcPr>
            <w:tcW w:w="42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(66)</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16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(182)</w:t>
            </w:r>
          </w:p>
        </w:tc>
        <w:tc>
          <w:tcPr>
            <w:tcW w:w="4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(216)</w:t>
            </w:r>
          </w:p>
        </w:tc>
        <w:tc>
          <w:tcPr>
            <w:tcW w:w="4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Redeemable Noncontrolling Interest</w:t>
      </w:r>
    </w:p>
    <w:p>
      <w:pPr>
        <w:spacing w:after="0" w:line="19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On October 31, 2022 we acquired the remaining 40% interest in Nickelodeon UK Limited (“Nick UK”), bringing our ownership to 100%. Prior to this transaction, we were subject to a redeemable put option with respect to Nick UK, which was classified as “Redeemable noncontrolling interest” on the Consolidated Balance Sheet at December 31, 2021. The activity reflected within redeemable noncontrolling interest for the year ended December 31, 2022 is presented below.</w:t>
      </w:r>
    </w:p>
    <w:p>
      <w:pPr>
        <w:spacing w:after="0" w:line="123" w:lineRule="exact"/>
        <w:rPr>
          <w:sz w:val="20"/>
          <w:szCs w:val="20"/>
          <w:color w:val="auto"/>
        </w:rPr>
      </w:pPr>
    </w:p>
    <w:tbl>
      <w:tblPr>
        <w:tblLayout w:type="fixed"/>
        <w:tblInd w:w="2160" w:type="dxa"/>
        <w:tblCellMar>
          <w:top w:w="0" w:type="dxa"/>
          <w:left w:w="0" w:type="dxa"/>
          <w:bottom w:w="0" w:type="dxa"/>
          <w:right w:w="0" w:type="dxa"/>
        </w:tblCellMar>
      </w:tblPr>
      <w:tr>
        <w:trPr>
          <w:trHeight w:val="252"/>
        </w:trPr>
        <w:tc>
          <w:tcPr>
            <w:tcW w:w="4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7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7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5"/>
        </w:trPr>
        <w:tc>
          <w:tcPr>
            <w:tcW w:w="4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earnings</w:t>
            </w:r>
          </w:p>
        </w:tc>
        <w:tc>
          <w:tcPr>
            <w:tcW w:w="17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5"/>
        </w:trPr>
        <w:tc>
          <w:tcPr>
            <w:tcW w:w="4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Distributions</w:t>
            </w:r>
          </w:p>
        </w:tc>
        <w:tc>
          <w:tcPr>
            <w:tcW w:w="17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5"/>
        </w:trPr>
        <w:tc>
          <w:tcPr>
            <w:tcW w:w="4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Translation adjustment</w:t>
            </w:r>
          </w:p>
        </w:tc>
        <w:tc>
          <w:tcPr>
            <w:tcW w:w="17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5"/>
        </w:trPr>
        <w:tc>
          <w:tcPr>
            <w:tcW w:w="4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Redemption value adjustment</w:t>
            </w:r>
          </w:p>
        </w:tc>
        <w:tc>
          <w:tcPr>
            <w:tcW w:w="17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42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Purchase of noncontrolling interest</w:t>
            </w:r>
          </w:p>
        </w:tc>
        <w:tc>
          <w:tcPr>
            <w:tcW w:w="17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5"/>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7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Supplemental Cash Flow Information</w:t>
      </w:r>
    </w:p>
    <w:p>
      <w:pPr>
        <w:spacing w:after="0" w:line="184" w:lineRule="exact"/>
        <w:rPr>
          <w:sz w:val="20"/>
          <w:szCs w:val="20"/>
          <w:color w:val="auto"/>
        </w:rPr>
      </w:pPr>
    </w:p>
    <w:tbl>
      <w:tblPr>
        <w:tblLayout w:type="fixed"/>
        <w:tblInd w:w="700" w:type="dxa"/>
        <w:tblCellMar>
          <w:top w:w="0" w:type="dxa"/>
          <w:left w:w="0" w:type="dxa"/>
          <w:bottom w:w="0" w:type="dxa"/>
          <w:right w:w="0" w:type="dxa"/>
        </w:tblCellMar>
      </w:tblPr>
      <w:tr>
        <w:trPr>
          <w:trHeight w:val="252"/>
        </w:trPr>
        <w:tc>
          <w:tcPr>
            <w:tcW w:w="4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5"/>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833</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901</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r>
      <w:tr>
        <w:trPr>
          <w:trHeight w:val="32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5"/>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1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184</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4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18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85</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5"/>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paid for income taxes</w:t>
            </w:r>
          </w:p>
        </w:tc>
        <w:tc>
          <w:tcPr>
            <w:tcW w:w="18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184</w:t>
            </w: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107</w:t>
            </w: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44" w:name="page145"/>
    <w:bookmarkEnd w:id="144"/>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9.</w:t>
      </w:r>
      <w:r>
        <w:rPr>
          <w:sz w:val="20"/>
          <w:szCs w:val="20"/>
          <w:color w:val="auto"/>
        </w:rPr>
        <w:tab/>
      </w:r>
      <w:r>
        <w:rPr>
          <w:rFonts w:ascii="Times New Roman" w:cs="Times New Roman" w:eastAsia="Times New Roman" w:hAnsi="Times New Roman"/>
          <w:sz w:val="19"/>
          <w:szCs w:val="19"/>
          <w:b w:val="1"/>
          <w:bCs w:val="1"/>
          <w:i w:val="1"/>
          <w:iCs w:val="1"/>
          <w:color w:val="auto"/>
        </w:rPr>
        <w:t>Changes in and Disagreements With Accountants on Accounting and Financial Disclosure.</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None.</w:t>
      </w: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9A.</w:t>
      </w:r>
      <w:r>
        <w:rPr>
          <w:sz w:val="20"/>
          <w:szCs w:val="20"/>
          <w:color w:val="auto"/>
        </w:rPr>
        <w:tab/>
      </w:r>
      <w:r>
        <w:rPr>
          <w:rFonts w:ascii="Times New Roman" w:cs="Times New Roman" w:eastAsia="Times New Roman" w:hAnsi="Times New Roman"/>
          <w:sz w:val="19"/>
          <w:szCs w:val="19"/>
          <w:b w:val="1"/>
          <w:bCs w:val="1"/>
          <w:i w:val="1"/>
          <w:iCs w:val="1"/>
          <w:color w:val="auto"/>
        </w:rPr>
        <w:t>Controls and Procedures.</w:t>
      </w:r>
    </w:p>
    <w:p>
      <w:pPr>
        <w:spacing w:after="0" w:line="200" w:lineRule="exact"/>
        <w:rPr>
          <w:sz w:val="20"/>
          <w:szCs w:val="20"/>
          <w:color w:val="auto"/>
        </w:rPr>
      </w:pPr>
    </w:p>
    <w:p>
      <w:pPr>
        <w:spacing w:after="0" w:line="2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Our principal executive officer and principal financial officer have concluded that, as of the end of the period covered by this report, our disclosure controls and procedures (as defined in Rule 13a-15(e) or 15d-15(e) of the Securities Exchange Act of 1934, as amended (“Exchange Act”)), were effective, based on the evaluation of these controls and procedures required by Rule 13a-15(b) or 15d-15(b) of the Exchange Act. No change in our internal control over financial reporting occurred during our fourth fiscal quarter that has materially affected, or is reasonably likely to materially affect, our internal control over financial reporting.</w:t>
      </w:r>
    </w:p>
    <w:p>
      <w:pPr>
        <w:spacing w:after="0" w:line="176"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9"/>
          <w:szCs w:val="19"/>
          <w:color w:val="auto"/>
        </w:rPr>
        <w:t>Management’s report on internal control over financial reporting and the report of our independent registered public accounting firm thereon are set forth in Item 8, on pages II-39 and II-40, of this report.</w:t>
      </w:r>
    </w:p>
    <w:p>
      <w:pPr>
        <w:spacing w:after="0" w:line="352"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9B.</w:t>
      </w:r>
      <w:r>
        <w:rPr>
          <w:sz w:val="20"/>
          <w:szCs w:val="20"/>
          <w:color w:val="auto"/>
        </w:rPr>
        <w:tab/>
      </w:r>
      <w:r>
        <w:rPr>
          <w:rFonts w:ascii="Times New Roman" w:cs="Times New Roman" w:eastAsia="Times New Roman" w:hAnsi="Times New Roman"/>
          <w:sz w:val="19"/>
          <w:szCs w:val="19"/>
          <w:b w:val="1"/>
          <w:bCs w:val="1"/>
          <w:i w:val="1"/>
          <w:iCs w:val="1"/>
          <w:color w:val="auto"/>
        </w:rPr>
        <w:t>Other Information.</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None.</w:t>
      </w:r>
    </w:p>
    <w:p>
      <w:pPr>
        <w:spacing w:after="0" w:line="268"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9C.</w:t>
      </w:r>
      <w:r>
        <w:rPr>
          <w:sz w:val="20"/>
          <w:szCs w:val="20"/>
          <w:color w:val="auto"/>
        </w:rPr>
        <w:tab/>
      </w:r>
      <w:r>
        <w:rPr>
          <w:rFonts w:ascii="Times New Roman" w:cs="Times New Roman" w:eastAsia="Times New Roman" w:hAnsi="Times New Roman"/>
          <w:sz w:val="19"/>
          <w:szCs w:val="19"/>
          <w:b w:val="1"/>
          <w:bCs w:val="1"/>
          <w:i w:val="1"/>
          <w:iCs w:val="1"/>
          <w:color w:val="auto"/>
        </w:rPr>
        <w:t>Disclosure Regarding Foreign Jurisdictions that Prevent Inspections.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9"/>
          <w:szCs w:val="19"/>
          <w:b w:val="1"/>
          <w:bCs w:val="1"/>
          <w:color w:val="auto"/>
        </w:rPr>
        <w:t>PART III</w:t>
      </w:r>
    </w:p>
    <w:p>
      <w:pPr>
        <w:spacing w:after="0" w:line="200" w:lineRule="exact"/>
        <w:rPr>
          <w:sz w:val="20"/>
          <w:szCs w:val="20"/>
          <w:color w:val="auto"/>
        </w:rPr>
      </w:pPr>
    </w:p>
    <w:p>
      <w:pPr>
        <w:spacing w:after="0" w:line="231"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10.</w:t>
      </w:r>
      <w:r>
        <w:rPr>
          <w:sz w:val="20"/>
          <w:szCs w:val="20"/>
          <w:color w:val="auto"/>
        </w:rPr>
        <w:tab/>
      </w:r>
      <w:r>
        <w:rPr>
          <w:rFonts w:ascii="Times New Roman" w:cs="Times New Roman" w:eastAsia="Times New Roman" w:hAnsi="Times New Roman"/>
          <w:sz w:val="19"/>
          <w:szCs w:val="19"/>
          <w:b w:val="1"/>
          <w:bCs w:val="1"/>
          <w:i w:val="1"/>
          <w:iCs w:val="1"/>
          <w:color w:val="auto"/>
        </w:rPr>
        <w:t>Directors, Executive Officers and Corporate Governance.</w:t>
      </w:r>
    </w:p>
    <w:p>
      <w:pPr>
        <w:spacing w:after="0" w:line="200" w:lineRule="exact"/>
        <w:rPr>
          <w:sz w:val="20"/>
          <w:szCs w:val="20"/>
          <w:color w:val="auto"/>
        </w:rPr>
      </w:pPr>
    </w:p>
    <w:p>
      <w:pPr>
        <w:spacing w:after="0" w:line="28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The information required by this item with respect to the Company’s directors will be contained in a Proxy Statement for the Company’s 2025 Annual Meeting of Stockholders (“Proxy Statement”) and incorporated herein by reference, or in an amendment to this Annual Report on Form 10-K to be filed with the SEC by April 30, 2025 (“Form 10-K Amendment”) under the headings “Our Board of Directors” and, if a Proxy Statement, “Item 1 — Election of Directors.”</w:t>
      </w:r>
    </w:p>
    <w:p>
      <w:pPr>
        <w:spacing w:after="0" w:line="17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The information required by this item with respect to the Company’s executive officers is contained in Part I of this Form 10-K under the caption “Our Executive Officers.”</w:t>
      </w:r>
    </w:p>
    <w:p>
      <w:pPr>
        <w:spacing w:after="0" w:line="15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The information required by this item with respect to certain other corporate governance matters, including compliance with Section 16(a) of the Exchange Act (if applicable), information pertaining to the Company’s Supplemental Code of Ethics and insider trading policies and procedures, will be contained in the Proxy Statement and incorporated herein by reference, or in a Form 10-K Amendment under the headings “Corporate Governance” and “Security Ownership of Certain Beneficial Owners and Management—Delinquent Section 16(a) Report(s).”</w:t>
      </w:r>
    </w:p>
    <w:p>
      <w:pPr>
        <w:spacing w:after="0" w:line="341"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11.</w:t>
      </w:r>
      <w:r>
        <w:rPr>
          <w:sz w:val="20"/>
          <w:szCs w:val="20"/>
          <w:color w:val="auto"/>
        </w:rPr>
        <w:tab/>
      </w:r>
      <w:r>
        <w:rPr>
          <w:rFonts w:ascii="Times New Roman" w:cs="Times New Roman" w:eastAsia="Times New Roman" w:hAnsi="Times New Roman"/>
          <w:sz w:val="19"/>
          <w:szCs w:val="19"/>
          <w:b w:val="1"/>
          <w:bCs w:val="1"/>
          <w:i w:val="1"/>
          <w:iCs w:val="1"/>
          <w:color w:val="auto"/>
        </w:rPr>
        <w:t>Executive Compensation.</w:t>
      </w:r>
    </w:p>
    <w:p>
      <w:pPr>
        <w:spacing w:after="0" w:line="200" w:lineRule="exact"/>
        <w:rPr>
          <w:sz w:val="20"/>
          <w:szCs w:val="20"/>
          <w:color w:val="auto"/>
        </w:rPr>
      </w:pPr>
    </w:p>
    <w:p>
      <w:pPr>
        <w:spacing w:after="0" w:line="28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212529"/>
        </w:rPr>
        <w:t>The information required by this item will be contained in the Proxy Statement and incorporated herein by reference, or in a Form 10-K Amendment under the headings “Our Board of Directors,” “Director Compensation,” “Executive Compensation,” “Compensation Discussion and Analysis” and “Compensation Committee Report.”</w:t>
      </w:r>
    </w:p>
    <w:p>
      <w:pPr>
        <w:spacing w:after="0" w:line="337"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12.</w:t>
      </w:r>
      <w:r>
        <w:rPr>
          <w:sz w:val="20"/>
          <w:szCs w:val="20"/>
          <w:color w:val="auto"/>
        </w:rPr>
        <w:tab/>
      </w:r>
      <w:r>
        <w:rPr>
          <w:rFonts w:ascii="Times New Roman" w:cs="Times New Roman" w:eastAsia="Times New Roman" w:hAnsi="Times New Roman"/>
          <w:sz w:val="19"/>
          <w:szCs w:val="19"/>
          <w:b w:val="1"/>
          <w:bCs w:val="1"/>
          <w:i w:val="1"/>
          <w:iCs w:val="1"/>
          <w:color w:val="auto"/>
        </w:rPr>
        <w:t>Security Ownership of Certain Beneficial Owners and Management and Related Stockholder Matters.</w:t>
      </w:r>
    </w:p>
    <w:p>
      <w:pPr>
        <w:spacing w:after="0" w:line="200" w:lineRule="exact"/>
        <w:rPr>
          <w:sz w:val="20"/>
          <w:szCs w:val="20"/>
          <w:color w:val="auto"/>
        </w:rPr>
      </w:pPr>
    </w:p>
    <w:p>
      <w:pPr>
        <w:spacing w:after="0" w:line="28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212529"/>
        </w:rPr>
        <w:t>The information required by this item will be contained in the Proxy Statement and incorporated herein by reference, or in a Form 10-K Amendment under the headings “Security Ownership of Certain Beneficial Owners and Management” and “Equity Compensation Plan Information.”</w:t>
      </w:r>
    </w:p>
    <w:p>
      <w:pPr>
        <w:spacing w:after="0" w:line="350"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13.</w:t>
      </w:r>
      <w:r>
        <w:rPr>
          <w:sz w:val="20"/>
          <w:szCs w:val="20"/>
          <w:color w:val="auto"/>
        </w:rPr>
        <w:tab/>
      </w:r>
      <w:r>
        <w:rPr>
          <w:rFonts w:ascii="Times New Roman" w:cs="Times New Roman" w:eastAsia="Times New Roman" w:hAnsi="Times New Roman"/>
          <w:sz w:val="19"/>
          <w:szCs w:val="19"/>
          <w:b w:val="1"/>
          <w:bCs w:val="1"/>
          <w:i w:val="1"/>
          <w:iCs w:val="1"/>
          <w:color w:val="auto"/>
        </w:rPr>
        <w:t>Certain Relationships and Related Transactions, and Director Independence.</w:t>
      </w:r>
    </w:p>
    <w:p>
      <w:pPr>
        <w:spacing w:after="0" w:line="200" w:lineRule="exact"/>
        <w:rPr>
          <w:sz w:val="20"/>
          <w:szCs w:val="20"/>
          <w:color w:val="auto"/>
        </w:rPr>
      </w:pPr>
    </w:p>
    <w:p>
      <w:pPr>
        <w:spacing w:after="0" w:line="28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212529"/>
        </w:rPr>
        <w:t>The information required by this item will be contained in the Proxy Statement and incorporated herein by reference, or in a Form 10-K Amendment under the headings “Related Person Transactions” and “Our Board of Directors.”</w:t>
      </w:r>
    </w:p>
    <w:p>
      <w:pPr>
        <w:spacing w:after="0" w:line="338"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14.</w:t>
      </w:r>
      <w:r>
        <w:rPr>
          <w:sz w:val="20"/>
          <w:szCs w:val="20"/>
          <w:color w:val="auto"/>
        </w:rPr>
        <w:tab/>
      </w:r>
      <w:r>
        <w:rPr>
          <w:rFonts w:ascii="Times New Roman" w:cs="Times New Roman" w:eastAsia="Times New Roman" w:hAnsi="Times New Roman"/>
          <w:sz w:val="19"/>
          <w:szCs w:val="19"/>
          <w:b w:val="1"/>
          <w:bCs w:val="1"/>
          <w:i w:val="1"/>
          <w:iCs w:val="1"/>
          <w:color w:val="auto"/>
        </w:rPr>
        <w:t>Principal Accounting Fees and Services.</w:t>
      </w:r>
    </w:p>
    <w:p>
      <w:pPr>
        <w:spacing w:after="0" w:line="200" w:lineRule="exact"/>
        <w:rPr>
          <w:sz w:val="20"/>
          <w:szCs w:val="20"/>
          <w:color w:val="auto"/>
        </w:rPr>
      </w:pPr>
    </w:p>
    <w:p>
      <w:pPr>
        <w:spacing w:after="0" w:line="28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212529"/>
        </w:rPr>
        <w:t>The information required by this item will be contained in the Proxy Statement and incorporated herein by reference, or in a Form 10-K Amendment under the heading “Fees for Services Provided by the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146" w:name="page147"/>
    <w:bookmarkEnd w:id="146"/>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PART IV</w:t>
      </w:r>
    </w:p>
    <w:p>
      <w:pPr>
        <w:spacing w:after="0" w:line="200" w:lineRule="exact"/>
        <w:rPr>
          <w:sz w:val="20"/>
          <w:szCs w:val="20"/>
          <w:color w:val="auto"/>
        </w:rPr>
      </w:pPr>
    </w:p>
    <w:p>
      <w:pPr>
        <w:spacing w:after="0" w:line="231"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15.</w:t>
      </w:r>
      <w:r>
        <w:rPr>
          <w:sz w:val="20"/>
          <w:szCs w:val="20"/>
          <w:color w:val="auto"/>
        </w:rPr>
        <w:tab/>
      </w:r>
      <w:r>
        <w:rPr>
          <w:rFonts w:ascii="Times New Roman" w:cs="Times New Roman" w:eastAsia="Times New Roman" w:hAnsi="Times New Roman"/>
          <w:sz w:val="19"/>
          <w:szCs w:val="19"/>
          <w:b w:val="1"/>
          <w:bCs w:val="1"/>
          <w:i w:val="1"/>
          <w:iCs w:val="1"/>
          <w:color w:val="auto"/>
        </w:rPr>
        <w:t>Exhibits, Financial Statement Schedules.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w:t>
      </w:r>
    </w:p>
    <w:p>
      <w:pPr>
        <w:spacing w:after="0" w:line="257" w:lineRule="exact"/>
        <w:rPr>
          <w:sz w:val="20"/>
          <w:szCs w:val="20"/>
          <w:color w:val="auto"/>
        </w:rPr>
      </w:pPr>
    </w:p>
    <w:p>
      <w:pPr>
        <w:ind w:left="200" w:hanging="194"/>
        <w:spacing w:after="0"/>
        <w:tabs>
          <w:tab w:leader="none" w:pos="20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Financial Statements</w:t>
      </w:r>
      <w:r>
        <w:rPr>
          <w:rFonts w:ascii="Times New Roman" w:cs="Times New Roman" w:eastAsia="Times New Roman" w:hAnsi="Times New Roman"/>
          <w:sz w:val="19"/>
          <w:szCs w:val="19"/>
          <w:color w:val="auto"/>
        </w:rPr>
        <w: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financial statements of Paramount filed as part of this report on Form 10-K are listed on the Index on page II-38.</w:t>
      </w:r>
    </w:p>
    <w:p>
      <w:pPr>
        <w:spacing w:after="0" w:line="257" w:lineRule="exact"/>
        <w:rPr>
          <w:sz w:val="20"/>
          <w:szCs w:val="20"/>
          <w:color w:val="auto"/>
        </w:rPr>
      </w:pPr>
    </w:p>
    <w:p>
      <w:pPr>
        <w:ind w:left="200" w:hanging="194"/>
        <w:spacing w:after="0"/>
        <w:tabs>
          <w:tab w:leader="none" w:pos="20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Financial Statement Schedules.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financial statement schedule required to be filed by Item 8 of this Form 10-K is listed on the Index on page II-38.</w:t>
      </w:r>
    </w:p>
    <w:p>
      <w:pPr>
        <w:spacing w:after="0" w:line="243" w:lineRule="exact"/>
        <w:rPr>
          <w:sz w:val="20"/>
          <w:szCs w:val="20"/>
          <w:color w:val="auto"/>
        </w:rPr>
      </w:pPr>
    </w:p>
    <w:p>
      <w:pPr>
        <w:ind w:left="200" w:hanging="194"/>
        <w:spacing w:after="0"/>
        <w:tabs>
          <w:tab w:leader="none" w:pos="20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Exhibits.</w:t>
      </w:r>
    </w:p>
    <w:p>
      <w:pPr>
        <w:spacing w:after="0" w:line="261"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9"/>
          <w:szCs w:val="19"/>
          <w:color w:val="auto"/>
        </w:rPr>
        <w:t>The exhibits listed in Item 15(b) of this Part IV are filed or incorporated by reference as part of this Form 10-K. The Index to Exhibits begins on page E-1.</w:t>
      </w:r>
    </w:p>
    <w:p>
      <w:pPr>
        <w:spacing w:after="0" w:line="365"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16.</w:t>
      </w:r>
      <w:r>
        <w:rPr>
          <w:sz w:val="20"/>
          <w:szCs w:val="20"/>
          <w:color w:val="auto"/>
        </w:rPr>
        <w:tab/>
      </w:r>
      <w:r>
        <w:rPr>
          <w:rFonts w:ascii="Times New Roman" w:cs="Times New Roman" w:eastAsia="Times New Roman" w:hAnsi="Times New Roman"/>
          <w:sz w:val="19"/>
          <w:szCs w:val="19"/>
          <w:b w:val="1"/>
          <w:bCs w:val="1"/>
          <w:i w:val="1"/>
          <w:iCs w:val="1"/>
          <w:color w:val="auto"/>
        </w:rPr>
        <w:t>Form 10-K Summary.</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0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26"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9"/>
          <w:szCs w:val="19"/>
          <w:b w:val="1"/>
          <w:bCs w:val="1"/>
          <w:color w:val="auto"/>
        </w:rPr>
        <w:t>SCHEDULE II</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VALUATION AND QUALIFYING ACCOUNTS</w:t>
      </w:r>
    </w:p>
    <w:p>
      <w:pPr>
        <w:spacing w:after="0" w:line="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(Tabular dollars in millions)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300" w:type="dxa"/>
            <w:vAlign w:val="bottom"/>
            <w:tcBorders>
              <w:top w:val="single" w:sz="8" w:color="auto"/>
            </w:tcBorders>
            <w:gridSpan w:val="2"/>
          </w:tcPr>
          <w:p>
            <w:pPr>
              <w:ind w:left="1800"/>
              <w:spacing w:after="0"/>
              <w:rPr>
                <w:sz w:val="20"/>
                <w:szCs w:val="20"/>
                <w:color w:val="auto"/>
              </w:rPr>
            </w:pPr>
            <w:r>
              <w:rPr>
                <w:rFonts w:ascii="Times New Roman" w:cs="Times New Roman" w:eastAsia="Times New Roman" w:hAnsi="Times New Roman"/>
                <w:sz w:val="18"/>
                <w:szCs w:val="18"/>
                <w:b w:val="1"/>
                <w:bCs w:val="1"/>
                <w:color w:val="auto"/>
              </w:rPr>
              <w:t>Col. A</w:t>
            </w: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Col. B</w:t>
            </w: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7"/>
              </w:rPr>
              <w:t>Col. C</w:t>
            </w:r>
          </w:p>
        </w:tc>
        <w:tc>
          <w:tcPr>
            <w:tcW w:w="3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Col. D</w:t>
            </w:r>
          </w:p>
        </w:tc>
        <w:tc>
          <w:tcPr>
            <w:tcW w:w="2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9"/>
              </w:rPr>
              <w:t>Col. E</w:t>
            </w:r>
          </w:p>
        </w:tc>
        <w:tc>
          <w:tcPr>
            <w:tcW w:w="0" w:type="dxa"/>
            <w:vAlign w:val="bottom"/>
          </w:tcPr>
          <w:p>
            <w:pPr>
              <w:spacing w:after="0"/>
              <w:rPr>
                <w:sz w:val="1"/>
                <w:szCs w:val="1"/>
                <w:color w:val="auto"/>
              </w:rPr>
            </w:pPr>
          </w:p>
        </w:tc>
      </w:tr>
      <w:tr>
        <w:trPr>
          <w:trHeight w:val="152"/>
        </w:trPr>
        <w:tc>
          <w:tcPr>
            <w:tcW w:w="40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top w:val="single" w:sz="8" w:color="auto"/>
            </w:tcBorders>
            <w:gridSpan w:val="2"/>
          </w:tcPr>
          <w:p>
            <w:pPr>
              <w:jc w:val="center"/>
              <w:spacing w:after="0" w:line="152"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240" w:type="dxa"/>
            <w:vAlign w:val="bottom"/>
          </w:tcPr>
          <w:p>
            <w:pPr>
              <w:spacing w:after="0"/>
              <w:rPr>
                <w:sz w:val="13"/>
                <w:szCs w:val="13"/>
                <w:color w:val="auto"/>
              </w:rPr>
            </w:pPr>
          </w:p>
        </w:tc>
        <w:tc>
          <w:tcPr>
            <w:tcW w:w="1360" w:type="dxa"/>
            <w:vAlign w:val="bottom"/>
            <w:tcBorders>
              <w:top w:val="single" w:sz="8" w:color="auto"/>
            </w:tcBorders>
            <w:gridSpan w:val="2"/>
          </w:tcPr>
          <w:p>
            <w:pPr>
              <w:jc w:val="center"/>
              <w:spacing w:after="0" w:line="152" w:lineRule="exact"/>
              <w:rPr>
                <w:sz w:val="20"/>
                <w:szCs w:val="20"/>
                <w:color w:val="auto"/>
              </w:rPr>
            </w:pPr>
            <w:r>
              <w:rPr>
                <w:rFonts w:ascii="Times New Roman" w:cs="Times New Roman" w:eastAsia="Times New Roman" w:hAnsi="Times New Roman"/>
                <w:sz w:val="16"/>
                <w:szCs w:val="16"/>
                <w:b w:val="1"/>
                <w:bCs w:val="1"/>
                <w:color w:val="auto"/>
                <w:w w:val="98"/>
              </w:rPr>
              <w:t>Charged to</w:t>
            </w:r>
          </w:p>
        </w:tc>
        <w:tc>
          <w:tcPr>
            <w:tcW w:w="2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Balance at End</w:t>
            </w:r>
          </w:p>
        </w:tc>
        <w:tc>
          <w:tcPr>
            <w:tcW w:w="0" w:type="dxa"/>
            <w:vAlign w:val="bottom"/>
          </w:tcPr>
          <w:p>
            <w:pPr>
              <w:spacing w:after="0"/>
              <w:rPr>
                <w:sz w:val="1"/>
                <w:szCs w:val="1"/>
                <w:color w:val="auto"/>
              </w:rPr>
            </w:pPr>
          </w:p>
        </w:tc>
      </w:tr>
      <w:tr>
        <w:trPr>
          <w:trHeight w:val="159"/>
        </w:trPr>
        <w:tc>
          <w:tcPr>
            <w:tcW w:w="430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360" w:type="dxa"/>
            <w:vAlign w:val="bottom"/>
            <w:gridSpan w:val="3"/>
          </w:tcPr>
          <w:p>
            <w:pPr>
              <w:jc w:val="center"/>
              <w:ind w:right="260"/>
              <w:spacing w:after="0" w:line="159" w:lineRule="exact"/>
              <w:rPr>
                <w:sz w:val="20"/>
                <w:szCs w:val="20"/>
                <w:color w:val="auto"/>
              </w:rPr>
            </w:pPr>
            <w:r>
              <w:rPr>
                <w:rFonts w:ascii="Times New Roman" w:cs="Times New Roman" w:eastAsia="Times New Roman" w:hAnsi="Times New Roman"/>
                <w:sz w:val="16"/>
                <w:szCs w:val="16"/>
                <w:b w:val="1"/>
                <w:bCs w:val="1"/>
                <w:color w:val="auto"/>
                <w:w w:val="99"/>
              </w:rPr>
              <w:t>Beginning of</w:t>
            </w:r>
          </w:p>
        </w:tc>
        <w:tc>
          <w:tcPr>
            <w:tcW w:w="1600" w:type="dxa"/>
            <w:vAlign w:val="bottom"/>
            <w:gridSpan w:val="3"/>
          </w:tcPr>
          <w:p>
            <w:pPr>
              <w:jc w:val="center"/>
              <w:ind w:right="240"/>
              <w:spacing w:after="0" w:line="159" w:lineRule="exact"/>
              <w:rPr>
                <w:sz w:val="20"/>
                <w:szCs w:val="20"/>
                <w:color w:val="auto"/>
              </w:rPr>
            </w:pPr>
            <w:r>
              <w:rPr>
                <w:rFonts w:ascii="Times New Roman" w:cs="Times New Roman" w:eastAsia="Times New Roman" w:hAnsi="Times New Roman"/>
                <w:sz w:val="16"/>
                <w:szCs w:val="16"/>
                <w:b w:val="1"/>
                <w:bCs w:val="1"/>
                <w:color w:val="auto"/>
                <w:w w:val="98"/>
              </w:rPr>
              <w:t>Expenses and</w:t>
            </w:r>
          </w:p>
        </w:tc>
        <w:tc>
          <w:tcPr>
            <w:tcW w:w="1500" w:type="dxa"/>
            <w:vAlign w:val="bottom"/>
            <w:gridSpan w:val="3"/>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Deductions</w:t>
            </w: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300" w:type="dxa"/>
            <w:vAlign w:val="bottom"/>
            <w:tcBorders>
              <w:bottom w:val="single" w:sz="8" w:color="auto"/>
            </w:tcBorders>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6"/>
              </w:rPr>
              <w:t>Period</w:t>
            </w:r>
          </w:p>
        </w:tc>
        <w:tc>
          <w:tcPr>
            <w:tcW w:w="160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Other Accounts</w:t>
            </w:r>
          </w:p>
        </w:tc>
        <w:tc>
          <w:tcPr>
            <w:tcW w:w="1500" w:type="dxa"/>
            <w:vAlign w:val="bottom"/>
            <w:tcBorders>
              <w:bottom w:val="single" w:sz="8" w:color="auto"/>
            </w:tcBorders>
            <w:gridSpan w:val="3"/>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6"/>
                <w:szCs w:val="16"/>
                <w:b w:val="1"/>
                <w:bCs w:val="1"/>
                <w:color w:val="auto"/>
                <w:w w:val="98"/>
              </w:rPr>
              <w:t>of Period</w:t>
            </w:r>
          </w:p>
        </w:tc>
        <w:tc>
          <w:tcPr>
            <w:tcW w:w="0" w:type="dxa"/>
            <w:vAlign w:val="bottom"/>
          </w:tcPr>
          <w:p>
            <w:pPr>
              <w:spacing w:after="0"/>
              <w:rPr>
                <w:sz w:val="1"/>
                <w:szCs w:val="1"/>
                <w:color w:val="auto"/>
              </w:rPr>
            </w:pPr>
          </w:p>
        </w:tc>
      </w:tr>
      <w:tr>
        <w:trPr>
          <w:trHeight w:val="213"/>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19"/>
                <w:szCs w:val="19"/>
                <w:color w:val="auto"/>
              </w:rPr>
            </w:pP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5"/>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19"/>
                <w:szCs w:val="19"/>
                <w:color w:val="auto"/>
              </w:rPr>
            </w:pP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1"/>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20"/>
                <w:szCs w:val="20"/>
                <w:color w:val="auto"/>
              </w:rPr>
            </w:pP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484"/>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Valuation allowance on deferred tax assets: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498</w:t>
            </w:r>
          </w:p>
        </w:tc>
        <w:tc>
          <w:tcPr>
            <w:tcW w:w="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198</w:t>
            </w:r>
          </w:p>
        </w:tc>
        <w:tc>
          <w:tcPr>
            <w:tcW w:w="240" w:type="dxa"/>
            <w:vAlign w:val="bottom"/>
          </w:tcPr>
          <w:p>
            <w:pPr>
              <w:spacing w:after="0"/>
              <w:rPr>
                <w:sz w:val="19"/>
                <w:szCs w:val="19"/>
                <w:color w:val="auto"/>
              </w:rPr>
            </w:pP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25"/>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488</w:t>
            </w:r>
          </w:p>
        </w:tc>
        <w:tc>
          <w:tcPr>
            <w:tcW w:w="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9"/>
                <w:szCs w:val="19"/>
                <w:color w:val="auto"/>
              </w:rPr>
            </w:pP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31"/>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581</w:t>
            </w:r>
          </w:p>
        </w:tc>
        <w:tc>
          <w:tcPr>
            <w:tcW w:w="2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0"/>
                <w:szCs w:val="20"/>
                <w:color w:val="auto"/>
              </w:rPr>
            </w:pP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484"/>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Reserves for inventory obsolescence:</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5"/>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9"/>
                <w:szCs w:val="19"/>
                <w:color w:val="auto"/>
              </w:rPr>
            </w:pP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7"/>
        </w:trPr>
        <w:tc>
          <w:tcPr>
            <w:tcW w:w="4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73660</wp:posOffset>
            </wp:positionV>
            <wp:extent cx="716026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9940"/>
          </w:cols>
          <w:pgMar w:left="980" w:top="1440" w:right="97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9"/>
          <w:szCs w:val="19"/>
          <w:b w:val="1"/>
          <w:bCs w:val="1"/>
          <w:color w:val="auto"/>
        </w:rPr>
        <w:t>INDEX TO EXHIBITS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ITEM 15(b)</w:t>
      </w:r>
    </w:p>
    <w:p>
      <w:pPr>
        <w:spacing w:after="0" w:line="23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Effective December 31, 2005, Viacom Inc. was separated into two publicly-traded companies, the Company and a new Viacom Inc., and the Company was renamed CBS Corporation. Effective December 4, 2019, new Viacom Inc. merged with and into CBS Corporation with CBS Corporation continuing as the surviving company, and the combined company changed its name to ViacomCBS Inc. Effective February 16, 2022, ViacomCBS Inc. was renamed Paramount Global.</w:t>
      </w:r>
    </w:p>
    <w:p>
      <w:pPr>
        <w:spacing w:after="0" w:line="92" w:lineRule="exact"/>
        <w:rPr>
          <w:sz w:val="20"/>
          <w:szCs w:val="20"/>
          <w:color w:val="auto"/>
        </w:rPr>
      </w:pPr>
    </w:p>
    <w:p>
      <w:pPr>
        <w:ind w:left="200"/>
        <w:spacing w:after="0"/>
        <w:tabs>
          <w:tab w:leader="none" w:pos="430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575500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55005" cy="8255"/>
                    </a:xfrm>
                    <a:prstGeom prst="rect">
                      <a:avLst/>
                    </a:prstGeom>
                    <a:noFill/>
                  </pic:spPr>
                </pic:pic>
              </a:graphicData>
            </a:graphic>
          </wp:anchor>
        </w:drawing>
      </w:r>
    </w:p>
    <w:p>
      <w:pPr>
        <w:spacing w:after="0" w:line="35" w:lineRule="exact"/>
        <w:rPr>
          <w:sz w:val="20"/>
          <w:szCs w:val="20"/>
          <w:color w:val="auto"/>
        </w:rPr>
      </w:pPr>
    </w:p>
    <w:p>
      <w:pPr>
        <w:ind w:left="1100" w:hanging="1076"/>
        <w:spacing w:after="0"/>
        <w:tabs>
          <w:tab w:leader="none" w:pos="11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Plan of acquisition, reorganization, arrangement, liquidation or succession</w:t>
      </w:r>
    </w:p>
    <w:p>
      <w:pPr>
        <w:spacing w:after="0" w:line="33" w:lineRule="exact"/>
        <w:rPr>
          <w:rFonts w:ascii="Times New Roman" w:cs="Times New Roman" w:eastAsia="Times New Roman" w:hAnsi="Times New Roman"/>
          <w:sz w:val="18"/>
          <w:szCs w:val="18"/>
          <w:color w:val="auto"/>
        </w:rPr>
      </w:pPr>
    </w:p>
    <w:p>
      <w:pPr>
        <w:ind w:left="1100" w:right="2680" w:hanging="560"/>
        <w:spacing w:after="0" w:line="216" w:lineRule="auto"/>
        <w:tabs>
          <w:tab w:leader="none" w:pos="11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 Agreement, dated as of July 7, 2024, by and among the parties listed therein (incorporated by reference to </w:t>
      </w:r>
      <w:hyperlink r:id="rId171">
        <w:r>
          <w:rPr>
            <w:rFonts w:ascii="Times New Roman" w:cs="Times New Roman" w:eastAsia="Times New Roman" w:hAnsi="Times New Roman"/>
            <w:sz w:val="18"/>
            <w:szCs w:val="18"/>
            <w:u w:val="single" w:color="auto"/>
            <w:color w:val="0000FF"/>
          </w:rPr>
          <w:t>Exhibit 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of Paramount Global filed July 11, 2024) (File No. 001-09553).</w:t>
      </w:r>
      <w:r>
        <w:rPr>
          <w:rFonts w:ascii="Times New Roman" w:cs="Times New Roman" w:eastAsia="Times New Roman" w:hAnsi="Times New Roman"/>
          <w:sz w:val="22"/>
          <w:szCs w:val="22"/>
          <w:color w:val="auto"/>
          <w:vertAlign w:val="superscript"/>
        </w:rPr>
        <w:t>+</w:t>
      </w:r>
    </w:p>
    <w:p>
      <w:pPr>
        <w:spacing w:after="0" w:line="2" w:lineRule="exact"/>
        <w:rPr>
          <w:rFonts w:ascii="Times New Roman" w:cs="Times New Roman" w:eastAsia="Times New Roman" w:hAnsi="Times New Roman"/>
          <w:sz w:val="18"/>
          <w:szCs w:val="18"/>
          <w:color w:val="auto"/>
        </w:rPr>
      </w:pPr>
    </w:p>
    <w:p>
      <w:pPr>
        <w:ind w:left="1100" w:hanging="1076"/>
        <w:spacing w:after="0"/>
        <w:tabs>
          <w:tab w:leader="none" w:pos="11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Articles of Incorporation and Bylaws</w:t>
      </w:r>
    </w:p>
    <w:p>
      <w:pPr>
        <w:spacing w:after="0" w:line="24" w:lineRule="exact"/>
        <w:rPr>
          <w:rFonts w:ascii="Times New Roman" w:cs="Times New Roman" w:eastAsia="Times New Roman" w:hAnsi="Times New Roman"/>
          <w:sz w:val="18"/>
          <w:szCs w:val="18"/>
          <w:color w:val="auto"/>
        </w:rPr>
      </w:pPr>
    </w:p>
    <w:p>
      <w:pPr>
        <w:ind w:left="1100" w:right="2420" w:hanging="560"/>
        <w:spacing w:after="0" w:line="201" w:lineRule="exact"/>
        <w:tabs>
          <w:tab w:leader="none" w:pos="11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Amended and Restated Certificate of Incorporation of Paramount Global, effective as of June 7, 2024 (incorporated by reference to </w:t>
      </w:r>
      <w:hyperlink r:id="rId172">
        <w:r>
          <w:rPr>
            <w:rFonts w:ascii="Times New Roman" w:cs="Times New Roman" w:eastAsia="Times New Roman" w:hAnsi="Times New Roman"/>
            <w:sz w:val="18"/>
            <w:szCs w:val="18"/>
            <w:u w:val="single" w:color="auto"/>
            <w:color w:val="0000FF"/>
          </w:rPr>
          <w:t>Exhibit 3(a)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Paramount Global for the quarter ended June 30, 2024)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w:t>
      </w:r>
    </w:p>
    <w:p>
      <w:pPr>
        <w:ind w:left="1100" w:right="2280" w:hanging="560"/>
        <w:spacing w:after="0" w:line="219" w:lineRule="auto"/>
        <w:tabs>
          <w:tab w:leader="none" w:pos="1100" w:val="left"/>
        </w:tabs>
        <w:numPr>
          <w:ilvl w:val="1"/>
          <w:numId w:val="51"/>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Amended and Restated Bylaws of Paramount Global, effective as of June 4, 2024 (incorporated by reference to </w:t>
      </w:r>
      <w:hyperlink r:id="rId173">
        <w:r>
          <w:rPr>
            <w:rFonts w:ascii="Times New Roman" w:cs="Times New Roman" w:eastAsia="Times New Roman" w:hAnsi="Times New Roman"/>
            <w:sz w:val="18"/>
            <w:szCs w:val="18"/>
            <w:u w:val="single" w:color="auto"/>
            <w:color w:val="0000FF"/>
          </w:rPr>
          <w:t>Exhibit 3(b)</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Quarterly Report on Form 10-Q of Paramount Global for the quarter ended June 30, 2024)</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 No. 001-09553).</w:t>
      </w:r>
    </w:p>
    <w:p>
      <w:pPr>
        <w:spacing w:after="0" w:line="2" w:lineRule="exact"/>
        <w:rPr>
          <w:rFonts w:ascii="Times New Roman" w:cs="Times New Roman" w:eastAsia="Times New Roman" w:hAnsi="Times New Roman"/>
          <w:sz w:val="18"/>
          <w:szCs w:val="18"/>
          <w:color w:val="0000FF"/>
        </w:rPr>
      </w:pPr>
    </w:p>
    <w:p>
      <w:pPr>
        <w:ind w:left="1100" w:right="2540" w:hanging="560"/>
        <w:spacing w:after="0" w:line="241" w:lineRule="auto"/>
        <w:tabs>
          <w:tab w:leader="none" w:pos="11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Certificate of Designations of the 5.75% Mandatory Convertible Preferred Stock, Series A (incorporated by reference to </w:t>
      </w:r>
      <w:hyperlink r:id="rId174">
        <w:r>
          <w:rPr>
            <w:rFonts w:ascii="Times New Roman" w:cs="Times New Roman" w:eastAsia="Times New Roman" w:hAnsi="Times New Roman"/>
            <w:sz w:val="18"/>
            <w:szCs w:val="18"/>
            <w:u w:val="single" w:color="auto"/>
            <w:color w:val="0000FF"/>
          </w:rPr>
          <w:t>Exhibit 3.1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of ViacomCBS Inc. filed March 26, 2021) (File No. 001-09553).</w:t>
      </w:r>
    </w:p>
    <w:p>
      <w:pPr>
        <w:spacing w:after="0" w:line="17" w:lineRule="exact"/>
        <w:rPr>
          <w:rFonts w:ascii="Times New Roman" w:cs="Times New Roman" w:eastAsia="Times New Roman" w:hAnsi="Times New Roman"/>
          <w:sz w:val="18"/>
          <w:szCs w:val="18"/>
          <w:color w:val="auto"/>
        </w:rPr>
      </w:pPr>
    </w:p>
    <w:p>
      <w:pPr>
        <w:ind w:left="1100" w:hanging="1076"/>
        <w:spacing w:after="0"/>
        <w:tabs>
          <w:tab w:leader="none" w:pos="11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Instruments defining the rights of security holders, including indentures</w:t>
      </w:r>
    </w:p>
    <w:p>
      <w:pPr>
        <w:spacing w:after="0" w:line="46" w:lineRule="exact"/>
        <w:rPr>
          <w:rFonts w:ascii="Times New Roman" w:cs="Times New Roman" w:eastAsia="Times New Roman" w:hAnsi="Times New Roman"/>
          <w:sz w:val="18"/>
          <w:szCs w:val="18"/>
          <w:color w:val="auto"/>
        </w:rPr>
      </w:pPr>
    </w:p>
    <w:p>
      <w:pPr>
        <w:ind w:left="1100" w:hanging="560"/>
        <w:spacing w:after="0"/>
        <w:tabs>
          <w:tab w:leader="none" w:pos="11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Specimen Certificate of the Mandatory Convertible Preferred Stock (included in Exhibit 3(c) above).</w:t>
      </w:r>
    </w:p>
    <w:p>
      <w:pPr>
        <w:spacing w:after="0" w:line="44" w:lineRule="exact"/>
        <w:rPr>
          <w:rFonts w:ascii="Times New Roman" w:cs="Times New Roman" w:eastAsia="Times New Roman" w:hAnsi="Times New Roman"/>
          <w:sz w:val="18"/>
          <w:szCs w:val="18"/>
          <w:color w:val="auto"/>
        </w:rPr>
      </w:pPr>
    </w:p>
    <w:p>
      <w:pPr>
        <w:ind w:left="1100" w:right="2260" w:hanging="560"/>
        <w:spacing w:after="0" w:line="201" w:lineRule="exact"/>
        <w:tabs>
          <w:tab w:leader="none" w:pos="11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Description of the Registrant’s Securities Registered Pursuant to Section 12 of the Securities Exchange Act of 1934 (incorporated by reference to </w:t>
      </w:r>
      <w:hyperlink r:id="rId175">
        <w:r>
          <w:rPr>
            <w:rFonts w:ascii="Times New Roman" w:cs="Times New Roman" w:eastAsia="Times New Roman" w:hAnsi="Times New Roman"/>
            <w:sz w:val="18"/>
            <w:szCs w:val="18"/>
            <w:u w:val="single" w:color="auto"/>
            <w:color w:val="0000FF"/>
          </w:rPr>
          <w:t>Exhibit 4(b)</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ViacomCBS Inc. for the fiscal year ended December 31, 2021)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w:t>
      </w:r>
    </w:p>
    <w:p>
      <w:pPr>
        <w:ind w:left="1100" w:right="2640" w:hanging="560"/>
        <w:spacing w:after="0" w:line="192" w:lineRule="exact"/>
        <w:tabs>
          <w:tab w:leader="none" w:pos="11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Amended and Restated Senior Indenture, dated as of November 3, 2008 (“2008 Indenture”), among CBS Corporation, CBS Operations Inc., and The Bank of New York Mellon, as senior trustee (incorporated by reference to </w:t>
      </w:r>
      <w:hyperlink r:id="rId176">
        <w:r>
          <w:rPr>
            <w:rFonts w:ascii="Times New Roman" w:cs="Times New Roman" w:eastAsia="Times New Roman" w:hAnsi="Times New Roman"/>
            <w:sz w:val="18"/>
            <w:szCs w:val="18"/>
            <w:u w:val="single" w:color="auto"/>
            <w:color w:val="0000FF"/>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of CBS Corporation filed November 3, 2008) (Registration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154962)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w:t>
      </w:r>
    </w:p>
    <w:p>
      <w:pPr>
        <w:spacing w:after="0" w:line="1" w:lineRule="exact"/>
        <w:rPr>
          <w:rFonts w:ascii="Times New Roman" w:cs="Times New Roman" w:eastAsia="Times New Roman" w:hAnsi="Times New Roman"/>
          <w:sz w:val="18"/>
          <w:szCs w:val="18"/>
          <w:color w:val="auto"/>
        </w:rPr>
      </w:pPr>
    </w:p>
    <w:p>
      <w:pPr>
        <w:ind w:left="1100" w:right="2340" w:hanging="560"/>
        <w:spacing w:after="0" w:line="199" w:lineRule="exact"/>
        <w:tabs>
          <w:tab w:leader="none" w:pos="1100" w:val="left"/>
        </w:tabs>
        <w:numPr>
          <w:ilvl w:val="1"/>
          <w:numId w:val="51"/>
        </w:numPr>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 xml:space="preserve">First Supplemental Indenture to 2008 Indenture, dated as of April 5, 2010, among CBS Corporation, CBS Operations Inc., and Deutsche Bank Trust Company Americas, as senior trustee (incorporated by reference to </w:t>
      </w:r>
      <w:hyperlink r:id="rId177">
        <w:r>
          <w:rPr>
            <w:rFonts w:ascii="Times New Roman" w:cs="Times New Roman" w:eastAsia="Times New Roman" w:hAnsi="Times New Roman"/>
            <w:sz w:val="17"/>
            <w:szCs w:val="17"/>
            <w:u w:val="single" w:color="auto"/>
            <w:color w:val="0000FF"/>
          </w:rPr>
          <w:t>Exhibit 4.3</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to</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the Current Report on Form 8</w:t>
      </w:r>
      <w:r>
        <w:rPr>
          <w:rFonts w:ascii="MS PGothic" w:cs="MS PGothic" w:eastAsia="MS PGothic" w:hAnsi="MS PGothic"/>
          <w:sz w:val="17"/>
          <w:szCs w:val="17"/>
          <w:color w:val="000000"/>
        </w:rPr>
        <w:t>‑</w:t>
      </w:r>
      <w:r>
        <w:rPr>
          <w:rFonts w:ascii="Times New Roman" w:cs="Times New Roman" w:eastAsia="Times New Roman" w:hAnsi="Times New Roman"/>
          <w:sz w:val="17"/>
          <w:szCs w:val="17"/>
          <w:color w:val="000000"/>
        </w:rPr>
        <w:t>K of CBS Corporation filed April 5, 2010) (File No. 001</w:t>
      </w:r>
      <w:r>
        <w:rPr>
          <w:rFonts w:ascii="MS PGothic" w:cs="MS PGothic" w:eastAsia="MS PGothic" w:hAnsi="MS PGothic"/>
          <w:sz w:val="17"/>
          <w:szCs w:val="17"/>
          <w:color w:val="000000"/>
        </w:rPr>
        <w:t>‑</w:t>
      </w:r>
      <w:r>
        <w:rPr>
          <w:rFonts w:ascii="Times New Roman" w:cs="Times New Roman" w:eastAsia="Times New Roman" w:hAnsi="Times New Roman"/>
          <w:sz w:val="17"/>
          <w:szCs w:val="17"/>
          <w:color w:val="000000"/>
        </w:rPr>
        <w:t>09553).</w:t>
      </w:r>
    </w:p>
    <w:p>
      <w:pPr>
        <w:spacing w:after="0" w:line="1" w:lineRule="exact"/>
        <w:rPr>
          <w:rFonts w:ascii="Times New Roman" w:cs="Times New Roman" w:eastAsia="Times New Roman" w:hAnsi="Times New Roman"/>
          <w:sz w:val="17"/>
          <w:szCs w:val="17"/>
          <w:color w:val="0000FF"/>
        </w:rPr>
      </w:pPr>
    </w:p>
    <w:p>
      <w:pPr>
        <w:ind w:left="1100" w:right="2300" w:hanging="560"/>
        <w:spacing w:after="0" w:line="219" w:lineRule="auto"/>
        <w:tabs>
          <w:tab w:leader="none" w:pos="11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Indenture, dated as of April 12, 2006, between Viacom Inc. and The Bank of New York (incorporated by reference to </w:t>
      </w:r>
      <w:hyperlink r:id="rId178">
        <w:r>
          <w:rPr>
            <w:rFonts w:ascii="Times New Roman" w:cs="Times New Roman" w:eastAsia="Times New Roman" w:hAnsi="Times New Roman"/>
            <w:sz w:val="18"/>
            <w:szCs w:val="18"/>
            <w:u w:val="single" w:color="auto"/>
            <w:color w:val="0000FF"/>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of Viacom Inc. filed April 17, 2006) (File No. 001-32686).</w:t>
      </w:r>
    </w:p>
    <w:p>
      <w:pPr>
        <w:spacing w:after="0" w:line="2" w:lineRule="exact"/>
        <w:rPr>
          <w:rFonts w:ascii="Times New Roman" w:cs="Times New Roman" w:eastAsia="Times New Roman" w:hAnsi="Times New Roman"/>
          <w:sz w:val="18"/>
          <w:szCs w:val="18"/>
          <w:color w:val="auto"/>
        </w:rPr>
      </w:pPr>
    </w:p>
    <w:p>
      <w:pPr>
        <w:ind w:left="1100" w:right="2300" w:hanging="560"/>
        <w:spacing w:after="0" w:line="223" w:lineRule="auto"/>
        <w:tabs>
          <w:tab w:leader="none" w:pos="110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Twenty-First Supplemental Indenture, dated as of December 4, 2019, by and among CBS Corporation, Viacom Inc. and The Bank of New York Mellon, a New York banking corporation, as trustee (in such capacity, the “Trustee”), to the Indenture, dated as of April 12, 2006, between Viacom Inc. and the Trustee (incorporated by reference to </w:t>
      </w:r>
      <w:hyperlink r:id="rId179">
        <w:r>
          <w:rPr>
            <w:rFonts w:ascii="Times New Roman" w:cs="Times New Roman" w:eastAsia="Times New Roman" w:hAnsi="Times New Roman"/>
            <w:sz w:val="17"/>
            <w:szCs w:val="17"/>
            <w:u w:val="single" w:color="auto"/>
            <w:color w:val="0000FF"/>
          </w:rPr>
          <w:t>Exhibit 4.1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Current Report on Form 8-K of ViacomCBS Inc. filed December 4, 2019)</w:t>
      </w:r>
    </w:p>
    <w:p>
      <w:pPr>
        <w:spacing w:after="0" w:line="2" w:lineRule="exact"/>
        <w:rPr>
          <w:rFonts w:ascii="Times New Roman" w:cs="Times New Roman" w:eastAsia="Times New Roman" w:hAnsi="Times New Roman"/>
          <w:sz w:val="17"/>
          <w:szCs w:val="17"/>
          <w:color w:val="auto"/>
        </w:rPr>
      </w:pPr>
    </w:p>
    <w:p>
      <w:pPr>
        <w:ind w:left="1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(File No. 001-09553).</w:t>
      </w:r>
    </w:p>
    <w:p>
      <w:pPr>
        <w:spacing w:after="0" w:line="4" w:lineRule="exact"/>
        <w:rPr>
          <w:rFonts w:ascii="Times New Roman" w:cs="Times New Roman" w:eastAsia="Times New Roman" w:hAnsi="Times New Roman"/>
          <w:sz w:val="17"/>
          <w:szCs w:val="17"/>
          <w:color w:val="auto"/>
        </w:rPr>
      </w:pPr>
    </w:p>
    <w:p>
      <w:pPr>
        <w:ind w:left="1100" w:right="2200" w:hanging="560"/>
        <w:spacing w:after="0" w:line="199" w:lineRule="exact"/>
        <w:tabs>
          <w:tab w:leader="none" w:pos="11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Indenture, dated as of March 27, 2020, between ViacomCBS Inc. and Deutsche Bank Trust Company Americas, as trustee (incorporated by reference to </w:t>
      </w:r>
      <w:hyperlink r:id="rId180">
        <w:r>
          <w:rPr>
            <w:rFonts w:ascii="Times New Roman" w:cs="Times New Roman" w:eastAsia="Times New Roman" w:hAnsi="Times New Roman"/>
            <w:sz w:val="18"/>
            <w:szCs w:val="18"/>
            <w:u w:val="single" w:color="auto"/>
            <w:color w:val="0000FF"/>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Registration Statement on Form S-3 of ViacomCBS Inc. filed March 27, 2020)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w:t>
      </w:r>
    </w:p>
    <w:p>
      <w:pPr>
        <w:spacing w:after="0" w:line="1" w:lineRule="exact"/>
        <w:rPr>
          <w:rFonts w:ascii="Times New Roman" w:cs="Times New Roman" w:eastAsia="Times New Roman" w:hAnsi="Times New Roman"/>
          <w:sz w:val="18"/>
          <w:szCs w:val="18"/>
          <w:color w:val="auto"/>
        </w:rPr>
      </w:pPr>
    </w:p>
    <w:p>
      <w:pPr>
        <w:ind w:left="1100" w:right="220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other instruments defining the rights of holders of the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debt securities of Paramount Global and its subsidiaries are omitted pursuant to paragraph (b)(4)(iii)(A) of Item 601 of Regulation 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Paramount Global hereby agrees to furnish copies of these instruments to the Securities and Exchange Commission upon request.</w:t>
      </w:r>
    </w:p>
    <w:p>
      <w:pPr>
        <w:spacing w:after="0" w:line="111"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23" w:lineRule="exact"/>
        <w:rPr>
          <w:rFonts w:ascii="Times New Roman" w:cs="Times New Roman" w:eastAsia="Times New Roman" w:hAnsi="Times New Roman"/>
          <w:sz w:val="17"/>
          <w:szCs w:val="17"/>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Management contract or compensatory plan or arrangement.</w:t>
      </w:r>
    </w:p>
    <w:p>
      <w:pPr>
        <w:ind w:left="100" w:hanging="94"/>
        <w:spacing w:after="0" w:line="207" w:lineRule="auto"/>
        <w:tabs>
          <w:tab w:leader="none" w:pos="100" w:val="left"/>
        </w:tabs>
        <w:numPr>
          <w:ilvl w:val="0"/>
          <w:numId w:val="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schedules have been omitted pursuant to Item 601(a)(5) of Regulation S-K. The registrant undertakes to furnish supplemental copies of any of the</w:t>
      </w:r>
    </w:p>
    <w:p>
      <w:pPr>
        <w:spacing w:after="0" w:line="2" w:lineRule="exact"/>
        <w:rPr>
          <w:rFonts w:ascii="Times New Roman" w:cs="Times New Roman" w:eastAsia="Times New Roman" w:hAnsi="Times New Roman"/>
          <w:sz w:val="17"/>
          <w:szCs w:val="17"/>
          <w:color w:val="auto"/>
        </w:rPr>
      </w:pPr>
    </w:p>
    <w:p>
      <w:pPr>
        <w:ind w:left="160"/>
        <w:spacing w:after="0"/>
        <w:rPr>
          <w:sz w:val="20"/>
          <w:szCs w:val="20"/>
          <w:color w:val="auto"/>
        </w:rPr>
      </w:pPr>
      <w:r>
        <w:rPr>
          <w:rFonts w:ascii="Times New Roman" w:cs="Times New Roman" w:eastAsia="Times New Roman" w:hAnsi="Times New Roman"/>
          <w:sz w:val="18"/>
          <w:szCs w:val="18"/>
          <w:color w:val="auto"/>
        </w:rPr>
        <w:t>omitted schedules upon request by the SEC.</w:t>
      </w:r>
    </w:p>
    <w:p>
      <w:pPr>
        <w:spacing w:after="0" w:line="4" w:lineRule="exact"/>
        <w:rPr>
          <w:rFonts w:ascii="Times New Roman" w:cs="Times New Roman" w:eastAsia="Times New Roman" w:hAnsi="Times New Roman"/>
          <w:sz w:val="17"/>
          <w:szCs w:val="17"/>
          <w:color w:val="auto"/>
        </w:rPr>
      </w:pPr>
    </w:p>
    <w:p>
      <w:pPr>
        <w:ind w:left="160" w:right="240" w:hanging="154"/>
        <w:spacing w:after="0" w:line="215" w:lineRule="auto"/>
        <w:tabs>
          <w:tab w:leader="none" w:pos="108" w:val="left"/>
        </w:tabs>
        <w:numPr>
          <w:ilvl w:val="0"/>
          <w:numId w:val="5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portions of this exhibit have been omitted because such portions are both not material and the type the registrant customarily and actually treats as private or confidential.</w:t>
      </w:r>
    </w:p>
    <w:p>
      <w:pPr>
        <w:spacing w:after="0" w:line="216"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9"/>
          <w:szCs w:val="19"/>
          <w:color w:val="auto"/>
        </w:rPr>
        <w:t>E-1</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149" w:name="page150"/>
    <w:bookmarkEnd w:id="149"/>
    <w:p>
      <w:pPr>
        <w:spacing w:after="0" w:line="93" w:lineRule="exact"/>
        <w:rPr>
          <w:sz w:val="20"/>
          <w:szCs w:val="20"/>
          <w:color w:val="auto"/>
        </w:rPr>
      </w:pPr>
    </w:p>
    <w:p>
      <w:pPr>
        <w:ind w:left="200"/>
        <w:spacing w:after="0"/>
        <w:tabs>
          <w:tab w:leader="none" w:pos="430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575500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2">
                      <a:extLst>
                        <a:ext uri="{28A0092B-C50C-407E-A947-70E740481C1C}"/>
                      </a:extLst>
                    </a:blip>
                    <a:srcRect/>
                    <a:stretch>
                      <a:fillRect/>
                    </a:stretch>
                  </pic:blipFill>
                  <pic:spPr bwMode="auto">
                    <a:xfrm>
                      <a:off x="0" y="0"/>
                      <a:ext cx="5755005" cy="8255"/>
                    </a:xfrm>
                    <a:prstGeom prst="rect">
                      <a:avLst/>
                    </a:prstGeom>
                    <a:noFill/>
                  </pic:spPr>
                </pic:pic>
              </a:graphicData>
            </a:graphic>
          </wp:anchor>
        </w:drawing>
      </w:r>
    </w:p>
    <w:p>
      <w:pPr>
        <w:spacing w:after="0" w:line="35" w:lineRule="exact"/>
        <w:rPr>
          <w:sz w:val="20"/>
          <w:szCs w:val="20"/>
          <w:color w:val="auto"/>
        </w:rPr>
      </w:pPr>
    </w:p>
    <w:p>
      <w:pPr>
        <w:ind w:left="1100" w:hanging="1076"/>
        <w:spacing w:after="0"/>
        <w:tabs>
          <w:tab w:leader="none" w:pos="11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Material Contracts</w:t>
      </w:r>
    </w:p>
    <w:p>
      <w:pPr>
        <w:spacing w:after="0" w:line="33" w:lineRule="exact"/>
        <w:rPr>
          <w:rFonts w:ascii="Times New Roman" w:cs="Times New Roman" w:eastAsia="Times New Roman" w:hAnsi="Times New Roman"/>
          <w:sz w:val="18"/>
          <w:szCs w:val="18"/>
          <w:color w:val="auto"/>
        </w:rPr>
      </w:pPr>
    </w:p>
    <w:p>
      <w:pPr>
        <w:ind w:left="1100" w:right="1980" w:hanging="546"/>
        <w:spacing w:after="0" w:line="223" w:lineRule="auto"/>
        <w:tabs>
          <w:tab w:leader="none" w:pos="110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Form of Subscription Agreement, dated as of July 7, 2024, by and among the parties listed therein (incorporated by reference to </w:t>
      </w:r>
      <w:hyperlink r:id="rId183">
        <w:r>
          <w:rPr>
            <w:rFonts w:ascii="Times New Roman" w:cs="Times New Roman" w:eastAsia="Times New Roman" w:hAnsi="Times New Roman"/>
            <w:sz w:val="17"/>
            <w:szCs w:val="17"/>
            <w:u w:val="single" w:color="auto"/>
            <w:color w:val="0000FF"/>
          </w:rPr>
          <w:t>Exhibit 2.2</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Current Report on Form 8-K of Paramount Global filed July 11, 2024)</w:t>
      </w:r>
    </w:p>
    <w:p>
      <w:pPr>
        <w:spacing w:after="0" w:line="1" w:lineRule="exact"/>
        <w:rPr>
          <w:rFonts w:ascii="Times New Roman" w:cs="Times New Roman" w:eastAsia="Times New Roman" w:hAnsi="Times New Roman"/>
          <w:sz w:val="17"/>
          <w:szCs w:val="17"/>
          <w:color w:val="auto"/>
        </w:rPr>
      </w:pPr>
    </w:p>
    <w:p>
      <w:pPr>
        <w:ind w:left="1100"/>
        <w:spacing w:after="0" w:line="22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(File No. 001-09553).</w:t>
      </w:r>
      <w:r>
        <w:rPr>
          <w:rFonts w:ascii="Times New Roman" w:cs="Times New Roman" w:eastAsia="Times New Roman" w:hAnsi="Times New Roman"/>
          <w:sz w:val="22"/>
          <w:szCs w:val="22"/>
          <w:color w:val="auto"/>
          <w:vertAlign w:val="superscript"/>
        </w:rPr>
        <w:t>+</w:t>
      </w:r>
    </w:p>
    <w:p>
      <w:pPr>
        <w:ind w:left="1100" w:right="2100" w:hanging="546"/>
        <w:spacing w:after="0" w:line="209" w:lineRule="auto"/>
        <w:tabs>
          <w:tab w:leader="none" w:pos="11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Voting Agreement, dated as of July 7, 2024, by and among the parties listed therein (incorporated by reference to </w:t>
      </w:r>
      <w:hyperlink r:id="rId184">
        <w:r>
          <w:rPr>
            <w:rFonts w:ascii="Times New Roman" w:cs="Times New Roman" w:eastAsia="Times New Roman" w:hAnsi="Times New Roman"/>
            <w:sz w:val="18"/>
            <w:szCs w:val="18"/>
            <w:u w:val="single" w:color="auto"/>
            <w:color w:val="0000FF"/>
          </w:rPr>
          <w:t>Exhibit 10.1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of Paramount Global filed July 11, 2024) (File No. 001-09553).</w:t>
      </w:r>
      <w:r>
        <w:rPr>
          <w:rFonts w:ascii="Times New Roman" w:cs="Times New Roman" w:eastAsia="Times New Roman" w:hAnsi="Times New Roman"/>
          <w:sz w:val="22"/>
          <w:szCs w:val="22"/>
          <w:color w:val="auto"/>
          <w:vertAlign w:val="superscript"/>
        </w:rPr>
        <w:t>+</w:t>
      </w:r>
    </w:p>
    <w:p>
      <w:pPr>
        <w:spacing w:after="0" w:line="2" w:lineRule="exact"/>
        <w:rPr>
          <w:rFonts w:ascii="Times New Roman" w:cs="Times New Roman" w:eastAsia="Times New Roman" w:hAnsi="Times New Roman"/>
          <w:sz w:val="18"/>
          <w:szCs w:val="18"/>
          <w:color w:val="auto"/>
        </w:rPr>
      </w:pPr>
    </w:p>
    <w:p>
      <w:pPr>
        <w:ind w:left="1100" w:right="2000" w:hanging="546"/>
        <w:spacing w:after="0" w:line="211" w:lineRule="auto"/>
        <w:tabs>
          <w:tab w:leader="none" w:pos="110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Paramount Global Amended and Restated Long-Term Incentive Plan, effective as of June 4, 2024 (incorporated by reference to </w:t>
      </w:r>
      <w:hyperlink r:id="rId185">
        <w:r>
          <w:rPr>
            <w:rFonts w:ascii="Times New Roman" w:cs="Times New Roman" w:eastAsia="Times New Roman" w:hAnsi="Times New Roman"/>
            <w:sz w:val="17"/>
            <w:szCs w:val="17"/>
            <w:u w:val="single" w:color="auto"/>
            <w:color w:val="0000FF"/>
          </w:rPr>
          <w:t>Annex A</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Definitive Proxy Statement of Paramount Global filed April 22, 2024)</w:t>
      </w:r>
    </w:p>
    <w:p>
      <w:pPr>
        <w:ind w:left="1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(File No. 001-09553).*</w:t>
      </w:r>
    </w:p>
    <w:p>
      <w:pPr>
        <w:spacing w:after="0" w:line="11" w:lineRule="exact"/>
        <w:rPr>
          <w:rFonts w:ascii="Times New Roman" w:cs="Times New Roman" w:eastAsia="Times New Roman" w:hAnsi="Times New Roman"/>
          <w:sz w:val="17"/>
          <w:szCs w:val="17"/>
          <w:color w:val="auto"/>
        </w:rPr>
      </w:pPr>
    </w:p>
    <w:p>
      <w:pPr>
        <w:ind w:left="1100" w:right="2220" w:hanging="546"/>
        <w:spacing w:after="0" w:line="215" w:lineRule="exact"/>
        <w:tabs>
          <w:tab w:leader="none" w:pos="11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Forms of Certificate and Terms and Conditions for equity awards under the Paramount Global Amended and Restated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Incentive Plan:</w:t>
      </w:r>
    </w:p>
    <w:p>
      <w:pPr>
        <w:ind w:left="1520" w:right="2020" w:hanging="423"/>
        <w:spacing w:after="0" w:line="206" w:lineRule="exact"/>
        <w:tabs>
          <w:tab w:leader="none" w:pos="1520"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Stock Options (incorporated by reference to </w:t>
      </w:r>
      <w:hyperlink r:id="rId186">
        <w:r>
          <w:rPr>
            <w:rFonts w:ascii="Times New Roman" w:cs="Times New Roman" w:eastAsia="Times New Roman" w:hAnsi="Times New Roman"/>
            <w:sz w:val="18"/>
            <w:szCs w:val="18"/>
            <w:u w:val="single" w:color="auto"/>
            <w:color w:val="0000FF"/>
          </w:rPr>
          <w:t>Exhibit 10(c)(ii)</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CBS Corporation for the fiscal year ended December 31, 2011)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w:t>
      </w:r>
    </w:p>
    <w:p>
      <w:pPr>
        <w:ind w:left="1520" w:right="2180" w:hanging="423"/>
        <w:spacing w:after="0" w:line="206" w:lineRule="exact"/>
        <w:tabs>
          <w:tab w:leader="none" w:pos="1520"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Performance Share Units (incorporated by reference to </w:t>
      </w:r>
      <w:hyperlink r:id="rId187">
        <w:r>
          <w:rPr>
            <w:rFonts w:ascii="Times New Roman" w:cs="Times New Roman" w:eastAsia="Times New Roman" w:hAnsi="Times New Roman"/>
            <w:sz w:val="18"/>
            <w:szCs w:val="18"/>
            <w:u w:val="single" w:color="auto"/>
            <w:color w:val="0000FF"/>
          </w:rPr>
          <w:t>Exhibit 10(b)(iv)</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ViacomCBS Inc. for the fiscal year ended December 31, 2020) (File No. 001-09553).*</w:t>
      </w:r>
    </w:p>
    <w:p>
      <w:pPr>
        <w:ind w:left="1520" w:right="2020" w:hanging="423"/>
        <w:spacing w:after="0" w:line="223" w:lineRule="auto"/>
        <w:tabs>
          <w:tab w:leader="none" w:pos="1520"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Performance Share Units (incorporated by reference to </w:t>
      </w:r>
      <w:hyperlink r:id="rId188">
        <w:r>
          <w:rPr>
            <w:rFonts w:ascii="Times New Roman" w:cs="Times New Roman" w:eastAsia="Times New Roman" w:hAnsi="Times New Roman"/>
            <w:sz w:val="18"/>
            <w:szCs w:val="18"/>
            <w:u w:val="single" w:color="auto"/>
            <w:color w:val="0000FF"/>
          </w:rPr>
          <w:t>Exhibit 10(a)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Paramount Global for the quarter ended March 31, 2023) (File No. 001-09553).*</w:t>
      </w:r>
    </w:p>
    <w:p>
      <w:pPr>
        <w:spacing w:after="0" w:line="7" w:lineRule="exact"/>
        <w:rPr>
          <w:rFonts w:ascii="Times New Roman" w:cs="Times New Roman" w:eastAsia="Times New Roman" w:hAnsi="Times New Roman"/>
          <w:sz w:val="18"/>
          <w:szCs w:val="18"/>
          <w:color w:val="auto"/>
        </w:rPr>
      </w:pPr>
    </w:p>
    <w:p>
      <w:pPr>
        <w:ind w:left="1520" w:right="1980" w:hanging="423"/>
        <w:spacing w:after="0" w:line="211" w:lineRule="auto"/>
        <w:tabs>
          <w:tab w:leader="none" w:pos="1520"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Form of Terms and Conditions for Performance Share Units (incorporated by reference to </w:t>
      </w:r>
      <w:hyperlink r:id="rId189">
        <w:r>
          <w:rPr>
            <w:rFonts w:ascii="Times New Roman" w:cs="Times New Roman" w:eastAsia="Times New Roman" w:hAnsi="Times New Roman"/>
            <w:sz w:val="18"/>
            <w:szCs w:val="18"/>
            <w:u w:val="single" w:color="auto"/>
            <w:color w:val="0000FF"/>
          </w:rPr>
          <w:t>Exhibit 10(a)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Paramount Global for the quarter ended March 31, 2024)</w:t>
      </w:r>
    </w:p>
    <w:p>
      <w:pPr>
        <w:ind w:left="1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No. 001-09553).*</w:t>
      </w:r>
    </w:p>
    <w:p>
      <w:pPr>
        <w:spacing w:after="0" w:line="11" w:lineRule="exact"/>
        <w:rPr>
          <w:rFonts w:ascii="Times New Roman" w:cs="Times New Roman" w:eastAsia="Times New Roman" w:hAnsi="Times New Roman"/>
          <w:sz w:val="18"/>
          <w:szCs w:val="18"/>
          <w:color w:val="auto"/>
        </w:rPr>
      </w:pPr>
    </w:p>
    <w:p>
      <w:pPr>
        <w:ind w:left="1520" w:right="2020" w:hanging="423"/>
        <w:spacing w:after="0" w:line="234" w:lineRule="auto"/>
        <w:tabs>
          <w:tab w:leader="none" w:pos="1520"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Share Units (incorporated by reference to </w:t>
      </w:r>
      <w:hyperlink r:id="rId190">
        <w:r>
          <w:rPr>
            <w:rFonts w:ascii="Times New Roman" w:cs="Times New Roman" w:eastAsia="Times New Roman" w:hAnsi="Times New Roman"/>
            <w:sz w:val="18"/>
            <w:szCs w:val="18"/>
            <w:u w:val="single" w:color="auto"/>
            <w:color w:val="0000FF"/>
          </w:rPr>
          <w:t>Exhibit 10(b)(v)</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of ViacomCBS Inc. for the fiscal year ended December 31, 2020) (File No. 001-09553).*</w:t>
      </w:r>
    </w:p>
    <w:p>
      <w:pPr>
        <w:spacing w:after="0" w:line="7" w:lineRule="exact"/>
        <w:rPr>
          <w:rFonts w:ascii="Times New Roman" w:cs="Times New Roman" w:eastAsia="Times New Roman" w:hAnsi="Times New Roman"/>
          <w:sz w:val="18"/>
          <w:szCs w:val="18"/>
          <w:color w:val="auto"/>
        </w:rPr>
      </w:pPr>
    </w:p>
    <w:p>
      <w:pPr>
        <w:ind w:left="1520" w:right="2060" w:hanging="423"/>
        <w:spacing w:after="0" w:line="234" w:lineRule="auto"/>
        <w:tabs>
          <w:tab w:leader="none" w:pos="1520"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Share Units (incorporated by reference to </w:t>
      </w:r>
      <w:hyperlink r:id="rId191">
        <w:r>
          <w:rPr>
            <w:rFonts w:ascii="Times New Roman" w:cs="Times New Roman" w:eastAsia="Times New Roman" w:hAnsi="Times New Roman"/>
            <w:sz w:val="18"/>
            <w:szCs w:val="18"/>
            <w:u w:val="single" w:color="auto"/>
            <w:color w:val="0000FF"/>
          </w:rPr>
          <w:t>Exhibit 10(b)</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Paramount Global for the quarter ended March 31, 2023) (File No. 001-09553).*</w:t>
      </w:r>
    </w:p>
    <w:p>
      <w:pPr>
        <w:spacing w:after="0" w:line="7" w:lineRule="exact"/>
        <w:rPr>
          <w:rFonts w:ascii="Times New Roman" w:cs="Times New Roman" w:eastAsia="Times New Roman" w:hAnsi="Times New Roman"/>
          <w:sz w:val="18"/>
          <w:szCs w:val="18"/>
          <w:color w:val="auto"/>
        </w:rPr>
      </w:pPr>
    </w:p>
    <w:p>
      <w:pPr>
        <w:ind w:left="1100" w:right="2000" w:hanging="546"/>
        <w:spacing w:after="0" w:line="222" w:lineRule="auto"/>
        <w:tabs>
          <w:tab w:leader="none" w:pos="11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Paramount Global Short-Term Incentive Plan, as amended and restated as of February 13, 2023 (incorporated by reference to </w:t>
      </w:r>
      <w:hyperlink r:id="rId192">
        <w:r>
          <w:rPr>
            <w:rFonts w:ascii="Times New Roman" w:cs="Times New Roman" w:eastAsia="Times New Roman" w:hAnsi="Times New Roman"/>
            <w:sz w:val="18"/>
            <w:szCs w:val="18"/>
            <w:u w:val="single" w:color="auto"/>
            <w:color w:val="0000FF"/>
          </w:rPr>
          <w:t>Exhibit 10(c)</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of Paramount Global for the fiscal year ended December 31, 2022) (File No. 001-09553).*</w:t>
      </w:r>
    </w:p>
    <w:p>
      <w:pPr>
        <w:spacing w:after="0" w:line="8" w:lineRule="exact"/>
        <w:rPr>
          <w:rFonts w:ascii="Times New Roman" w:cs="Times New Roman" w:eastAsia="Times New Roman" w:hAnsi="Times New Roman"/>
          <w:sz w:val="18"/>
          <w:szCs w:val="18"/>
          <w:color w:val="auto"/>
        </w:rPr>
      </w:pPr>
    </w:p>
    <w:p>
      <w:pPr>
        <w:ind w:left="1100" w:right="2000" w:hanging="546"/>
        <w:spacing w:after="0" w:line="192" w:lineRule="exact"/>
        <w:tabs>
          <w:tab w:leader="none" w:pos="110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Paramount Global Excess 401(k) Plan for Designated Senior Executives - Part A, as amended and restated as of October 1, 2021 (incorporated by reference to </w:t>
      </w:r>
      <w:hyperlink r:id="rId193">
        <w:r>
          <w:rPr>
            <w:rFonts w:ascii="Times New Roman" w:cs="Times New Roman" w:eastAsia="Times New Roman" w:hAnsi="Times New Roman"/>
            <w:sz w:val="17"/>
            <w:szCs w:val="17"/>
            <w:u w:val="single" w:color="auto"/>
            <w:color w:val="0000FF"/>
          </w:rPr>
          <w:t>Exhibit 10(b)</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Quarterly Report on Form 10-Q of ViacomCBS Inc. for the quarter ended September 30, 2021) (File No. 001</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09553), as amended by Amendment No. 1, effective as of February 16, 2022 (incorporated by reference to </w:t>
      </w:r>
      <w:hyperlink r:id="rId194">
        <w:r>
          <w:rPr>
            <w:rFonts w:ascii="Times New Roman" w:cs="Times New Roman" w:eastAsia="Times New Roman" w:hAnsi="Times New Roman"/>
            <w:sz w:val="17"/>
            <w:szCs w:val="17"/>
            <w:u w:val="single" w:color="auto"/>
            <w:color w:val="0000FF"/>
          </w:rPr>
          <w:t>Exhibit 4.5</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Registration Statement on Form 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8 of Paramount Global filed October 7, 2022) (Registration No. 333</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154962).*</w:t>
      </w:r>
    </w:p>
    <w:p>
      <w:pPr>
        <w:spacing w:after="0" w:line="2" w:lineRule="exact"/>
        <w:rPr>
          <w:rFonts w:ascii="Times New Roman" w:cs="Times New Roman" w:eastAsia="Times New Roman" w:hAnsi="Times New Roman"/>
          <w:sz w:val="17"/>
          <w:szCs w:val="17"/>
          <w:color w:val="auto"/>
        </w:rPr>
      </w:pPr>
    </w:p>
    <w:p>
      <w:pPr>
        <w:ind w:left="1100" w:right="2000" w:hanging="546"/>
        <w:spacing w:after="0" w:line="181" w:lineRule="exact"/>
        <w:tabs>
          <w:tab w:leader="none" w:pos="11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Paramount Global Excess 401(k) Plan for Designated Senior Executives - Part B, as amended and restated as of October 1, 2021 (incorporated by reference to </w:t>
      </w:r>
      <w:hyperlink r:id="rId195">
        <w:r>
          <w:rPr>
            <w:rFonts w:ascii="Times New Roman" w:cs="Times New Roman" w:eastAsia="Times New Roman" w:hAnsi="Times New Roman"/>
            <w:sz w:val="18"/>
            <w:szCs w:val="18"/>
            <w:u w:val="single" w:color="auto"/>
            <w:color w:val="0000FF"/>
          </w:rPr>
          <w:t>Exhibit 10(c)</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ViacomCBS Inc. for the quarter ended September 30, 2021)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09553), as amended by Amendment No. 1, effective as of February 16, 2022 (incorporated by reference to </w:t>
      </w:r>
      <w:hyperlink r:id="rId194">
        <w:r>
          <w:rPr>
            <w:rFonts w:ascii="Times New Roman" w:cs="Times New Roman" w:eastAsia="Times New Roman" w:hAnsi="Times New Roman"/>
            <w:sz w:val="18"/>
            <w:szCs w:val="18"/>
            <w:u w:val="single" w:color="auto"/>
            <w:color w:val="0000FF"/>
          </w:rPr>
          <w:t>Exhibit 4.5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of Paramount Global filed October 7, 2022)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09553), as further amended by Amendment No. 2, effective as of January 1, 2021 (incorporated by reference to </w:t>
      </w:r>
      <w:hyperlink r:id="rId196">
        <w:r>
          <w:rPr>
            <w:rFonts w:ascii="Times New Roman" w:cs="Times New Roman" w:eastAsia="Times New Roman" w:hAnsi="Times New Roman"/>
            <w:sz w:val="18"/>
            <w:szCs w:val="18"/>
            <w:u w:val="single" w:color="auto"/>
            <w:color w:val="0000FF"/>
          </w:rPr>
          <w:t>Exhibit 10(e)</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of Paramount Global for the fiscal year ended December 31, 2022) (File No. 001-09553).*</w:t>
      </w:r>
    </w:p>
    <w:p>
      <w:pPr>
        <w:spacing w:after="0" w:line="9" w:lineRule="exact"/>
        <w:rPr>
          <w:rFonts w:ascii="Times New Roman" w:cs="Times New Roman" w:eastAsia="Times New Roman" w:hAnsi="Times New Roman"/>
          <w:sz w:val="18"/>
          <w:szCs w:val="18"/>
          <w:color w:val="auto"/>
        </w:rPr>
      </w:pPr>
    </w:p>
    <w:p>
      <w:pPr>
        <w:ind w:left="1100" w:right="1960" w:hanging="546"/>
        <w:spacing w:after="0" w:line="192" w:lineRule="exact"/>
        <w:tabs>
          <w:tab w:leader="none" w:pos="11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Paramount Global Bonus Deferral Plan for Designated Senior Executives - Part A, as amended and restated as of October 1, 2021 (incorporated by reference to </w:t>
      </w:r>
      <w:hyperlink r:id="rId197">
        <w:r>
          <w:rPr>
            <w:rFonts w:ascii="Times New Roman" w:cs="Times New Roman" w:eastAsia="Times New Roman" w:hAnsi="Times New Roman"/>
            <w:sz w:val="18"/>
            <w:szCs w:val="18"/>
            <w:u w:val="single" w:color="auto"/>
            <w:color w:val="0000FF"/>
          </w:rPr>
          <w:t>Exhibit 10(e)</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ViacomCBS Inc. for the quarter ended September 30, 2021)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09553), as amended by Amendment No. 1, effective as of February 16, 2022 (incorporated by reference to </w:t>
      </w:r>
      <w:hyperlink r:id="rId198">
        <w:r>
          <w:rPr>
            <w:rFonts w:ascii="Times New Roman" w:cs="Times New Roman" w:eastAsia="Times New Roman" w:hAnsi="Times New Roman"/>
            <w:sz w:val="18"/>
            <w:szCs w:val="18"/>
            <w:u w:val="single" w:color="auto"/>
            <w:color w:val="0000FF"/>
          </w:rPr>
          <w:t>Exhibit 4.10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of Paramount Global filed October 7, 2022)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w:t>
      </w:r>
    </w:p>
    <w:p>
      <w:pPr>
        <w:spacing w:after="0" w:line="2" w:lineRule="exact"/>
        <w:rPr>
          <w:rFonts w:ascii="Times New Roman" w:cs="Times New Roman" w:eastAsia="Times New Roman" w:hAnsi="Times New Roman"/>
          <w:sz w:val="18"/>
          <w:szCs w:val="18"/>
          <w:color w:val="auto"/>
        </w:rPr>
      </w:pPr>
    </w:p>
    <w:p>
      <w:pPr>
        <w:ind w:left="1100" w:right="1960" w:hanging="546"/>
        <w:spacing w:after="0" w:line="189" w:lineRule="exact"/>
        <w:tabs>
          <w:tab w:leader="none" w:pos="11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Paramount Global Bonus Deferral Plan for Designated Senior Executives - Part B, as amended and restated as of October 1, 2021 (incorporated by reference to </w:t>
      </w:r>
      <w:hyperlink r:id="rId199">
        <w:r>
          <w:rPr>
            <w:rFonts w:ascii="Times New Roman" w:cs="Times New Roman" w:eastAsia="Times New Roman" w:hAnsi="Times New Roman"/>
            <w:sz w:val="18"/>
            <w:szCs w:val="18"/>
            <w:u w:val="single" w:color="auto"/>
            <w:color w:val="0000FF"/>
          </w:rPr>
          <w:t>Exhibit 10(f)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ViacomCBS Inc. for the quarter ended September 30, 2021)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09553), as amended by Amendment No. 1, effective as of February 16, 2022 (incorporated by reference to </w:t>
      </w:r>
      <w:hyperlink r:id="rId198">
        <w:r>
          <w:rPr>
            <w:rFonts w:ascii="Times New Roman" w:cs="Times New Roman" w:eastAsia="Times New Roman" w:hAnsi="Times New Roman"/>
            <w:sz w:val="18"/>
            <w:szCs w:val="18"/>
            <w:u w:val="single" w:color="auto"/>
            <w:color w:val="0000FF"/>
          </w:rPr>
          <w:t>Exhibit 4.10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of Paramount Global filed October 7, 2022)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w:t>
      </w:r>
    </w:p>
    <w:p>
      <w:pPr>
        <w:ind w:left="1100" w:right="2500" w:hanging="546"/>
        <w:spacing w:after="0" w:line="223" w:lineRule="auto"/>
        <w:tabs>
          <w:tab w:leader="none" w:pos="11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Viacom Inc. 2016 Long-Term Management Incentive Plan (incorporated by reference to </w:t>
      </w:r>
      <w:hyperlink r:id="rId200">
        <w:r>
          <w:rPr>
            <w:rFonts w:ascii="Times New Roman" w:cs="Times New Roman" w:eastAsia="Times New Roman" w:hAnsi="Times New Roman"/>
            <w:sz w:val="18"/>
            <w:szCs w:val="18"/>
            <w:u w:val="single" w:color="auto"/>
            <w:color w:val="0000FF"/>
          </w:rPr>
          <w:t>Exhibit 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Definitive Proxy Statement of Viacom Inc. filed January 23, 2015) (File No. 001-32686).*</w:t>
      </w:r>
    </w:p>
    <w:p>
      <w:pPr>
        <w:spacing w:after="0" w:line="25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23" w:lineRule="exact"/>
        <w:rPr>
          <w:rFonts w:ascii="Times New Roman" w:cs="Times New Roman" w:eastAsia="Times New Roman" w:hAnsi="Times New Roman"/>
          <w:sz w:val="18"/>
          <w:szCs w:val="18"/>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Management contract or compensatory plan or arrangement.</w:t>
      </w:r>
    </w:p>
    <w:p>
      <w:pPr>
        <w:spacing w:after="0" w:line="7" w:lineRule="exact"/>
        <w:rPr>
          <w:rFonts w:ascii="Times New Roman" w:cs="Times New Roman" w:eastAsia="Times New Roman" w:hAnsi="Times New Roman"/>
          <w:sz w:val="18"/>
          <w:szCs w:val="18"/>
          <w:color w:val="auto"/>
        </w:rPr>
      </w:pPr>
    </w:p>
    <w:p>
      <w:pPr>
        <w:ind w:left="160" w:right="20" w:hanging="154"/>
        <w:spacing w:after="0" w:line="215" w:lineRule="auto"/>
        <w:tabs>
          <w:tab w:leader="none" w:pos="94" w:val="left"/>
        </w:tabs>
        <w:numPr>
          <w:ilvl w:val="0"/>
          <w:numId w:val="5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schedules have been omitted pursuant to Item 601(a)(5) of Regulation S-K. The registrant undertakes to furnish supplemental copies of any of the omitted schedules upon request by the SEC.</w:t>
      </w:r>
    </w:p>
    <w:p>
      <w:pPr>
        <w:spacing w:after="0" w:line="2" w:lineRule="exact"/>
        <w:rPr>
          <w:rFonts w:ascii="Times New Roman" w:cs="Times New Roman" w:eastAsia="Times New Roman" w:hAnsi="Times New Roman"/>
          <w:sz w:val="18"/>
          <w:szCs w:val="18"/>
          <w:color w:val="auto"/>
        </w:rPr>
      </w:pPr>
    </w:p>
    <w:p>
      <w:pPr>
        <w:ind w:left="160" w:hanging="154"/>
        <w:spacing w:after="0" w:line="221" w:lineRule="auto"/>
        <w:tabs>
          <w:tab w:leader="none" w:pos="108" w:val="left"/>
        </w:tabs>
        <w:numPr>
          <w:ilvl w:val="0"/>
          <w:numId w:val="5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portions of this exhibit have been omitted because such portions are both not material and the type the registrant customarily and actually treats as private or confidential.</w:t>
      </w:r>
    </w:p>
    <w:p>
      <w:pPr>
        <w:spacing w:after="0" w:line="215" w:lineRule="exact"/>
        <w:rPr>
          <w:rFonts w:ascii="Times New Roman" w:cs="Times New Roman" w:eastAsia="Times New Roman" w:hAnsi="Times New Roman"/>
          <w:sz w:val="18"/>
          <w:szCs w:val="18"/>
          <w:color w:val="auto"/>
        </w:rPr>
      </w:pPr>
    </w:p>
    <w:p>
      <w:pPr>
        <w:jc w:val="center"/>
        <w:ind w:right="-239"/>
        <w:spacing w:after="0"/>
        <w:rPr>
          <w:sz w:val="20"/>
          <w:szCs w:val="20"/>
          <w:color w:val="auto"/>
        </w:rPr>
      </w:pPr>
      <w:r>
        <w:rPr>
          <w:rFonts w:ascii="Times New Roman" w:cs="Times New Roman" w:eastAsia="Times New Roman" w:hAnsi="Times New Roman"/>
          <w:sz w:val="19"/>
          <w:szCs w:val="19"/>
          <w:color w:val="auto"/>
        </w:rPr>
        <w:t>E-2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00"/>
          </w:cols>
          <w:pgMar w:left="320" w:top="1440" w:right="579" w:bottom="1440" w:gutter="0" w:footer="0" w:header="0"/>
        </w:sectPr>
      </w:pPr>
    </w:p>
    <w:bookmarkStart w:id="150" w:name="page151"/>
    <w:bookmarkEnd w:id="150"/>
    <w:p>
      <w:pPr>
        <w:spacing w:after="0" w:line="93" w:lineRule="exact"/>
        <w:rPr>
          <w:sz w:val="20"/>
          <w:szCs w:val="20"/>
          <w:color w:val="auto"/>
        </w:rPr>
      </w:pPr>
    </w:p>
    <w:p>
      <w:pPr>
        <w:ind w:left="200"/>
        <w:spacing w:after="0"/>
        <w:tabs>
          <w:tab w:leader="none" w:pos="430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575500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2">
                      <a:extLst>
                        <a:ext uri="{28A0092B-C50C-407E-A947-70E740481C1C}"/>
                      </a:extLst>
                    </a:blip>
                    <a:srcRect/>
                    <a:stretch>
                      <a:fillRect/>
                    </a:stretch>
                  </pic:blipFill>
                  <pic:spPr bwMode="auto">
                    <a:xfrm>
                      <a:off x="0" y="0"/>
                      <a:ext cx="5755005" cy="8255"/>
                    </a:xfrm>
                    <a:prstGeom prst="rect">
                      <a:avLst/>
                    </a:prstGeom>
                    <a:noFill/>
                  </pic:spPr>
                </pic:pic>
              </a:graphicData>
            </a:graphic>
          </wp:anchor>
        </w:drawing>
      </w:r>
    </w:p>
    <w:p>
      <w:pPr>
        <w:spacing w:after="0" w:line="37" w:lineRule="exact"/>
        <w:rPr>
          <w:sz w:val="20"/>
          <w:szCs w:val="20"/>
          <w:color w:val="auto"/>
        </w:rPr>
      </w:pPr>
    </w:p>
    <w:p>
      <w:pPr>
        <w:ind w:left="1100" w:right="1980" w:hanging="560"/>
        <w:spacing w:after="0" w:line="222" w:lineRule="auto"/>
        <w:tabs>
          <w:tab w:leader="none" w:pos="11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Forms of Terms and Conditions to the Certificates for Stock Options under the Viacom Inc. 2016 Long-Term Management Incentive Plan (incorporated by reference to </w:t>
      </w:r>
      <w:hyperlink r:id="rId203">
        <w:r>
          <w:rPr>
            <w:rFonts w:ascii="Times New Roman" w:cs="Times New Roman" w:eastAsia="Times New Roman" w:hAnsi="Times New Roman"/>
            <w:sz w:val="18"/>
            <w:szCs w:val="18"/>
            <w:u w:val="single" w:color="auto"/>
            <w:color w:val="0000FF"/>
          </w:rPr>
          <w:t>Exhibit 10.3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Viacom Inc. for the quarter ended June 30, 2016) (File No. 001-32686).*</w:t>
      </w:r>
    </w:p>
    <w:p>
      <w:pPr>
        <w:spacing w:after="0" w:line="8" w:lineRule="exact"/>
        <w:rPr>
          <w:rFonts w:ascii="Times New Roman" w:cs="Times New Roman" w:eastAsia="Times New Roman" w:hAnsi="Times New Roman"/>
          <w:sz w:val="18"/>
          <w:szCs w:val="18"/>
          <w:color w:val="auto"/>
        </w:rPr>
      </w:pPr>
    </w:p>
    <w:p>
      <w:pPr>
        <w:ind w:left="1100" w:right="2400" w:hanging="560"/>
        <w:spacing w:after="0" w:line="222" w:lineRule="auto"/>
        <w:tabs>
          <w:tab w:leader="none" w:pos="1100" w:val="left"/>
        </w:tabs>
        <w:numPr>
          <w:ilvl w:val="0"/>
          <w:numId w:val="57"/>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Viacom Excess Pension Plan, as amended and restated as of January 1, 2023 (incorporated by reference to </w:t>
      </w:r>
      <w:hyperlink r:id="rId204">
        <w:r>
          <w:rPr>
            <w:rFonts w:ascii="Times New Roman" w:cs="Times New Roman" w:eastAsia="Times New Roman" w:hAnsi="Times New Roman"/>
            <w:sz w:val="18"/>
            <w:szCs w:val="18"/>
            <w:u w:val="single" w:color="auto"/>
            <w:color w:val="0000FF"/>
          </w:rPr>
          <w:t>Exhibit 10(j)</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Annual Report on Form 10-K of Paramount Global for the fiscal year ended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December 31, 2022) (File No. 001-09553).*</w:t>
      </w:r>
    </w:p>
    <w:p>
      <w:pPr>
        <w:spacing w:after="0" w:line="8" w:lineRule="exact"/>
        <w:rPr>
          <w:rFonts w:ascii="Times New Roman" w:cs="Times New Roman" w:eastAsia="Times New Roman" w:hAnsi="Times New Roman"/>
          <w:sz w:val="18"/>
          <w:szCs w:val="18"/>
          <w:color w:val="0000FF"/>
        </w:rPr>
      </w:pPr>
    </w:p>
    <w:p>
      <w:pPr>
        <w:jc w:val="both"/>
        <w:ind w:left="1100" w:right="2160" w:hanging="560"/>
        <w:spacing w:after="0" w:line="219" w:lineRule="exact"/>
        <w:tabs>
          <w:tab w:leader="none" w:pos="11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Viacom Excess 401(k) Plan for Designated Senior Executives, as amended and restated as of October 1, 2021 (incorporated by reference to </w:t>
      </w:r>
      <w:hyperlink r:id="rId205">
        <w:r>
          <w:rPr>
            <w:rFonts w:ascii="Times New Roman" w:cs="Times New Roman" w:eastAsia="Times New Roman" w:hAnsi="Times New Roman"/>
            <w:sz w:val="18"/>
            <w:szCs w:val="18"/>
            <w:u w:val="single" w:color="auto"/>
            <w:color w:val="0000FF"/>
          </w:rPr>
          <w:t>Exhibit 10(a)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ViacomCBS Inc. for the quarter ended September 30, 2021)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w:t>
      </w:r>
    </w:p>
    <w:p>
      <w:pPr>
        <w:ind w:left="1100" w:right="2080" w:hanging="560"/>
        <w:spacing w:after="0" w:line="216" w:lineRule="exact"/>
        <w:tabs>
          <w:tab w:leader="none" w:pos="11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Viacom Bonus Deferral Plan for Designated Senior Executives, as amended and restated as of October 1, 2021 (incorporated by reference to </w:t>
      </w:r>
      <w:hyperlink r:id="rId206">
        <w:r>
          <w:rPr>
            <w:rFonts w:ascii="Times New Roman" w:cs="Times New Roman" w:eastAsia="Times New Roman" w:hAnsi="Times New Roman"/>
            <w:sz w:val="18"/>
            <w:szCs w:val="18"/>
            <w:u w:val="single" w:color="auto"/>
            <w:color w:val="0000FF"/>
          </w:rPr>
          <w:t>Exhibit 10(d)</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ViacomCBS Inc. for the quarter ended September 30, 2021)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w:t>
      </w:r>
    </w:p>
    <w:p>
      <w:pPr>
        <w:spacing w:after="0" w:line="2" w:lineRule="exact"/>
        <w:rPr>
          <w:rFonts w:ascii="Times New Roman" w:cs="Times New Roman" w:eastAsia="Times New Roman" w:hAnsi="Times New Roman"/>
          <w:sz w:val="18"/>
          <w:szCs w:val="18"/>
          <w:color w:val="auto"/>
        </w:rPr>
      </w:pPr>
    </w:p>
    <w:p>
      <w:pPr>
        <w:ind w:left="1100" w:right="2000" w:hanging="560"/>
        <w:spacing w:after="0" w:line="220" w:lineRule="auto"/>
        <w:tabs>
          <w:tab w:leader="none" w:pos="11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Summary of Paramount Global Compensation for Outside Directors, as of December 16, 2022 (incorporated by reference to </w:t>
      </w:r>
      <w:hyperlink r:id="rId207">
        <w:r>
          <w:rPr>
            <w:rFonts w:ascii="Times New Roman" w:cs="Times New Roman" w:eastAsia="Times New Roman" w:hAnsi="Times New Roman"/>
            <w:sz w:val="18"/>
            <w:szCs w:val="18"/>
            <w:u w:val="single" w:color="auto"/>
            <w:color w:val="0000FF"/>
          </w:rPr>
          <w:t>Exhibit 10(m)</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of Paramount Global for the fiscal year ended December 31, 2022) (File No. 001-09553).*</w:t>
      </w:r>
    </w:p>
    <w:p>
      <w:pPr>
        <w:spacing w:after="0" w:line="8" w:lineRule="exact"/>
        <w:rPr>
          <w:rFonts w:ascii="Times New Roman" w:cs="Times New Roman" w:eastAsia="Times New Roman" w:hAnsi="Times New Roman"/>
          <w:sz w:val="18"/>
          <w:szCs w:val="18"/>
          <w:color w:val="auto"/>
        </w:rPr>
      </w:pPr>
    </w:p>
    <w:p>
      <w:pPr>
        <w:ind w:left="1100" w:right="2040" w:hanging="560"/>
        <w:spacing w:after="0" w:line="215" w:lineRule="exact"/>
        <w:tabs>
          <w:tab w:leader="none" w:pos="11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Form of Director Indemnification Agreement (incorporated by reference to </w:t>
      </w:r>
      <w:hyperlink r:id="rId208">
        <w:r>
          <w:rPr>
            <w:rFonts w:ascii="Times New Roman" w:cs="Times New Roman" w:eastAsia="Times New Roman" w:hAnsi="Times New Roman"/>
            <w:sz w:val="18"/>
            <w:szCs w:val="18"/>
            <w:u w:val="single" w:color="auto"/>
            <w:color w:val="0000FF"/>
          </w:rPr>
          <w:t>Exhibit 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CBS Corporation filed September 18, 2009)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w:t>
      </w:r>
    </w:p>
    <w:p>
      <w:pPr>
        <w:ind w:left="1100" w:right="1980" w:hanging="560"/>
        <w:spacing w:after="0" w:line="215" w:lineRule="auto"/>
        <w:tabs>
          <w:tab w:leader="none" w:pos="11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CBS Corporation Deferred Compensation Plan for Outside Directors, as amended and restated as of January 29, 2015 (incorporated by reference to </w:t>
      </w:r>
      <w:hyperlink r:id="rId209">
        <w:r>
          <w:rPr>
            <w:rFonts w:ascii="Times New Roman" w:cs="Times New Roman" w:eastAsia="Times New Roman" w:hAnsi="Times New Roman"/>
            <w:sz w:val="18"/>
            <w:szCs w:val="18"/>
            <w:u w:val="single" w:color="auto"/>
            <w:color w:val="0000FF"/>
          </w:rPr>
          <w:t>Exhibit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of CBS Corporation for the fiscal year ended December 31, 2014) (File No. 001-09553).*</w:t>
      </w:r>
    </w:p>
    <w:p>
      <w:pPr>
        <w:spacing w:after="0" w:line="7" w:lineRule="exact"/>
        <w:rPr>
          <w:rFonts w:ascii="Times New Roman" w:cs="Times New Roman" w:eastAsia="Times New Roman" w:hAnsi="Times New Roman"/>
          <w:sz w:val="18"/>
          <w:szCs w:val="18"/>
          <w:color w:val="auto"/>
        </w:rPr>
      </w:pPr>
    </w:p>
    <w:p>
      <w:pPr>
        <w:ind w:left="1100" w:right="2240" w:hanging="560"/>
        <w:spacing w:after="0" w:line="222" w:lineRule="auto"/>
        <w:tabs>
          <w:tab w:leader="none" w:pos="11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CBS Corporation 2005 RSU Plan for Outside Directors, as amended and restated as of January 29, 2015 (incorporated by reference to </w:t>
      </w:r>
      <w:hyperlink r:id="rId210">
        <w:r>
          <w:rPr>
            <w:rFonts w:ascii="Times New Roman" w:cs="Times New Roman" w:eastAsia="Times New Roman" w:hAnsi="Times New Roman"/>
            <w:sz w:val="18"/>
            <w:szCs w:val="18"/>
            <w:u w:val="single" w:color="auto"/>
            <w:color w:val="0000FF"/>
          </w:rPr>
          <w:t>Exhibit 10(m)</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of CBS Corporation for the fiscal year ended December 31, 2014) (File No. 001-09553).*</w:t>
      </w:r>
    </w:p>
    <w:p>
      <w:pPr>
        <w:spacing w:after="0" w:line="8" w:lineRule="exact"/>
        <w:rPr>
          <w:rFonts w:ascii="Times New Roman" w:cs="Times New Roman" w:eastAsia="Times New Roman" w:hAnsi="Times New Roman"/>
          <w:sz w:val="18"/>
          <w:szCs w:val="18"/>
          <w:color w:val="auto"/>
        </w:rPr>
      </w:pPr>
    </w:p>
    <w:p>
      <w:pPr>
        <w:ind w:left="1100" w:right="1980" w:hanging="560"/>
        <w:spacing w:after="0" w:line="222" w:lineRule="auto"/>
        <w:tabs>
          <w:tab w:leader="none" w:pos="11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CBS Corporation 2015 Equity Plan for Outside Directors, effective as of May 21, 2015 (incorporated by reference to </w:t>
      </w:r>
      <w:hyperlink r:id="rId211">
        <w:r>
          <w:rPr>
            <w:rFonts w:ascii="Times New Roman" w:cs="Times New Roman" w:eastAsia="Times New Roman" w:hAnsi="Times New Roman"/>
            <w:sz w:val="18"/>
            <w:szCs w:val="18"/>
            <w:u w:val="single" w:color="auto"/>
            <w:color w:val="0000FF"/>
          </w:rPr>
          <w:t>Exhibit 10(a)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CBS Corporation for the quarter ended June 30, 2015) (File No. 001-09553).*</w:t>
      </w:r>
    </w:p>
    <w:p>
      <w:pPr>
        <w:spacing w:after="0" w:line="8" w:lineRule="exact"/>
        <w:rPr>
          <w:rFonts w:ascii="Times New Roman" w:cs="Times New Roman" w:eastAsia="Times New Roman" w:hAnsi="Times New Roman"/>
          <w:sz w:val="18"/>
          <w:szCs w:val="18"/>
          <w:color w:val="auto"/>
        </w:rPr>
      </w:pPr>
    </w:p>
    <w:p>
      <w:pPr>
        <w:ind w:left="1100" w:right="2000" w:hanging="560"/>
        <w:spacing w:after="0" w:line="233" w:lineRule="auto"/>
        <w:tabs>
          <w:tab w:leader="none" w:pos="11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Viacom Inc. 2011 RSU Plan for Outside Directors, as amended and restated as of January 1, 2016 (incorporated by reference to </w:t>
      </w:r>
      <w:hyperlink r:id="rId212">
        <w:r>
          <w:rPr>
            <w:rFonts w:ascii="Times New Roman" w:cs="Times New Roman" w:eastAsia="Times New Roman" w:hAnsi="Times New Roman"/>
            <w:sz w:val="17"/>
            <w:szCs w:val="17"/>
            <w:u w:val="single" w:color="auto"/>
            <w:color w:val="0000FF"/>
          </w:rPr>
          <w:t>Exhibit B</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to the Definitive Proxy Statement of Viacom Inc. filed January 23, 2015) (File No. 001-32686), as further amended and restated as of May 18, 2016 (incorporated by reference to </w:t>
      </w:r>
      <w:hyperlink r:id="rId213">
        <w:r>
          <w:rPr>
            <w:rFonts w:ascii="Times New Roman" w:cs="Times New Roman" w:eastAsia="Times New Roman" w:hAnsi="Times New Roman"/>
            <w:sz w:val="17"/>
            <w:szCs w:val="17"/>
            <w:u w:val="single" w:color="auto"/>
            <w:color w:val="0000FF"/>
          </w:rPr>
          <w:t>Exhibit 10.2</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Quarterly Report of Viacom Inc. for the quarter ended June 30, 2016) (File No. 001-32686).*</w:t>
      </w:r>
    </w:p>
    <w:p>
      <w:pPr>
        <w:spacing w:after="0" w:line="141" w:lineRule="exact"/>
        <w:rPr>
          <w:rFonts w:ascii="Times New Roman" w:cs="Times New Roman" w:eastAsia="Times New Roman" w:hAnsi="Times New Roman"/>
          <w:sz w:val="17"/>
          <w:szCs w:val="17"/>
          <w:color w:val="auto"/>
        </w:rPr>
      </w:pPr>
    </w:p>
    <w:p>
      <w:pPr>
        <w:ind w:left="1100" w:right="2280" w:hanging="560"/>
        <w:spacing w:after="0" w:line="222" w:lineRule="auto"/>
        <w:tabs>
          <w:tab w:leader="none" w:pos="11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Employment Agreement, dated as of August 13, 2019, between Viacom Inc. and Robert M. Bakish (incorporated by reference to </w:t>
      </w:r>
      <w:hyperlink r:id="rId214">
        <w:r>
          <w:rPr>
            <w:rFonts w:ascii="Times New Roman" w:cs="Times New Roman" w:eastAsia="Times New Roman" w:hAnsi="Times New Roman"/>
            <w:sz w:val="18"/>
            <w:szCs w:val="18"/>
            <w:u w:val="single" w:color="auto"/>
            <w:color w:val="0000FF"/>
          </w:rPr>
          <w:t>Exhibit 10.4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CBS Corporation’s Registration Statement No. 333-234238 on Form S-4 filed October 17, 2019) (File No. 333-234238).*</w:t>
      </w:r>
    </w:p>
    <w:p>
      <w:pPr>
        <w:spacing w:after="0" w:line="8" w:lineRule="exact"/>
        <w:rPr>
          <w:rFonts w:ascii="Times New Roman" w:cs="Times New Roman" w:eastAsia="Times New Roman" w:hAnsi="Times New Roman"/>
          <w:sz w:val="18"/>
          <w:szCs w:val="18"/>
          <w:color w:val="auto"/>
        </w:rPr>
      </w:pPr>
    </w:p>
    <w:p>
      <w:pPr>
        <w:ind w:left="1100" w:right="2060" w:hanging="560"/>
        <w:spacing w:after="0" w:line="222" w:lineRule="auto"/>
        <w:tabs>
          <w:tab w:leader="none" w:pos="11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Transition Agreement, dated as of April 29, 2024, between Paramount Global and Robert Bakish (incorporated by reference to </w:t>
      </w:r>
      <w:hyperlink r:id="rId215">
        <w:r>
          <w:rPr>
            <w:rFonts w:ascii="Times New Roman" w:cs="Times New Roman" w:eastAsia="Times New Roman" w:hAnsi="Times New Roman"/>
            <w:sz w:val="18"/>
            <w:szCs w:val="18"/>
            <w:u w:val="single" w:color="auto"/>
            <w:color w:val="0000FF"/>
          </w:rPr>
          <w:t>Exhibit 10.1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of Paramount Global filed May 3, 2024) (File No. 001-09553).*</w:t>
      </w:r>
    </w:p>
    <w:p>
      <w:pPr>
        <w:spacing w:after="0" w:line="8" w:lineRule="exact"/>
        <w:rPr>
          <w:rFonts w:ascii="Times New Roman" w:cs="Times New Roman" w:eastAsia="Times New Roman" w:hAnsi="Times New Roman"/>
          <w:sz w:val="18"/>
          <w:szCs w:val="18"/>
          <w:color w:val="auto"/>
        </w:rPr>
      </w:pPr>
    </w:p>
    <w:p>
      <w:pPr>
        <w:ind w:left="1100" w:right="2080" w:hanging="560"/>
        <w:spacing w:after="0" w:line="234" w:lineRule="auto"/>
        <w:tabs>
          <w:tab w:leader="none" w:pos="11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Agreement, dated as of September 1, 2023, between Paramount Global and George Cheeks (</w:t>
      </w:r>
      <w:r>
        <w:rPr>
          <w:rFonts w:ascii="Times New Roman" w:cs="Times New Roman" w:eastAsia="Times New Roman" w:hAnsi="Times New Roman"/>
          <w:sz w:val="18"/>
          <w:szCs w:val="18"/>
          <w:u w:val="single" w:color="auto"/>
          <w:color w:val="0000FF"/>
        </w:rPr>
        <w:t>filed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herewith</w:t>
      </w:r>
      <w:r>
        <w:rPr>
          <w:rFonts w:ascii="Times New Roman" w:cs="Times New Roman" w:eastAsia="Times New Roman" w:hAnsi="Times New Roman"/>
          <w:sz w:val="18"/>
          <w:szCs w:val="18"/>
          <w:color w:val="000000"/>
        </w:rPr>
        <w:t>).*</w:t>
      </w:r>
    </w:p>
    <w:p>
      <w:pPr>
        <w:spacing w:after="0" w:line="7" w:lineRule="exact"/>
        <w:rPr>
          <w:rFonts w:ascii="Times New Roman" w:cs="Times New Roman" w:eastAsia="Times New Roman" w:hAnsi="Times New Roman"/>
          <w:sz w:val="18"/>
          <w:szCs w:val="18"/>
          <w:color w:val="auto"/>
        </w:rPr>
      </w:pPr>
    </w:p>
    <w:p>
      <w:pPr>
        <w:ind w:left="1100" w:hanging="560"/>
        <w:spacing w:after="0"/>
        <w:tabs>
          <w:tab w:leader="none" w:pos="11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Agreement, dated as of June 7, 2024, between Paramount Global and George Cheeks (</w:t>
      </w:r>
      <w:r>
        <w:rPr>
          <w:rFonts w:ascii="Times New Roman" w:cs="Times New Roman" w:eastAsia="Times New Roman" w:hAnsi="Times New Roman"/>
          <w:sz w:val="18"/>
          <w:szCs w:val="18"/>
          <w:u w:val="single" w:color="auto"/>
          <w:color w:val="0000FF"/>
        </w:rPr>
        <w:t>filed herewith</w:t>
      </w:r>
      <w:r>
        <w:rPr>
          <w:rFonts w:ascii="Times New Roman" w:cs="Times New Roman" w:eastAsia="Times New Roman" w:hAnsi="Times New Roman"/>
          <w:sz w:val="18"/>
          <w:szCs w:val="18"/>
          <w:color w:val="auto"/>
        </w:rPr>
        <w:t>).*</w:t>
      </w:r>
    </w:p>
    <w:p>
      <w:pPr>
        <w:spacing w:after="0" w:line="44" w:lineRule="exact"/>
        <w:rPr>
          <w:rFonts w:ascii="Times New Roman" w:cs="Times New Roman" w:eastAsia="Times New Roman" w:hAnsi="Times New Roman"/>
          <w:sz w:val="18"/>
          <w:szCs w:val="18"/>
          <w:color w:val="auto"/>
        </w:rPr>
      </w:pPr>
    </w:p>
    <w:p>
      <w:pPr>
        <w:ind w:left="1100" w:right="2760" w:hanging="560"/>
        <w:spacing w:after="0" w:line="234" w:lineRule="auto"/>
        <w:tabs>
          <w:tab w:leader="none" w:pos="11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Agreement, dated as of October 8, 2024, between Paramount Global and George Cheeks (</w:t>
      </w:r>
      <w:r>
        <w:rPr>
          <w:rFonts w:ascii="Times New Roman" w:cs="Times New Roman" w:eastAsia="Times New Roman" w:hAnsi="Times New Roman"/>
          <w:sz w:val="18"/>
          <w:szCs w:val="18"/>
          <w:u w:val="single" w:color="auto"/>
          <w:color w:val="0000FF"/>
        </w:rPr>
        <w:t>filed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herewith</w:t>
      </w:r>
      <w:r>
        <w:rPr>
          <w:rFonts w:ascii="Times New Roman" w:cs="Times New Roman" w:eastAsia="Times New Roman" w:hAnsi="Times New Roman"/>
          <w:sz w:val="18"/>
          <w:szCs w:val="18"/>
          <w:color w:val="000000"/>
        </w:rPr>
        <w:t>).*</w:t>
      </w:r>
    </w:p>
    <w:p>
      <w:pPr>
        <w:spacing w:after="0" w:line="7" w:lineRule="exact"/>
        <w:rPr>
          <w:rFonts w:ascii="Times New Roman" w:cs="Times New Roman" w:eastAsia="Times New Roman" w:hAnsi="Times New Roman"/>
          <w:sz w:val="18"/>
          <w:szCs w:val="18"/>
          <w:color w:val="auto"/>
        </w:rPr>
      </w:pPr>
    </w:p>
    <w:p>
      <w:pPr>
        <w:ind w:left="1100" w:right="2100" w:hanging="560"/>
        <w:spacing w:after="0" w:line="222" w:lineRule="auto"/>
        <w:tabs>
          <w:tab w:leader="none" w:pos="11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Employment Agreement, dated as of June 28, 2023, between Paramount Global and Naveen Chopra (incorporated by reference to </w:t>
      </w:r>
      <w:hyperlink r:id="rId216">
        <w:r>
          <w:rPr>
            <w:rFonts w:ascii="Times New Roman" w:cs="Times New Roman" w:eastAsia="Times New Roman" w:hAnsi="Times New Roman"/>
            <w:sz w:val="18"/>
            <w:szCs w:val="18"/>
            <w:u w:val="single" w:color="auto"/>
            <w:color w:val="0000FF"/>
          </w:rPr>
          <w:t>Exhibit 10(a)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Paramount Global for the quarter ended June 30, 2023) (File No. 001-09553).*</w:t>
      </w:r>
    </w:p>
    <w:p>
      <w:pPr>
        <w:spacing w:after="0" w:line="9" w:lineRule="exact"/>
        <w:rPr>
          <w:rFonts w:ascii="Times New Roman" w:cs="Times New Roman" w:eastAsia="Times New Roman" w:hAnsi="Times New Roman"/>
          <w:sz w:val="18"/>
          <w:szCs w:val="18"/>
          <w:color w:val="auto"/>
        </w:rPr>
      </w:pPr>
    </w:p>
    <w:p>
      <w:pPr>
        <w:ind w:left="1100" w:right="2100" w:hanging="560"/>
        <w:spacing w:after="0" w:line="222" w:lineRule="auto"/>
        <w:tabs>
          <w:tab w:leader="none" w:pos="11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Employment Agreement, dated as of March 15, 2022, between Paramount Global and Christa A. D’Alimonte (incorporated by reference to </w:t>
      </w:r>
      <w:hyperlink r:id="rId217">
        <w:r>
          <w:rPr>
            <w:rFonts w:ascii="Times New Roman" w:cs="Times New Roman" w:eastAsia="Times New Roman" w:hAnsi="Times New Roman"/>
            <w:sz w:val="18"/>
            <w:szCs w:val="18"/>
            <w:u w:val="single" w:color="auto"/>
            <w:color w:val="0000FF"/>
          </w:rPr>
          <w:t>Exhibit 10(a)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Paramount Global for the quarter ended March 31, 2022) (File No. 001-09553).*</w:t>
      </w:r>
    </w:p>
    <w:p>
      <w:pPr>
        <w:spacing w:after="0" w:line="8" w:lineRule="exact"/>
        <w:rPr>
          <w:rFonts w:ascii="Times New Roman" w:cs="Times New Roman" w:eastAsia="Times New Roman" w:hAnsi="Times New Roman"/>
          <w:sz w:val="18"/>
          <w:szCs w:val="18"/>
          <w:color w:val="auto"/>
        </w:rPr>
      </w:pPr>
    </w:p>
    <w:p>
      <w:pPr>
        <w:ind w:left="1100" w:right="2220" w:hanging="560"/>
        <w:spacing w:after="0" w:line="234" w:lineRule="auto"/>
        <w:tabs>
          <w:tab w:leader="none" w:pos="11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Agreement, dated as of January 1, 2023, between Paramount Global and Chris McCarthy (</w:t>
      </w:r>
      <w:r>
        <w:rPr>
          <w:rFonts w:ascii="Times New Roman" w:cs="Times New Roman" w:eastAsia="Times New Roman" w:hAnsi="Times New Roman"/>
          <w:sz w:val="18"/>
          <w:szCs w:val="18"/>
          <w:u w:val="single" w:color="auto"/>
          <w:color w:val="0000FF"/>
        </w:rPr>
        <w:t>filed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herewith</w:t>
      </w:r>
      <w:r>
        <w:rPr>
          <w:rFonts w:ascii="Times New Roman" w:cs="Times New Roman" w:eastAsia="Times New Roman" w:hAnsi="Times New Roman"/>
          <w:sz w:val="18"/>
          <w:szCs w:val="18"/>
          <w:color w:val="000000"/>
        </w:rPr>
        <w:t>).*</w:t>
      </w:r>
    </w:p>
    <w:p>
      <w:pPr>
        <w:spacing w:after="0" w:line="7" w:lineRule="exact"/>
        <w:rPr>
          <w:rFonts w:ascii="Times New Roman" w:cs="Times New Roman" w:eastAsia="Times New Roman" w:hAnsi="Times New Roman"/>
          <w:sz w:val="18"/>
          <w:szCs w:val="18"/>
          <w:color w:val="auto"/>
        </w:rPr>
      </w:pPr>
    </w:p>
    <w:p>
      <w:pPr>
        <w:ind w:left="1100" w:hanging="560"/>
        <w:spacing w:after="0"/>
        <w:tabs>
          <w:tab w:leader="none" w:pos="11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Agreement, dated as of June 7, 2024, between Paramount Global and Chris McCarthy (</w:t>
      </w:r>
      <w:r>
        <w:rPr>
          <w:rFonts w:ascii="Times New Roman" w:cs="Times New Roman" w:eastAsia="Times New Roman" w:hAnsi="Times New Roman"/>
          <w:sz w:val="18"/>
          <w:szCs w:val="18"/>
          <w:u w:val="single" w:color="auto"/>
          <w:color w:val="0000FF"/>
        </w:rPr>
        <w:t>filed herewith</w:t>
      </w:r>
      <w:r>
        <w:rPr>
          <w:rFonts w:ascii="Times New Roman" w:cs="Times New Roman" w:eastAsia="Times New Roman" w:hAnsi="Times New Roman"/>
          <w:sz w:val="18"/>
          <w:szCs w:val="18"/>
          <w:color w:val="auto"/>
        </w:rPr>
        <w:t>).*</w:t>
      </w:r>
    </w:p>
    <w:p>
      <w:pPr>
        <w:spacing w:after="0" w:line="44" w:lineRule="exact"/>
        <w:rPr>
          <w:rFonts w:ascii="Times New Roman" w:cs="Times New Roman" w:eastAsia="Times New Roman" w:hAnsi="Times New Roman"/>
          <w:sz w:val="18"/>
          <w:szCs w:val="18"/>
          <w:color w:val="auto"/>
        </w:rPr>
      </w:pPr>
    </w:p>
    <w:p>
      <w:pPr>
        <w:ind w:left="1100" w:right="3120" w:hanging="560"/>
        <w:spacing w:after="0" w:line="234" w:lineRule="auto"/>
        <w:tabs>
          <w:tab w:leader="none" w:pos="11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Agreement, dated as of October 8, 2024, between Paramount Global and Chris McCarthy (</w:t>
      </w:r>
      <w:r>
        <w:rPr>
          <w:rFonts w:ascii="Times New Roman" w:cs="Times New Roman" w:eastAsia="Times New Roman" w:hAnsi="Times New Roman"/>
          <w:sz w:val="18"/>
          <w:szCs w:val="18"/>
          <w:u w:val="single" w:color="auto"/>
          <w:color w:val="0000FF"/>
        </w:rPr>
        <w:t>filed herewith</w:t>
      </w:r>
      <w:r>
        <w:rPr>
          <w:rFonts w:ascii="Times New Roman" w:cs="Times New Roman" w:eastAsia="Times New Roman" w:hAnsi="Times New Roman"/>
          <w:sz w:val="18"/>
          <w:szCs w:val="18"/>
          <w:color w:val="auto"/>
        </w:rPr>
        <w:t>).*</w:t>
      </w:r>
    </w:p>
    <w:p>
      <w:pPr>
        <w:spacing w:after="0" w:line="12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23" w:lineRule="exact"/>
        <w:rPr>
          <w:rFonts w:ascii="Times New Roman" w:cs="Times New Roman" w:eastAsia="Times New Roman" w:hAnsi="Times New Roman"/>
          <w:sz w:val="18"/>
          <w:szCs w:val="18"/>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Management contract or compensatory plan or arrangement.</w:t>
      </w:r>
    </w:p>
    <w:p>
      <w:pPr>
        <w:spacing w:after="0" w:line="7" w:lineRule="exact"/>
        <w:rPr>
          <w:rFonts w:ascii="Times New Roman" w:cs="Times New Roman" w:eastAsia="Times New Roman" w:hAnsi="Times New Roman"/>
          <w:sz w:val="18"/>
          <w:szCs w:val="18"/>
          <w:color w:val="auto"/>
        </w:rPr>
      </w:pPr>
    </w:p>
    <w:p>
      <w:pPr>
        <w:ind w:left="160" w:right="20" w:hanging="154"/>
        <w:spacing w:after="0" w:line="215" w:lineRule="auto"/>
        <w:tabs>
          <w:tab w:leader="none" w:pos="94" w:val="left"/>
        </w:tabs>
        <w:numPr>
          <w:ilvl w:val="0"/>
          <w:numId w:val="5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schedules have been omitted pursuant to Item 601(a)(5) of Regulation S-K. The registrant undertakes to furnish supplemental copies of any of the omitted schedules upon request by the SEC.</w:t>
      </w:r>
    </w:p>
    <w:p>
      <w:pPr>
        <w:spacing w:after="0" w:line="2" w:lineRule="exact"/>
        <w:rPr>
          <w:rFonts w:ascii="Times New Roman" w:cs="Times New Roman" w:eastAsia="Times New Roman" w:hAnsi="Times New Roman"/>
          <w:sz w:val="18"/>
          <w:szCs w:val="18"/>
          <w:color w:val="auto"/>
        </w:rPr>
      </w:pPr>
    </w:p>
    <w:p>
      <w:pPr>
        <w:ind w:left="160" w:hanging="154"/>
        <w:spacing w:after="0" w:line="221" w:lineRule="auto"/>
        <w:tabs>
          <w:tab w:leader="none" w:pos="108" w:val="left"/>
        </w:tabs>
        <w:numPr>
          <w:ilvl w:val="0"/>
          <w:numId w:val="6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portions of this exhibit have been omitted because such portions are both not material and the type the registrant customarily and actually treats as private or confidential.</w:t>
      </w:r>
    </w:p>
    <w:p>
      <w:pPr>
        <w:spacing w:after="0" w:line="215" w:lineRule="exact"/>
        <w:rPr>
          <w:rFonts w:ascii="Times New Roman" w:cs="Times New Roman" w:eastAsia="Times New Roman" w:hAnsi="Times New Roman"/>
          <w:sz w:val="18"/>
          <w:szCs w:val="18"/>
          <w:color w:val="auto"/>
        </w:rPr>
      </w:pPr>
    </w:p>
    <w:p>
      <w:pPr>
        <w:jc w:val="center"/>
        <w:ind w:right="-239"/>
        <w:spacing w:after="0"/>
        <w:rPr>
          <w:sz w:val="20"/>
          <w:szCs w:val="20"/>
          <w:color w:val="auto"/>
        </w:rPr>
      </w:pPr>
      <w:r>
        <w:rPr>
          <w:rFonts w:ascii="Times New Roman" w:cs="Times New Roman" w:eastAsia="Times New Roman" w:hAnsi="Times New Roman"/>
          <w:sz w:val="19"/>
          <w:szCs w:val="19"/>
          <w:color w:val="auto"/>
        </w:rPr>
        <w:t>E-3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00"/>
          </w:cols>
          <w:pgMar w:left="320" w:top="1440" w:right="579" w:bottom="1440" w:gutter="0" w:footer="0" w:header="0"/>
        </w:sectPr>
      </w:pPr>
    </w:p>
    <w:bookmarkStart w:id="151" w:name="page152"/>
    <w:bookmarkEnd w:id="151"/>
    <w:p>
      <w:pPr>
        <w:spacing w:after="0" w:line="93" w:lineRule="exact"/>
        <w:rPr>
          <w:sz w:val="20"/>
          <w:szCs w:val="20"/>
          <w:color w:val="auto"/>
        </w:rPr>
      </w:pPr>
    </w:p>
    <w:p>
      <w:pPr>
        <w:ind w:left="200"/>
        <w:spacing w:after="0"/>
        <w:tabs>
          <w:tab w:leader="none" w:pos="430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575500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9">
                      <a:extLst>
                        <a:ext uri="{28A0092B-C50C-407E-A947-70E740481C1C}"/>
                      </a:extLst>
                    </a:blip>
                    <a:srcRect/>
                    <a:stretch>
                      <a:fillRect/>
                    </a:stretch>
                  </pic:blipFill>
                  <pic:spPr bwMode="auto">
                    <a:xfrm>
                      <a:off x="0" y="0"/>
                      <a:ext cx="5755005" cy="8255"/>
                    </a:xfrm>
                    <a:prstGeom prst="rect">
                      <a:avLst/>
                    </a:prstGeom>
                    <a:noFill/>
                  </pic:spPr>
                </pic:pic>
              </a:graphicData>
            </a:graphic>
          </wp:anchor>
        </w:drawing>
      </w:r>
    </w:p>
    <w:p>
      <w:pPr>
        <w:spacing w:after="0" w:line="37" w:lineRule="exact"/>
        <w:rPr>
          <w:sz w:val="20"/>
          <w:szCs w:val="20"/>
          <w:color w:val="auto"/>
        </w:rPr>
      </w:pPr>
    </w:p>
    <w:p>
      <w:pPr>
        <w:ind w:left="1100" w:right="2100" w:hanging="560"/>
        <w:spacing w:after="0" w:line="222" w:lineRule="auto"/>
        <w:tabs>
          <w:tab w:leader="none" w:pos="11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Employment Agreement, dated as of April 11, 2022, between Paramount Global and Nancy Phillips (incorporated by reference to </w:t>
      </w:r>
      <w:hyperlink r:id="rId220">
        <w:r>
          <w:rPr>
            <w:rFonts w:ascii="Times New Roman" w:cs="Times New Roman" w:eastAsia="Times New Roman" w:hAnsi="Times New Roman"/>
            <w:sz w:val="18"/>
            <w:szCs w:val="18"/>
            <w:u w:val="single" w:color="auto"/>
            <w:color w:val="0000FF"/>
          </w:rPr>
          <w:t>Exhibit 10(c)</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Paramount Global for the quarter ended March 31, 2022) (File No. 001-09553).*</w:t>
      </w:r>
    </w:p>
    <w:p>
      <w:pPr>
        <w:spacing w:after="0" w:line="8" w:lineRule="exact"/>
        <w:rPr>
          <w:rFonts w:ascii="Times New Roman" w:cs="Times New Roman" w:eastAsia="Times New Roman" w:hAnsi="Times New Roman"/>
          <w:sz w:val="18"/>
          <w:szCs w:val="18"/>
          <w:color w:val="auto"/>
        </w:rPr>
      </w:pPr>
    </w:p>
    <w:p>
      <w:pPr>
        <w:jc w:val="both"/>
        <w:ind w:left="1100" w:right="2240" w:hanging="560"/>
        <w:spacing w:after="0" w:line="222" w:lineRule="auto"/>
        <w:tabs>
          <w:tab w:leader="none" w:pos="11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Letter Agreement, dated as of June 7, 2024, between Paramount Global and Nancy Phillips (incorporated by reference to </w:t>
      </w:r>
      <w:hyperlink r:id="rId221">
        <w:r>
          <w:rPr>
            <w:rFonts w:ascii="Times New Roman" w:cs="Times New Roman" w:eastAsia="Times New Roman" w:hAnsi="Times New Roman"/>
            <w:sz w:val="18"/>
            <w:szCs w:val="18"/>
            <w:u w:val="single" w:color="auto"/>
            <w:color w:val="0000FF"/>
          </w:rPr>
          <w:t>Exhibit 10(b</w:t>
        </w:r>
      </w:hyperlink>
      <w:r>
        <w:rPr>
          <w:rFonts w:ascii="Times New Roman" w:cs="Times New Roman" w:eastAsia="Times New Roman" w:hAnsi="Times New Roman"/>
          <w:sz w:val="18"/>
          <w:szCs w:val="18"/>
          <w:color w:val="auto"/>
        </w:rPr>
        <w:t>) to the Quarterly Report on Form 10-Q of Paramount Global for the quarter ended June 30, 2024) (File No. 001-09553).*</w:t>
      </w:r>
    </w:p>
    <w:p>
      <w:pPr>
        <w:spacing w:after="0" w:line="8" w:lineRule="exact"/>
        <w:rPr>
          <w:rFonts w:ascii="Times New Roman" w:cs="Times New Roman" w:eastAsia="Times New Roman" w:hAnsi="Times New Roman"/>
          <w:sz w:val="18"/>
          <w:szCs w:val="18"/>
          <w:color w:val="auto"/>
        </w:rPr>
      </w:pPr>
    </w:p>
    <w:p>
      <w:pPr>
        <w:ind w:left="1100" w:right="2080" w:hanging="560"/>
        <w:spacing w:after="0" w:line="234" w:lineRule="auto"/>
        <w:tabs>
          <w:tab w:leader="none" w:pos="11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Agreement, dated as of December 15, 2023, between Paramount Global and Brian Robbins (</w:t>
      </w:r>
      <w:r>
        <w:rPr>
          <w:rFonts w:ascii="Times New Roman" w:cs="Times New Roman" w:eastAsia="Times New Roman" w:hAnsi="Times New Roman"/>
          <w:sz w:val="18"/>
          <w:szCs w:val="18"/>
          <w:u w:val="single" w:color="auto"/>
          <w:color w:val="0000FF"/>
        </w:rPr>
        <w:t>filed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herewith</w:t>
      </w:r>
      <w:r>
        <w:rPr>
          <w:rFonts w:ascii="Times New Roman" w:cs="Times New Roman" w:eastAsia="Times New Roman" w:hAnsi="Times New Roman"/>
          <w:sz w:val="18"/>
          <w:szCs w:val="18"/>
          <w:color w:val="000000"/>
        </w:rPr>
        <w:t>).*</w:t>
      </w:r>
    </w:p>
    <w:p>
      <w:pPr>
        <w:spacing w:after="0" w:line="7" w:lineRule="exact"/>
        <w:rPr>
          <w:rFonts w:ascii="Times New Roman" w:cs="Times New Roman" w:eastAsia="Times New Roman" w:hAnsi="Times New Roman"/>
          <w:sz w:val="18"/>
          <w:szCs w:val="18"/>
          <w:color w:val="auto"/>
        </w:rPr>
      </w:pPr>
    </w:p>
    <w:p>
      <w:pPr>
        <w:ind w:left="1100" w:hanging="560"/>
        <w:spacing w:after="0"/>
        <w:tabs>
          <w:tab w:leader="none" w:pos="11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Agreement, dated as of June 7, 2024, between Paramount Global and Brian Robbins (</w:t>
      </w:r>
      <w:r>
        <w:rPr>
          <w:rFonts w:ascii="Times New Roman" w:cs="Times New Roman" w:eastAsia="Times New Roman" w:hAnsi="Times New Roman"/>
          <w:sz w:val="18"/>
          <w:szCs w:val="18"/>
          <w:u w:val="single" w:color="auto"/>
          <w:color w:val="0000FF"/>
        </w:rPr>
        <w:t>filed herewith</w:t>
      </w:r>
      <w:r>
        <w:rPr>
          <w:rFonts w:ascii="Times New Roman" w:cs="Times New Roman" w:eastAsia="Times New Roman" w:hAnsi="Times New Roman"/>
          <w:sz w:val="18"/>
          <w:szCs w:val="18"/>
          <w:color w:val="auto"/>
        </w:rPr>
        <w:t>).*</w:t>
      </w:r>
    </w:p>
    <w:p>
      <w:pPr>
        <w:spacing w:after="0" w:line="44" w:lineRule="exact"/>
        <w:rPr>
          <w:rFonts w:ascii="Times New Roman" w:cs="Times New Roman" w:eastAsia="Times New Roman" w:hAnsi="Times New Roman"/>
          <w:sz w:val="18"/>
          <w:szCs w:val="18"/>
          <w:color w:val="auto"/>
        </w:rPr>
      </w:pPr>
    </w:p>
    <w:p>
      <w:pPr>
        <w:ind w:left="1100" w:hanging="560"/>
        <w:spacing w:after="0"/>
        <w:tabs>
          <w:tab w:leader="none" w:pos="11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Agreement, dated as of October 8, 2024, between Paramount Global and Brian Robbins (</w:t>
      </w:r>
      <w:r>
        <w:rPr>
          <w:rFonts w:ascii="Times New Roman" w:cs="Times New Roman" w:eastAsia="Times New Roman" w:hAnsi="Times New Roman"/>
          <w:sz w:val="18"/>
          <w:szCs w:val="18"/>
          <w:u w:val="single" w:color="auto"/>
          <w:color w:val="0000FF"/>
        </w:rPr>
        <w:t>filed herewith</w:t>
      </w:r>
      <w:r>
        <w:rPr>
          <w:rFonts w:ascii="Times New Roman" w:cs="Times New Roman" w:eastAsia="Times New Roman" w:hAnsi="Times New Roman"/>
          <w:sz w:val="18"/>
          <w:szCs w:val="18"/>
          <w:color w:val="auto"/>
        </w:rPr>
        <w:t>).*</w:t>
      </w:r>
    </w:p>
    <w:p>
      <w:pPr>
        <w:spacing w:after="0" w:line="44" w:lineRule="exact"/>
        <w:rPr>
          <w:rFonts w:ascii="Times New Roman" w:cs="Times New Roman" w:eastAsia="Times New Roman" w:hAnsi="Times New Roman"/>
          <w:sz w:val="18"/>
          <w:szCs w:val="18"/>
          <w:color w:val="auto"/>
        </w:rPr>
      </w:pPr>
    </w:p>
    <w:p>
      <w:pPr>
        <w:ind w:left="1100" w:right="2080" w:hanging="560"/>
        <w:spacing w:after="0" w:line="222" w:lineRule="auto"/>
        <w:tabs>
          <w:tab w:leader="none" w:pos="11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Paramount Global Executive Change in Control Severance Protection Plan, effective as of November 16, 2023 (incorporated by reference to </w:t>
      </w:r>
      <w:hyperlink r:id="rId222">
        <w:r>
          <w:rPr>
            <w:rFonts w:ascii="Times New Roman" w:cs="Times New Roman" w:eastAsia="Times New Roman" w:hAnsi="Times New Roman"/>
            <w:sz w:val="18"/>
            <w:szCs w:val="18"/>
            <w:u w:val="single" w:color="auto"/>
            <w:color w:val="0000FF"/>
          </w:rPr>
          <w:t>Exhibit 10.1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of Paramount Global filed November 17, 2023) (File No. 001-09553).*</w:t>
      </w:r>
    </w:p>
    <w:p>
      <w:pPr>
        <w:spacing w:after="0" w:line="8" w:lineRule="exact"/>
        <w:rPr>
          <w:rFonts w:ascii="Times New Roman" w:cs="Times New Roman" w:eastAsia="Times New Roman" w:hAnsi="Times New Roman"/>
          <w:sz w:val="18"/>
          <w:szCs w:val="18"/>
          <w:color w:val="auto"/>
        </w:rPr>
      </w:pPr>
    </w:p>
    <w:p>
      <w:pPr>
        <w:ind w:left="1100" w:right="2280" w:hanging="560"/>
        <w:spacing w:after="0" w:line="222" w:lineRule="auto"/>
        <w:tabs>
          <w:tab w:leader="none" w:pos="11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Form of Participant Letter Agreement under Paramount Global Executive Change in Control Severance Protection Plan (incorporated by reference to </w:t>
      </w:r>
      <w:hyperlink r:id="rId223">
        <w:r>
          <w:rPr>
            <w:rFonts w:ascii="Times New Roman" w:cs="Times New Roman" w:eastAsia="Times New Roman" w:hAnsi="Times New Roman"/>
            <w:sz w:val="18"/>
            <w:szCs w:val="18"/>
            <w:u w:val="single" w:color="auto"/>
            <w:color w:val="0000FF"/>
          </w:rPr>
          <w:t>Exhibit 10.2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of Paramount Global filed November 17, 2023) (File No. 001-09553).*</w:t>
      </w:r>
    </w:p>
    <w:p>
      <w:pPr>
        <w:spacing w:after="0" w:line="8" w:lineRule="exact"/>
        <w:rPr>
          <w:rFonts w:ascii="Times New Roman" w:cs="Times New Roman" w:eastAsia="Times New Roman" w:hAnsi="Times New Roman"/>
          <w:sz w:val="18"/>
          <w:szCs w:val="18"/>
          <w:color w:val="auto"/>
        </w:rPr>
      </w:pPr>
    </w:p>
    <w:p>
      <w:pPr>
        <w:jc w:val="both"/>
        <w:ind w:left="1100" w:right="2080" w:hanging="560"/>
        <w:spacing w:after="0" w:line="252" w:lineRule="auto"/>
        <w:tabs>
          <w:tab w:leader="none" w:pos="1100" w:val="left"/>
        </w:tabs>
        <w:numPr>
          <w:ilvl w:val="0"/>
          <w:numId w:val="61"/>
        </w:numPr>
        <w:rPr>
          <w:rFonts w:ascii="Times New Roman" w:cs="Times New Roman" w:eastAsia="Times New Roman" w:hAnsi="Times New Roman"/>
          <w:sz w:val="17"/>
          <w:szCs w:val="17"/>
          <w:color w:val="0000FF"/>
        </w:rPr>
      </w:pPr>
      <w:hyperlink r:id="rId224">
        <w:r>
          <w:rPr>
            <w:rFonts w:ascii="Times New Roman" w:cs="Times New Roman" w:eastAsia="Times New Roman" w:hAnsi="Times New Roman"/>
            <w:sz w:val="17"/>
            <w:szCs w:val="17"/>
            <w:color w:val="auto"/>
          </w:rPr>
          <w:t xml:space="preserve">Form of Participant Letter Agreement under Transaction Award Program (incorporated by reference to </w:t>
        </w:r>
        <w:r>
          <w:rPr>
            <w:rFonts w:ascii="Times New Roman" w:cs="Times New Roman" w:eastAsia="Times New Roman" w:hAnsi="Times New Roman"/>
            <w:sz w:val="17"/>
            <w:szCs w:val="17"/>
            <w:u w:val="single" w:color="auto"/>
            <w:color w:val="0000FF"/>
          </w:rPr>
          <w:t>Exhibit</w:t>
        </w:r>
      </w:hyperlink>
      <w:r>
        <w:rPr>
          <w:rFonts w:ascii="Times New Roman" w:cs="Times New Roman" w:eastAsia="Times New Roman" w:hAnsi="Times New Roman"/>
          <w:sz w:val="17"/>
          <w:szCs w:val="17"/>
          <w:color w:val="auto"/>
        </w:rPr>
        <w:t xml:space="preserve"> </w:t>
      </w:r>
      <w:hyperlink r:id="rId224">
        <w:r>
          <w:rPr>
            <w:rFonts w:ascii="Times New Roman" w:cs="Times New Roman" w:eastAsia="Times New Roman" w:hAnsi="Times New Roman"/>
            <w:sz w:val="17"/>
            <w:szCs w:val="17"/>
            <w:u w:val="single" w:color="auto"/>
            <w:color w:val="0000FF"/>
          </w:rPr>
          <w:t>10.1</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to the Current Report on Form 8-K of Paramount Global filed November 21, 2024) (File No. 001-9553).*</w:t>
        </w:r>
      </w:hyperlink>
    </w:p>
    <w:p>
      <w:pPr>
        <w:ind w:left="1100" w:right="2320" w:hanging="560"/>
        <w:spacing w:after="0" w:line="234" w:lineRule="auto"/>
        <w:tabs>
          <w:tab w:leader="none" w:pos="11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Matching Gifts Program for Directors (incorporated by reference to </w:t>
      </w:r>
      <w:hyperlink r:id="rId225">
        <w:r>
          <w:rPr>
            <w:rFonts w:ascii="Times New Roman" w:cs="Times New Roman" w:eastAsia="Times New Roman" w:hAnsi="Times New Roman"/>
            <w:sz w:val="18"/>
            <w:szCs w:val="18"/>
            <w:u w:val="single" w:color="auto"/>
            <w:color w:val="0000FF"/>
          </w:rPr>
          <w:t>Exhibit 10(aa)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of CBS Corporation for the fiscal year ended December 31, 2018) (File No. 001-09553).*</w:t>
      </w:r>
    </w:p>
    <w:p>
      <w:pPr>
        <w:spacing w:after="0" w:line="7" w:lineRule="exact"/>
        <w:rPr>
          <w:rFonts w:ascii="Times New Roman" w:cs="Times New Roman" w:eastAsia="Times New Roman" w:hAnsi="Times New Roman"/>
          <w:sz w:val="18"/>
          <w:szCs w:val="18"/>
          <w:color w:val="auto"/>
        </w:rPr>
      </w:pPr>
    </w:p>
    <w:p>
      <w:pPr>
        <w:ind w:left="1100" w:right="2060" w:hanging="560"/>
        <w:spacing w:after="0" w:line="220" w:lineRule="auto"/>
        <w:tabs>
          <w:tab w:leader="none" w:pos="11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Amended and Restated $3.5 Billion Credit Agreement, dated as of January 23, 2020 (the “Credit Agreement”), among ViacomCBS Inc.; the Subsidiary Borrowers party thereto; the Lenders named therein; JPMorgan Chase Bank, N.A., as Administrative Agent; Citibank, N.A., Bank of America, N.A. and Wells Fargo Bank, National Association, as Syndication Agents; and Deutsche Bank Securities Inc., Goldman Sachs Bank USA, Mizuho Bank, Ltd. and Morgan Stanley MUFG Loan Partners, LLC, as Documentation Agents (incorporated by reference to </w:t>
      </w:r>
      <w:hyperlink r:id="rId226">
        <w:r>
          <w:rPr>
            <w:rFonts w:ascii="Times New Roman" w:cs="Times New Roman" w:eastAsia="Times New Roman" w:hAnsi="Times New Roman"/>
            <w:sz w:val="17"/>
            <w:szCs w:val="17"/>
            <w:u w:val="single" w:color="auto"/>
            <w:color w:val="0000FF"/>
          </w:rPr>
          <w:t>Exhibit 10.1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Current Report on Form 8-K of ViacomCBS Inc. filed January 23, 2020)</w:t>
      </w:r>
    </w:p>
    <w:p>
      <w:pPr>
        <w:spacing w:after="0" w:line="4" w:lineRule="exact"/>
        <w:rPr>
          <w:rFonts w:ascii="Times New Roman" w:cs="Times New Roman" w:eastAsia="Times New Roman" w:hAnsi="Times New Roman"/>
          <w:sz w:val="17"/>
          <w:szCs w:val="17"/>
          <w:color w:val="auto"/>
        </w:rPr>
      </w:pPr>
    </w:p>
    <w:p>
      <w:pPr>
        <w:ind w:left="1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(File No. 001-09553).</w:t>
      </w:r>
    </w:p>
    <w:p>
      <w:pPr>
        <w:spacing w:after="0" w:line="24" w:lineRule="exact"/>
        <w:rPr>
          <w:rFonts w:ascii="Times New Roman" w:cs="Times New Roman" w:eastAsia="Times New Roman" w:hAnsi="Times New Roman"/>
          <w:sz w:val="17"/>
          <w:szCs w:val="17"/>
          <w:color w:val="auto"/>
        </w:rPr>
      </w:pPr>
    </w:p>
    <w:p>
      <w:pPr>
        <w:ind w:left="1100" w:right="2080" w:hanging="560"/>
        <w:spacing w:after="0" w:line="222" w:lineRule="auto"/>
        <w:tabs>
          <w:tab w:leader="none" w:pos="11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 No. 1 to the Credit Agreement, dated as of December 9, 2021, by and among the parties listed therein (incorporated by reference to </w:t>
      </w:r>
      <w:hyperlink r:id="rId227">
        <w:r>
          <w:rPr>
            <w:rFonts w:ascii="Times New Roman" w:cs="Times New Roman" w:eastAsia="Times New Roman" w:hAnsi="Times New Roman"/>
            <w:sz w:val="18"/>
            <w:szCs w:val="18"/>
            <w:u w:val="single" w:color="auto"/>
            <w:color w:val="0000FF"/>
          </w:rPr>
          <w:t>Exhibit 10.1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of ViacomCBS Inc. filed December 14, 2021) (File No. 001-09553).</w:t>
      </w:r>
    </w:p>
    <w:p>
      <w:pPr>
        <w:spacing w:after="0" w:line="8" w:lineRule="exact"/>
        <w:rPr>
          <w:rFonts w:ascii="Times New Roman" w:cs="Times New Roman" w:eastAsia="Times New Roman" w:hAnsi="Times New Roman"/>
          <w:sz w:val="18"/>
          <w:szCs w:val="18"/>
          <w:color w:val="auto"/>
        </w:rPr>
      </w:pPr>
    </w:p>
    <w:p>
      <w:pPr>
        <w:ind w:left="1100" w:right="1960" w:hanging="560"/>
        <w:spacing w:after="0" w:line="201" w:lineRule="exact"/>
        <w:tabs>
          <w:tab w:leader="none" w:pos="11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 No. 2 to the Credit Agreement, dated as of February 14, 2022, by and among the parties listed therein (incorporated by reference to </w:t>
      </w:r>
      <w:hyperlink r:id="rId228">
        <w:r>
          <w:rPr>
            <w:rFonts w:ascii="Times New Roman" w:cs="Times New Roman" w:eastAsia="Times New Roman" w:hAnsi="Times New Roman"/>
            <w:sz w:val="18"/>
            <w:szCs w:val="18"/>
            <w:u w:val="single" w:color="auto"/>
            <w:color w:val="0000FF"/>
          </w:rPr>
          <w:t>Exhibit 10(hh)</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ViacomCBS Inc. for the fiscal year ended December 31, 2021)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w:t>
      </w:r>
    </w:p>
    <w:p>
      <w:pPr>
        <w:spacing w:after="0" w:line="1" w:lineRule="exact"/>
        <w:rPr>
          <w:rFonts w:ascii="Times New Roman" w:cs="Times New Roman" w:eastAsia="Times New Roman" w:hAnsi="Times New Roman"/>
          <w:sz w:val="18"/>
          <w:szCs w:val="18"/>
          <w:color w:val="auto"/>
        </w:rPr>
      </w:pPr>
    </w:p>
    <w:p>
      <w:pPr>
        <w:ind w:left="1100" w:right="2080" w:hanging="560"/>
        <w:spacing w:after="0" w:line="215" w:lineRule="auto"/>
        <w:tabs>
          <w:tab w:leader="none" w:pos="11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 No. 3 to the Credit Agreement, dated as of March 3, 2023, by and among the parties listed therein (incorporated by reference to </w:t>
      </w:r>
      <w:hyperlink r:id="rId229">
        <w:r>
          <w:rPr>
            <w:rFonts w:ascii="Times New Roman" w:cs="Times New Roman" w:eastAsia="Times New Roman" w:hAnsi="Times New Roman"/>
            <w:sz w:val="18"/>
            <w:szCs w:val="18"/>
            <w:u w:val="single" w:color="auto"/>
            <w:color w:val="0000FF"/>
          </w:rPr>
          <w:t>Exhibit 10.1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of Paramount Global filed March 9, 2023) (File No. 001-09553).</w:t>
      </w:r>
    </w:p>
    <w:p>
      <w:pPr>
        <w:spacing w:after="0" w:line="7" w:lineRule="exact"/>
        <w:rPr>
          <w:rFonts w:ascii="Times New Roman" w:cs="Times New Roman" w:eastAsia="Times New Roman" w:hAnsi="Times New Roman"/>
          <w:sz w:val="18"/>
          <w:szCs w:val="18"/>
          <w:color w:val="auto"/>
        </w:rPr>
      </w:pPr>
    </w:p>
    <w:p>
      <w:pPr>
        <w:ind w:left="1100" w:right="2040" w:hanging="560"/>
        <w:spacing w:after="0" w:line="216" w:lineRule="auto"/>
        <w:tabs>
          <w:tab w:leader="none" w:pos="11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 No. 4 to the Credit Agreement, dated as of August 1, 2024, by and among the parties listed therein (incorporated by reference to </w:t>
      </w:r>
      <w:hyperlink r:id="rId230">
        <w:r>
          <w:rPr>
            <w:rFonts w:ascii="Times New Roman" w:cs="Times New Roman" w:eastAsia="Times New Roman" w:hAnsi="Times New Roman"/>
            <w:sz w:val="18"/>
            <w:szCs w:val="18"/>
            <w:u w:val="single" w:color="auto"/>
            <w:color w:val="0000FF"/>
          </w:rPr>
          <w:t>Exhibit 10.1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of Paramount Global filed August 7, 2024) (File No. 001-09553).</w:t>
      </w:r>
      <w:r>
        <w:rPr>
          <w:rFonts w:ascii="Times New Roman" w:cs="Times New Roman" w:eastAsia="Times New Roman" w:hAnsi="Times New Roman"/>
          <w:sz w:val="22"/>
          <w:szCs w:val="22"/>
          <w:color w:val="auto"/>
          <w:vertAlign w:val="superscript"/>
        </w:rPr>
        <w:t>±</w:t>
      </w:r>
    </w:p>
    <w:p>
      <w:pPr>
        <w:spacing w:after="0" w:line="2" w:lineRule="exact"/>
        <w:rPr>
          <w:rFonts w:ascii="Times New Roman" w:cs="Times New Roman" w:eastAsia="Times New Roman" w:hAnsi="Times New Roman"/>
          <w:sz w:val="18"/>
          <w:szCs w:val="18"/>
          <w:color w:val="auto"/>
        </w:rPr>
      </w:pPr>
    </w:p>
    <w:p>
      <w:pPr>
        <w:ind w:left="1100" w:hanging="560"/>
        <w:spacing w:after="0" w:line="199" w:lineRule="auto"/>
        <w:tabs>
          <w:tab w:leader="none" w:pos="11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and Release Agreement, effective as of September 9, 2018 (incorporated by reference to</w:t>
      </w:r>
    </w:p>
    <w:p>
      <w:pPr>
        <w:ind w:left="1100" w:right="2040"/>
        <w:spacing w:after="0" w:line="222" w:lineRule="auto"/>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u w:val="single" w:color="auto"/>
            <w:color w:val="0000FF"/>
          </w:rPr>
          <w:t>Exhibit 10(a)</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Current Report on Form 8-K of CBS Corporation filed September 10, 2018) (File No. 001-09553).</w:t>
      </w:r>
    </w:p>
    <w:p>
      <w:pPr>
        <w:spacing w:after="0" w:line="7" w:lineRule="exact"/>
        <w:rPr>
          <w:rFonts w:ascii="Times New Roman" w:cs="Times New Roman" w:eastAsia="Times New Roman" w:hAnsi="Times New Roman"/>
          <w:sz w:val="18"/>
          <w:szCs w:val="18"/>
          <w:color w:val="0000FF"/>
        </w:rPr>
      </w:pPr>
    </w:p>
    <w:p>
      <w:pPr>
        <w:ind w:left="1100" w:right="2220" w:hanging="560"/>
        <w:spacing w:after="0" w:line="222" w:lineRule="auto"/>
        <w:tabs>
          <w:tab w:leader="none" w:pos="11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 No. 1 to the Settlement and Release Agreement, dated as of August 13, 2019, by and among the parties listed therein (incorporated by reference to </w:t>
      </w:r>
      <w:hyperlink r:id="rId232">
        <w:r>
          <w:rPr>
            <w:rFonts w:ascii="Times New Roman" w:cs="Times New Roman" w:eastAsia="Times New Roman" w:hAnsi="Times New Roman"/>
            <w:sz w:val="18"/>
            <w:szCs w:val="18"/>
            <w:u w:val="single" w:color="auto"/>
            <w:color w:val="0000FF"/>
          </w:rPr>
          <w:t>Exhibit 10.3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of CBS Corporation filed August 19, 2019) (File No. 001-09553).</w:t>
      </w:r>
    </w:p>
    <w:p>
      <w:pPr>
        <w:spacing w:after="0" w:line="8" w:lineRule="exact"/>
        <w:rPr>
          <w:rFonts w:ascii="Times New Roman" w:cs="Times New Roman" w:eastAsia="Times New Roman" w:hAnsi="Times New Roman"/>
          <w:sz w:val="18"/>
          <w:szCs w:val="18"/>
          <w:color w:val="auto"/>
        </w:rPr>
      </w:pPr>
    </w:p>
    <w:p>
      <w:pPr>
        <w:ind w:left="1100" w:right="2400" w:hanging="560"/>
        <w:spacing w:after="0" w:line="222" w:lineRule="auto"/>
        <w:tabs>
          <w:tab w:leader="none" w:pos="11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Support Agreement, dated as of August 13, 2019, by and among the parties listed therein (incorporated by reference to </w:t>
      </w:r>
      <w:hyperlink r:id="rId233">
        <w:r>
          <w:rPr>
            <w:rFonts w:ascii="Times New Roman" w:cs="Times New Roman" w:eastAsia="Times New Roman" w:hAnsi="Times New Roman"/>
            <w:sz w:val="18"/>
            <w:szCs w:val="18"/>
            <w:u w:val="single" w:color="auto"/>
            <w:color w:val="0000FF"/>
          </w:rPr>
          <w:t>Exhibit 10.1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of CBS Corporation filed August 19, 2019) (File No. 001-09553).</w:t>
      </w:r>
    </w:p>
    <w:p>
      <w:pPr>
        <w:spacing w:after="0" w:line="8" w:lineRule="exact"/>
        <w:rPr>
          <w:rFonts w:ascii="Times New Roman" w:cs="Times New Roman" w:eastAsia="Times New Roman" w:hAnsi="Times New Roman"/>
          <w:sz w:val="18"/>
          <w:szCs w:val="18"/>
          <w:color w:val="auto"/>
        </w:rPr>
      </w:pPr>
    </w:p>
    <w:p>
      <w:pPr>
        <w:ind w:left="1100" w:right="2120" w:hanging="560"/>
        <w:spacing w:after="0" w:line="222" w:lineRule="auto"/>
        <w:tabs>
          <w:tab w:leader="none" w:pos="11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Governance Agreement, dated as of August 13, 2019, by and among the parties listed therein (incorporated by reference to </w:t>
      </w:r>
      <w:hyperlink r:id="rId234">
        <w:r>
          <w:rPr>
            <w:rFonts w:ascii="Times New Roman" w:cs="Times New Roman" w:eastAsia="Times New Roman" w:hAnsi="Times New Roman"/>
            <w:sz w:val="18"/>
            <w:szCs w:val="18"/>
            <w:u w:val="single" w:color="auto"/>
            <w:color w:val="0000FF"/>
          </w:rPr>
          <w:t>Exhibit 10.2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of CBS Corporation filed August 19, 2019) (File No. 001-09553).</w:t>
      </w:r>
    </w:p>
    <w:p>
      <w:pPr>
        <w:spacing w:after="0" w:line="12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23" w:lineRule="exact"/>
        <w:rPr>
          <w:rFonts w:ascii="Times New Roman" w:cs="Times New Roman" w:eastAsia="Times New Roman" w:hAnsi="Times New Roman"/>
          <w:sz w:val="18"/>
          <w:szCs w:val="18"/>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Management contract or compensatory plan or arrangement.</w:t>
      </w:r>
    </w:p>
    <w:p>
      <w:pPr>
        <w:spacing w:after="0" w:line="7" w:lineRule="exact"/>
        <w:rPr>
          <w:rFonts w:ascii="Times New Roman" w:cs="Times New Roman" w:eastAsia="Times New Roman" w:hAnsi="Times New Roman"/>
          <w:sz w:val="18"/>
          <w:szCs w:val="18"/>
          <w:color w:val="auto"/>
        </w:rPr>
      </w:pPr>
    </w:p>
    <w:p>
      <w:pPr>
        <w:ind w:left="160" w:right="20" w:hanging="154"/>
        <w:spacing w:after="0" w:line="215" w:lineRule="auto"/>
        <w:tabs>
          <w:tab w:leader="none" w:pos="94" w:val="left"/>
        </w:tabs>
        <w:numPr>
          <w:ilvl w:val="0"/>
          <w:numId w:val="6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schedules have been omitted pursuant to Item 601(a)(5) of Regulation S-K. The registrant undertakes to furnish supplemental copies of any of the omitted schedules upon request by the SEC.</w:t>
      </w:r>
    </w:p>
    <w:p>
      <w:pPr>
        <w:spacing w:after="0" w:line="2" w:lineRule="exact"/>
        <w:rPr>
          <w:rFonts w:ascii="Times New Roman" w:cs="Times New Roman" w:eastAsia="Times New Roman" w:hAnsi="Times New Roman"/>
          <w:sz w:val="18"/>
          <w:szCs w:val="18"/>
          <w:color w:val="auto"/>
        </w:rPr>
      </w:pPr>
    </w:p>
    <w:p>
      <w:pPr>
        <w:ind w:left="160" w:hanging="154"/>
        <w:spacing w:after="0" w:line="221" w:lineRule="auto"/>
        <w:tabs>
          <w:tab w:leader="none" w:pos="108" w:val="left"/>
        </w:tabs>
        <w:numPr>
          <w:ilvl w:val="0"/>
          <w:numId w:val="6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portions of this exhibit have been omitted because such portions are both not material and the type the registrant customarily and actually treats as private or confidential.</w:t>
      </w:r>
    </w:p>
    <w:p>
      <w:pPr>
        <w:spacing w:after="0" w:line="215" w:lineRule="exact"/>
        <w:rPr>
          <w:rFonts w:ascii="Times New Roman" w:cs="Times New Roman" w:eastAsia="Times New Roman" w:hAnsi="Times New Roman"/>
          <w:sz w:val="18"/>
          <w:szCs w:val="18"/>
          <w:color w:val="auto"/>
        </w:rPr>
      </w:pPr>
    </w:p>
    <w:p>
      <w:pPr>
        <w:jc w:val="center"/>
        <w:ind w:right="-239"/>
        <w:spacing w:after="0"/>
        <w:rPr>
          <w:sz w:val="20"/>
          <w:szCs w:val="20"/>
          <w:color w:val="auto"/>
        </w:rPr>
      </w:pPr>
      <w:r>
        <w:rPr>
          <w:rFonts w:ascii="Times New Roman" w:cs="Times New Roman" w:eastAsia="Times New Roman" w:hAnsi="Times New Roman"/>
          <w:sz w:val="19"/>
          <w:szCs w:val="19"/>
          <w:color w:val="auto"/>
        </w:rPr>
        <w:t>E-4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00"/>
          </w:cols>
          <w:pgMar w:left="320" w:top="1440" w:right="579" w:bottom="1440" w:gutter="0" w:footer="0" w:header="0"/>
        </w:sectPr>
      </w:pPr>
    </w:p>
    <w:bookmarkStart w:id="152" w:name="page153"/>
    <w:bookmarkEnd w:id="152"/>
    <w:p>
      <w:pPr>
        <w:spacing w:after="0" w:line="93" w:lineRule="exact"/>
        <w:rPr>
          <w:sz w:val="20"/>
          <w:szCs w:val="20"/>
          <w:color w:val="auto"/>
        </w:rPr>
      </w:pPr>
    </w:p>
    <w:p>
      <w:pPr>
        <w:ind w:left="200"/>
        <w:spacing w:after="0"/>
        <w:tabs>
          <w:tab w:leader="none" w:pos="430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575500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6">
                      <a:extLst>
                        <a:ext uri="{28A0092B-C50C-407E-A947-70E740481C1C}"/>
                      </a:extLst>
                    </a:blip>
                    <a:srcRect/>
                    <a:stretch>
                      <a:fillRect/>
                    </a:stretch>
                  </pic:blipFill>
                  <pic:spPr bwMode="auto">
                    <a:xfrm>
                      <a:off x="0" y="0"/>
                      <a:ext cx="5755005" cy="8255"/>
                    </a:xfrm>
                    <a:prstGeom prst="rect">
                      <a:avLst/>
                    </a:prstGeom>
                    <a:noFill/>
                  </pic:spPr>
                </pic:pic>
              </a:graphicData>
            </a:graphic>
          </wp:anchor>
        </w:drawing>
      </w:r>
    </w:p>
    <w:p>
      <w:pPr>
        <w:spacing w:after="0" w:line="37" w:lineRule="exact"/>
        <w:rPr>
          <w:sz w:val="20"/>
          <w:szCs w:val="20"/>
          <w:color w:val="auto"/>
        </w:rPr>
      </w:pPr>
    </w:p>
    <w:p>
      <w:pPr>
        <w:ind w:left="1100" w:right="2160" w:hanging="546"/>
        <w:spacing w:after="0" w:line="222" w:lineRule="auto"/>
        <w:tabs>
          <w:tab w:leader="none" w:pos="11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Insurance Procurement and Indemnification Agreement, dated as of July 25, 2023, by and among the parties listed therein (incorporated by reference to </w:t>
      </w:r>
      <w:hyperlink r:id="rId237">
        <w:r>
          <w:rPr>
            <w:rFonts w:ascii="Times New Roman" w:cs="Times New Roman" w:eastAsia="Times New Roman" w:hAnsi="Times New Roman"/>
            <w:sz w:val="18"/>
            <w:szCs w:val="18"/>
            <w:u w:val="single" w:color="auto"/>
            <w:color w:val="0000FF"/>
          </w:rPr>
          <w:t>Exhibit 10(a)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Paramount Global for the quarter ended September 30, 2023) (File No. 001-09553).*</w:t>
      </w:r>
    </w:p>
    <w:p>
      <w:pPr>
        <w:spacing w:after="0" w:line="6" w:lineRule="exact"/>
        <w:rPr>
          <w:rFonts w:ascii="Times New Roman" w:cs="Times New Roman" w:eastAsia="Times New Roman" w:hAnsi="Times New Roman"/>
          <w:sz w:val="18"/>
          <w:szCs w:val="18"/>
          <w:color w:val="auto"/>
        </w:rPr>
      </w:pPr>
    </w:p>
    <w:p>
      <w:pPr>
        <w:ind w:left="1100" w:hanging="1076"/>
        <w:spacing w:after="0"/>
        <w:tabs>
          <w:tab w:leader="none" w:pos="11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Paramount Global Insider Trading Policy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filed herewith</w:t>
      </w:r>
      <w:r>
        <w:rPr>
          <w:rFonts w:ascii="Times New Roman" w:cs="Times New Roman" w:eastAsia="Times New Roman" w:hAnsi="Times New Roman"/>
          <w:sz w:val="18"/>
          <w:szCs w:val="18"/>
          <w:color w:val="auto"/>
        </w:rPr>
        <w:t>).</w:t>
      </w:r>
    </w:p>
    <w:p>
      <w:pPr>
        <w:spacing w:after="0" w:line="45" w:lineRule="exact"/>
        <w:rPr>
          <w:sz w:val="20"/>
          <w:szCs w:val="20"/>
          <w:color w:val="auto"/>
        </w:rPr>
      </w:pPr>
    </w:p>
    <w:p>
      <w:pPr>
        <w:ind w:left="1100" w:hanging="1076"/>
        <w:spacing w:after="0"/>
        <w:tabs>
          <w:tab w:leader="none" w:pos="11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Subsidiaries of Paramount Global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filed herewith</w:t>
      </w:r>
      <w:r>
        <w:rPr>
          <w:rFonts w:ascii="Times New Roman" w:cs="Times New Roman" w:eastAsia="Times New Roman" w:hAnsi="Times New Roman"/>
          <w:sz w:val="18"/>
          <w:szCs w:val="18"/>
          <w:color w:val="auto"/>
        </w:rPr>
        <w:t>).</w:t>
      </w:r>
    </w:p>
    <w:p>
      <w:pPr>
        <w:spacing w:after="0" w:line="45" w:lineRule="exact"/>
        <w:rPr>
          <w:sz w:val="20"/>
          <w:szCs w:val="20"/>
          <w:color w:val="auto"/>
        </w:rPr>
      </w:pPr>
    </w:p>
    <w:p>
      <w:pPr>
        <w:ind w:left="1100" w:hanging="1076"/>
        <w:spacing w:after="0"/>
        <w:tabs>
          <w:tab w:leader="none" w:pos="11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Consents of Experts and Counsel</w:t>
      </w:r>
    </w:p>
    <w:p>
      <w:pPr>
        <w:spacing w:after="0" w:line="46" w:lineRule="exact"/>
        <w:rPr>
          <w:rFonts w:ascii="Times New Roman" w:cs="Times New Roman" w:eastAsia="Times New Roman" w:hAnsi="Times New Roman"/>
          <w:sz w:val="18"/>
          <w:szCs w:val="18"/>
          <w:color w:val="auto"/>
        </w:rPr>
      </w:pPr>
    </w:p>
    <w:p>
      <w:pPr>
        <w:ind w:left="1100" w:hanging="546"/>
        <w:spacing w:after="0"/>
        <w:tabs>
          <w:tab w:leader="none" w:pos="11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of PricewaterhouseCoopers LLP (</w:t>
      </w:r>
      <w:r>
        <w:rPr>
          <w:rFonts w:ascii="Times New Roman" w:cs="Times New Roman" w:eastAsia="Times New Roman" w:hAnsi="Times New Roman"/>
          <w:sz w:val="18"/>
          <w:szCs w:val="18"/>
          <w:u w:val="single" w:color="auto"/>
          <w:color w:val="0000FF"/>
        </w:rPr>
        <w:t>filed herewith</w:t>
      </w:r>
      <w:r>
        <w:rPr>
          <w:rFonts w:ascii="Times New Roman" w:cs="Times New Roman" w:eastAsia="Times New Roman" w:hAnsi="Times New Roman"/>
          <w:sz w:val="18"/>
          <w:szCs w:val="18"/>
          <w:color w:val="auto"/>
        </w:rPr>
        <w:t>).</w:t>
      </w:r>
    </w:p>
    <w:p>
      <w:pPr>
        <w:spacing w:after="0" w:line="42" w:lineRule="exact"/>
        <w:rPr>
          <w:rFonts w:ascii="Times New Roman" w:cs="Times New Roman" w:eastAsia="Times New Roman" w:hAnsi="Times New Roman"/>
          <w:sz w:val="18"/>
          <w:szCs w:val="18"/>
          <w:color w:val="auto"/>
        </w:rPr>
      </w:pPr>
    </w:p>
    <w:p>
      <w:pPr>
        <w:ind w:left="1100" w:hanging="1076"/>
        <w:spacing w:after="0"/>
        <w:tabs>
          <w:tab w:leader="none" w:pos="11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Powers of Attorney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filed herewith</w:t>
      </w:r>
      <w:r>
        <w:rPr>
          <w:rFonts w:ascii="Times New Roman" w:cs="Times New Roman" w:eastAsia="Times New Roman" w:hAnsi="Times New Roman"/>
          <w:sz w:val="18"/>
          <w:szCs w:val="18"/>
          <w:color w:val="auto"/>
        </w:rPr>
        <w:t>).</w:t>
      </w:r>
    </w:p>
    <w:p>
      <w:pPr>
        <w:spacing w:after="0" w:line="26" w:lineRule="exact"/>
        <w:rPr>
          <w:sz w:val="20"/>
          <w:szCs w:val="20"/>
          <w:color w:val="auto"/>
        </w:rPr>
      </w:pPr>
    </w:p>
    <w:p>
      <w:pPr>
        <w:ind w:left="1100" w:hanging="1076"/>
        <w:spacing w:after="0" w:line="207" w:lineRule="exact"/>
        <w:tabs>
          <w:tab w:leader="none" w:pos="11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Rule 13a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14(a)/15d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14(a) Certifications</w:t>
      </w:r>
    </w:p>
    <w:p>
      <w:pPr>
        <w:spacing w:after="0" w:line="70" w:lineRule="exact"/>
        <w:rPr>
          <w:rFonts w:ascii="Times New Roman" w:cs="Times New Roman" w:eastAsia="Times New Roman" w:hAnsi="Times New Roman"/>
          <w:sz w:val="18"/>
          <w:szCs w:val="18"/>
          <w:color w:val="auto"/>
        </w:rPr>
      </w:pPr>
    </w:p>
    <w:p>
      <w:pPr>
        <w:ind w:left="1100" w:right="2180" w:hanging="546"/>
        <w:spacing w:after="0" w:line="212" w:lineRule="exact"/>
        <w:tabs>
          <w:tab w:leader="none" w:pos="11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the Chief Executive Officer of Paramount Global pursuant to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14(a) or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14(a), as adopted pursuant to Section 302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w:t>
      </w:r>
      <w:r>
        <w:rPr>
          <w:rFonts w:ascii="Times New Roman" w:cs="Times New Roman" w:eastAsia="Times New Roman" w:hAnsi="Times New Roman"/>
          <w:sz w:val="18"/>
          <w:szCs w:val="18"/>
          <w:u w:val="single" w:color="auto"/>
          <w:color w:val="0000FF"/>
        </w:rPr>
        <w:t>filed herewith</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1100" w:right="2180" w:hanging="546"/>
        <w:spacing w:after="0" w:line="206" w:lineRule="exact"/>
        <w:tabs>
          <w:tab w:leader="none" w:pos="11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the Chief Financial Officer of Paramount Global. pursuant to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14(a) or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14(a), as adopted pursuant to Section 302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w:t>
      </w:r>
      <w:r>
        <w:rPr>
          <w:rFonts w:ascii="Times New Roman" w:cs="Times New Roman" w:eastAsia="Times New Roman" w:hAnsi="Times New Roman"/>
          <w:sz w:val="18"/>
          <w:szCs w:val="18"/>
          <w:u w:val="single" w:color="auto"/>
          <w:color w:val="0000FF"/>
        </w:rPr>
        <w:t>filed herewith</w:t>
      </w:r>
      <w:r>
        <w:rPr>
          <w:rFonts w:ascii="Times New Roman" w:cs="Times New Roman" w:eastAsia="Times New Roman" w:hAnsi="Times New Roman"/>
          <w:sz w:val="18"/>
          <w:szCs w:val="18"/>
          <w:color w:val="auto"/>
        </w:rPr>
        <w:t>).</w:t>
      </w:r>
    </w:p>
    <w:p>
      <w:pPr>
        <w:ind w:left="1100" w:hanging="1076"/>
        <w:spacing w:after="0"/>
        <w:tabs>
          <w:tab w:leader="none" w:pos="11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1350 Certifications</w:t>
      </w:r>
    </w:p>
    <w:p>
      <w:pPr>
        <w:spacing w:after="0" w:line="25" w:lineRule="exact"/>
        <w:rPr>
          <w:rFonts w:ascii="Times New Roman" w:cs="Times New Roman" w:eastAsia="Times New Roman" w:hAnsi="Times New Roman"/>
          <w:sz w:val="18"/>
          <w:szCs w:val="18"/>
          <w:color w:val="auto"/>
        </w:rPr>
      </w:pPr>
    </w:p>
    <w:p>
      <w:pPr>
        <w:ind w:left="1100" w:right="2000" w:hanging="546"/>
        <w:spacing w:after="0" w:line="215" w:lineRule="exact"/>
        <w:tabs>
          <w:tab w:leader="none" w:pos="11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the Chief Executive Officer of Paramount Global furnished pursuant to 18 U.S.C. Section 1350, as adopted pursuant to Section 906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w:t>
      </w:r>
      <w:r>
        <w:rPr>
          <w:rFonts w:ascii="Times New Roman" w:cs="Times New Roman" w:eastAsia="Times New Roman" w:hAnsi="Times New Roman"/>
          <w:sz w:val="18"/>
          <w:szCs w:val="18"/>
          <w:u w:val="single" w:color="auto"/>
          <w:color w:val="0000FF"/>
        </w:rPr>
        <w:t>furnished herewith</w:t>
      </w:r>
      <w:r>
        <w:rPr>
          <w:rFonts w:ascii="Times New Roman" w:cs="Times New Roman" w:eastAsia="Times New Roman" w:hAnsi="Times New Roman"/>
          <w:sz w:val="18"/>
          <w:szCs w:val="18"/>
          <w:color w:val="auto"/>
        </w:rPr>
        <w:t>).</w:t>
      </w:r>
    </w:p>
    <w:p>
      <w:pPr>
        <w:ind w:left="1100" w:right="2040" w:hanging="546"/>
        <w:spacing w:after="0" w:line="206" w:lineRule="exact"/>
        <w:tabs>
          <w:tab w:leader="none" w:pos="11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the Chief Financial Officer of Paramount Global furnished pursuant to 18 U.S.C. Section 1350, as adopted pursuant to Section 906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w:t>
      </w:r>
      <w:r>
        <w:rPr>
          <w:rFonts w:ascii="Times New Roman" w:cs="Times New Roman" w:eastAsia="Times New Roman" w:hAnsi="Times New Roman"/>
          <w:sz w:val="18"/>
          <w:szCs w:val="18"/>
          <w:u w:val="single" w:color="auto"/>
          <w:color w:val="0000FF"/>
        </w:rPr>
        <w:t>furnished herewith</w:t>
      </w:r>
      <w:r>
        <w:rPr>
          <w:rFonts w:ascii="Times New Roman" w:cs="Times New Roman" w:eastAsia="Times New Roman" w:hAnsi="Times New Roman"/>
          <w:sz w:val="18"/>
          <w:szCs w:val="18"/>
          <w:color w:val="auto"/>
        </w:rPr>
        <w:t>).</w:t>
      </w:r>
    </w:p>
    <w:p>
      <w:pPr>
        <w:ind w:left="1100" w:right="2120" w:hanging="1076"/>
        <w:spacing w:after="0" w:line="223" w:lineRule="auto"/>
        <w:tabs>
          <w:tab w:leader="none" w:pos="110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Paramount Global Clawback Policy </w:t>
      </w:r>
      <w:r>
        <w:rPr>
          <w:rFonts w:ascii="Times New Roman" w:cs="Times New Roman" w:eastAsia="Times New Roman" w:hAnsi="Times New Roman"/>
          <w:sz w:val="18"/>
          <w:szCs w:val="18"/>
          <w:color w:val="auto"/>
        </w:rPr>
        <w:t>(incorporated by reference to</w:t>
      </w:r>
      <w:r>
        <w:rPr>
          <w:rFonts w:ascii="Times New Roman" w:cs="Times New Roman" w:eastAsia="Times New Roman" w:hAnsi="Times New Roman"/>
          <w:sz w:val="18"/>
          <w:szCs w:val="18"/>
          <w:b w:val="1"/>
          <w:bCs w:val="1"/>
          <w:color w:val="auto"/>
        </w:rPr>
        <w:t xml:space="preserve"> </w:t>
      </w:r>
      <w:hyperlink r:id="rId238">
        <w:r>
          <w:rPr>
            <w:rFonts w:ascii="Times New Roman" w:cs="Times New Roman" w:eastAsia="Times New Roman" w:hAnsi="Times New Roman"/>
            <w:sz w:val="18"/>
            <w:szCs w:val="18"/>
            <w:u w:val="single" w:color="auto"/>
            <w:color w:val="0000FF"/>
          </w:rPr>
          <w:t>Exhibit 97</w:t>
        </w:r>
        <w:r>
          <w:rPr>
            <w:rFonts w:ascii="Times New Roman" w:cs="Times New Roman" w:eastAsia="Times New Roman" w:hAnsi="Times New Roman"/>
            <w:sz w:val="18"/>
            <w:szCs w:val="18"/>
            <w:b w:val="1"/>
            <w:bCs w:val="1"/>
            <w:u w:val="single" w:color="auto"/>
            <w:color w:val="auto"/>
          </w:rPr>
          <w:t xml:space="preserve"> </w:t>
        </w:r>
      </w:hyperlink>
      <w:r>
        <w:rPr>
          <w:rFonts w:ascii="Times New Roman" w:cs="Times New Roman" w:eastAsia="Times New Roman" w:hAnsi="Times New Roman"/>
          <w:sz w:val="18"/>
          <w:szCs w:val="18"/>
          <w:color w:val="auto"/>
        </w:rPr>
        <w:t>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Annual Report on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10-K of Paramount Global for the fiscal year ended December 31, 2023) (File No. 001-09553).*</w:t>
      </w:r>
    </w:p>
    <w:p>
      <w:pPr>
        <w:spacing w:after="0" w:line="5" w:lineRule="exact"/>
        <w:rPr>
          <w:sz w:val="20"/>
          <w:szCs w:val="20"/>
          <w:color w:val="auto"/>
        </w:rPr>
      </w:pPr>
    </w:p>
    <w:p>
      <w:pPr>
        <w:ind w:left="1100" w:hanging="1076"/>
        <w:spacing w:after="0"/>
        <w:tabs>
          <w:tab w:leader="none" w:pos="11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Interactive Data File</w:t>
      </w:r>
    </w:p>
    <w:p>
      <w:pPr>
        <w:spacing w:after="0" w:line="46" w:lineRule="exact"/>
        <w:rPr>
          <w:rFonts w:ascii="Times New Roman" w:cs="Times New Roman" w:eastAsia="Times New Roman" w:hAnsi="Times New Roman"/>
          <w:sz w:val="18"/>
          <w:szCs w:val="18"/>
          <w:color w:val="auto"/>
        </w:rPr>
      </w:pPr>
    </w:p>
    <w:p>
      <w:pPr>
        <w:ind w:left="1100" w:right="2520" w:hanging="3"/>
        <w:spacing w:after="0" w:line="211" w:lineRule="auto"/>
        <w:tabs>
          <w:tab w:leader="none" w:pos="1453"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 XBRL Instance Document - the instance document does not appear in the Interactive Data File because its XBRL tags are embedded within the Inline XBRL document.</w:t>
      </w:r>
    </w:p>
    <w:p>
      <w:pPr>
        <w:ind w:left="1460" w:hanging="363"/>
        <w:spacing w:after="0" w:line="215" w:lineRule="auto"/>
        <w:tabs>
          <w:tab w:leader="none" w:pos="14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 XBRL Taxonomy Extension Schema.</w:t>
      </w:r>
    </w:p>
    <w:p>
      <w:pPr>
        <w:ind w:left="1460" w:hanging="363"/>
        <w:spacing w:after="0" w:line="199" w:lineRule="auto"/>
        <w:tabs>
          <w:tab w:leader="none" w:pos="14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 XBRL Taxonomy Extension Calculation Linkbase.</w:t>
      </w:r>
    </w:p>
    <w:p>
      <w:pPr>
        <w:ind w:left="1460" w:hanging="363"/>
        <w:spacing w:after="0" w:line="199" w:lineRule="auto"/>
        <w:tabs>
          <w:tab w:leader="none" w:pos="14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 XBRL Taxonomy Extension Definition Linkbase.</w:t>
      </w:r>
    </w:p>
    <w:p>
      <w:pPr>
        <w:ind w:left="1460" w:hanging="363"/>
        <w:spacing w:after="0" w:line="215" w:lineRule="auto"/>
        <w:tabs>
          <w:tab w:leader="none" w:pos="14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 XBRL Taxonomy Extension Label Linkbase.</w:t>
      </w:r>
    </w:p>
    <w:p>
      <w:pPr>
        <w:ind w:left="1460" w:hanging="363"/>
        <w:spacing w:after="0"/>
        <w:tabs>
          <w:tab w:leader="none" w:pos="14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 XBRL Taxonomy Extension Presentation Linkbase.</w:t>
      </w:r>
    </w:p>
    <w:p>
      <w:pPr>
        <w:spacing w:after="0" w:line="23" w:lineRule="exact"/>
        <w:rPr>
          <w:sz w:val="20"/>
          <w:szCs w:val="20"/>
          <w:color w:val="auto"/>
        </w:rPr>
      </w:pPr>
    </w:p>
    <w:p>
      <w:pPr>
        <w:ind w:left="1100" w:hanging="1076"/>
        <w:spacing w:after="0"/>
        <w:tabs>
          <w:tab w:leader="none" w:pos="11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2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Management contract or compensatory plan or arrangement.</w:t>
      </w:r>
    </w:p>
    <w:p>
      <w:pPr>
        <w:spacing w:after="0" w:line="7" w:lineRule="exact"/>
        <w:rPr>
          <w:sz w:val="20"/>
          <w:szCs w:val="20"/>
          <w:color w:val="auto"/>
        </w:rPr>
      </w:pPr>
    </w:p>
    <w:p>
      <w:pPr>
        <w:ind w:left="160" w:right="20" w:hanging="154"/>
        <w:spacing w:after="0" w:line="215" w:lineRule="auto"/>
        <w:tabs>
          <w:tab w:leader="none" w:pos="94" w:val="left"/>
        </w:tabs>
        <w:numPr>
          <w:ilvl w:val="0"/>
          <w:numId w:val="7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schedules have been omitted pursuant to Item 601(a)(5) of Regulation S-K. The registrant undertakes to furnish supplemental copies of any of the omitted schedules upon request by the SEC.</w:t>
      </w:r>
    </w:p>
    <w:p>
      <w:pPr>
        <w:spacing w:after="0" w:line="2" w:lineRule="exact"/>
        <w:rPr>
          <w:sz w:val="20"/>
          <w:szCs w:val="20"/>
          <w:color w:val="auto"/>
        </w:rPr>
      </w:pPr>
    </w:p>
    <w:p>
      <w:pPr>
        <w:ind w:left="160" w:hanging="154"/>
        <w:spacing w:after="0" w:line="221" w:lineRule="auto"/>
        <w:tabs>
          <w:tab w:leader="none" w:pos="108" w:val="left"/>
        </w:tabs>
        <w:numPr>
          <w:ilvl w:val="0"/>
          <w:numId w:val="7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portions of this exhibit have been omitted because such portions are both not material and the type the registrant customarily and actually treats as private or confidential.</w:t>
      </w:r>
    </w:p>
    <w:p>
      <w:pPr>
        <w:spacing w:after="0" w:line="2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16026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00"/>
          </w:cols>
          <w:pgMar w:left="320" w:top="1440" w:right="579" w:bottom="1440" w:gutter="0" w:footer="0" w:header="0"/>
        </w:sectPr>
      </w:pPr>
    </w:p>
    <w:bookmarkStart w:id="153" w:name="page154"/>
    <w:bookmarkEnd w:id="153"/>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SIGNATURES</w:t>
      </w:r>
    </w:p>
    <w:p>
      <w:pPr>
        <w:spacing w:after="0" w:line="157"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9"/>
          <w:szCs w:val="19"/>
          <w:color w:val="auto"/>
        </w:rPr>
        <w:t>Pursuant to the requirements of Section 13 or 15(d) of the Securities Exchange Act of 1934, Paramount Global has duly caused this report to be signed on its behalf by the undersigned, thereto duly authorized.</w:t>
      </w:r>
    </w:p>
    <w:p>
      <w:pPr>
        <w:spacing w:after="0" w:line="18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PARAMOUNT GLOBAL</w:t>
      </w:r>
    </w:p>
    <w:p>
      <w:pPr>
        <w:spacing w:after="0" w:line="228" w:lineRule="exact"/>
        <w:rPr>
          <w:sz w:val="20"/>
          <w:szCs w:val="20"/>
          <w:color w:val="auto"/>
        </w:rPr>
      </w:pPr>
    </w:p>
    <w:p>
      <w:pPr>
        <w:ind w:left="6780"/>
        <w:spacing w:after="0"/>
        <w:tabs>
          <w:tab w:leader="none" w:pos="7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9"/>
          <w:szCs w:val="19"/>
          <w:color w:val="auto"/>
        </w:rPr>
        <w:t>/s/ Christopher D.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27305</wp:posOffset>
            </wp:positionV>
            <wp:extent cx="25069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0">
                      <a:extLst>
                        <a:ext uri="{28A0092B-C50C-407E-A947-70E740481C1C}"/>
                      </a:extLst>
                    </a:blip>
                    <a:srcRect/>
                    <a:stretch>
                      <a:fillRect/>
                    </a:stretch>
                  </pic:blipFill>
                  <pic:spPr bwMode="auto">
                    <a:xfrm>
                      <a:off x="0" y="0"/>
                      <a:ext cx="2506980" cy="8255"/>
                    </a:xfrm>
                    <a:prstGeom prst="rect">
                      <a:avLst/>
                    </a:prstGeom>
                    <a:noFill/>
                  </pic:spPr>
                </pic:pic>
              </a:graphicData>
            </a:graphic>
          </wp:anchor>
        </w:drawing>
      </w:r>
    </w:p>
    <w:p>
      <w:pPr>
        <w:spacing w:after="0" w:line="27"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9"/>
          <w:szCs w:val="19"/>
          <w:color w:val="auto"/>
        </w:rPr>
        <w:t>Christopher D. McCarthy</w:t>
      </w:r>
    </w:p>
    <w:p>
      <w:pPr>
        <w:spacing w:after="0" w:line="2"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9"/>
          <w:szCs w:val="19"/>
          <w:i w:val="1"/>
          <w:iCs w:val="1"/>
          <w:color w:val="auto"/>
        </w:rPr>
        <w:t>Office of the Chief Executive Officer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February 26, 2025</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Pursuant to the requirements of the Securities Exchange Act of 1934, this report has been signed by the following persons on behalf of</w:t>
      </w:r>
    </w:p>
    <w:p>
      <w:pPr>
        <w:sectPr>
          <w:pgSz w:w="11900" w:h="16838" w:orient="portrait"/>
          <w:cols w:equalWidth="0" w:num="1">
            <w:col w:w="11240"/>
          </w:cols>
          <w:pgMar w:left="320" w:top="1440" w:right="339" w:bottom="1440" w:gutter="0" w:footer="0" w:header="0"/>
        </w:sectPr>
      </w:pP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Paramount Global and in the capacities and on the dates indicated:</w:t>
      </w:r>
    </w:p>
    <w:p>
      <w:pPr>
        <w:spacing w:after="0" w:line="1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9"/>
          <w:szCs w:val="19"/>
          <w:b w:val="1"/>
          <w:bCs w:val="1"/>
          <w:u w:val="single" w:color="auto"/>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9"/>
          <w:szCs w:val="19"/>
          <w:color w:val="auto"/>
        </w:rPr>
        <w:t>/s/ Christopher D.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27305</wp:posOffset>
            </wp:positionV>
            <wp:extent cx="295338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1">
                      <a:extLst>
                        <a:ext uri="{28A0092B-C50C-407E-A947-70E740481C1C}"/>
                      </a:extLst>
                    </a:blip>
                    <a:srcRect/>
                    <a:stretch>
                      <a:fillRect/>
                    </a:stretch>
                  </pic:blipFill>
                  <pic:spPr bwMode="auto">
                    <a:xfrm>
                      <a:off x="0" y="0"/>
                      <a:ext cx="2953385" cy="8255"/>
                    </a:xfrm>
                    <a:prstGeom prst="rect">
                      <a:avLst/>
                    </a:prstGeom>
                    <a:noFill/>
                  </pic:spPr>
                </pic:pic>
              </a:graphicData>
            </a:graphic>
          </wp:anchor>
        </w:drawing>
      </w:r>
    </w:p>
    <w:p>
      <w:pPr>
        <w:spacing w:after="0" w:line="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9"/>
          <w:szCs w:val="19"/>
          <w:color w:val="auto"/>
        </w:rPr>
        <w:t>Christopher D. McCarthy</w:t>
      </w:r>
    </w:p>
    <w:p>
      <w:pPr>
        <w:spacing w:after="0" w:line="200" w:lineRule="exact"/>
        <w:rPr>
          <w:sz w:val="20"/>
          <w:szCs w:val="20"/>
          <w:color w:val="auto"/>
        </w:rPr>
      </w:pPr>
    </w:p>
    <w:p>
      <w:pPr>
        <w:spacing w:after="0" w:line="3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9"/>
          <w:szCs w:val="19"/>
          <w:color w:val="auto"/>
        </w:rPr>
        <w:t>/s/ Naveen Chopra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27305</wp:posOffset>
            </wp:positionV>
            <wp:extent cx="295338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2">
                      <a:extLst>
                        <a:ext uri="{28A0092B-C50C-407E-A947-70E740481C1C}"/>
                      </a:extLst>
                    </a:blip>
                    <a:srcRect/>
                    <a:stretch>
                      <a:fillRect/>
                    </a:stretch>
                  </pic:blipFill>
                  <pic:spPr bwMode="auto">
                    <a:xfrm>
                      <a:off x="0" y="0"/>
                      <a:ext cx="2953385" cy="8255"/>
                    </a:xfrm>
                    <a:prstGeom prst="rect">
                      <a:avLst/>
                    </a:prstGeom>
                    <a:noFill/>
                  </pic:spPr>
                </pic:pic>
              </a:graphicData>
            </a:graphic>
          </wp:anchor>
        </w:drawing>
      </w:r>
    </w:p>
    <w:p>
      <w:pPr>
        <w:spacing w:after="0" w:line="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9"/>
          <w:szCs w:val="19"/>
          <w:color w:val="auto"/>
        </w:rPr>
        <w:t>Naveen Chopra</w:t>
      </w:r>
    </w:p>
    <w:p>
      <w:pPr>
        <w:spacing w:after="0" w:line="200" w:lineRule="exact"/>
        <w:rPr>
          <w:sz w:val="20"/>
          <w:szCs w:val="20"/>
          <w:color w:val="auto"/>
        </w:rPr>
      </w:pPr>
    </w:p>
    <w:p>
      <w:pPr>
        <w:spacing w:after="0" w:line="37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9"/>
          <w:szCs w:val="19"/>
          <w:color w:val="auto"/>
        </w:rPr>
        <w:t>/s/ Katherine Gill-Charest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27305</wp:posOffset>
            </wp:positionV>
            <wp:extent cx="295338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3">
                      <a:extLst>
                        <a:ext uri="{28A0092B-C50C-407E-A947-70E740481C1C}"/>
                      </a:extLst>
                    </a:blip>
                    <a:srcRect/>
                    <a:stretch>
                      <a:fillRect/>
                    </a:stretch>
                  </pic:blipFill>
                  <pic:spPr bwMode="auto">
                    <a:xfrm>
                      <a:off x="0" y="0"/>
                      <a:ext cx="2953385" cy="8255"/>
                    </a:xfrm>
                    <a:prstGeom prst="rect">
                      <a:avLst/>
                    </a:prstGeom>
                    <a:noFill/>
                  </pic:spPr>
                </pic:pic>
              </a:graphicData>
            </a:graphic>
          </wp:anchor>
        </w:drawing>
      </w:r>
    </w:p>
    <w:p>
      <w:pPr>
        <w:spacing w:after="0" w:line="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9"/>
          <w:szCs w:val="19"/>
          <w:color w:val="auto"/>
        </w:rPr>
        <w:t>Katherine Gill-Charest</w:t>
      </w:r>
    </w:p>
    <w:p>
      <w:pPr>
        <w:spacing w:after="0" w:line="200" w:lineRule="exact"/>
        <w:rPr>
          <w:sz w:val="20"/>
          <w:szCs w:val="20"/>
          <w:color w:val="auto"/>
        </w:rPr>
      </w:pPr>
    </w:p>
    <w:p>
      <w:pPr>
        <w:spacing w:after="0" w:line="3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27305</wp:posOffset>
            </wp:positionV>
            <wp:extent cx="295338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4">
                      <a:extLst>
                        <a:ext uri="{28A0092B-C50C-407E-A947-70E740481C1C}"/>
                      </a:extLst>
                    </a:blip>
                    <a:srcRect/>
                    <a:stretch>
                      <a:fillRect/>
                    </a:stretch>
                  </pic:blipFill>
                  <pic:spPr bwMode="auto">
                    <a:xfrm>
                      <a:off x="0" y="0"/>
                      <a:ext cx="2953385" cy="8255"/>
                    </a:xfrm>
                    <a:prstGeom prst="rect">
                      <a:avLst/>
                    </a:prstGeom>
                    <a:noFill/>
                  </pic:spPr>
                </pic:pic>
              </a:graphicData>
            </a:graphic>
          </wp:anchor>
        </w:drawing>
      </w:r>
    </w:p>
    <w:p>
      <w:pPr>
        <w:spacing w:after="0" w:line="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9"/>
          <w:szCs w:val="19"/>
          <w:color w:val="auto"/>
        </w:rPr>
        <w:t>Barbara M. Byrne</w:t>
      </w:r>
    </w:p>
    <w:p>
      <w:pPr>
        <w:spacing w:after="0" w:line="200" w:lineRule="exact"/>
        <w:rPr>
          <w:sz w:val="20"/>
          <w:szCs w:val="20"/>
          <w:color w:val="auto"/>
        </w:rPr>
      </w:pPr>
    </w:p>
    <w:p>
      <w:pPr>
        <w:spacing w:after="0" w:line="3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27305</wp:posOffset>
            </wp:positionV>
            <wp:extent cx="295338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5">
                      <a:extLst>
                        <a:ext uri="{28A0092B-C50C-407E-A947-70E740481C1C}"/>
                      </a:extLst>
                    </a:blip>
                    <a:srcRect/>
                    <a:stretch>
                      <a:fillRect/>
                    </a:stretch>
                  </pic:blipFill>
                  <pic:spPr bwMode="auto">
                    <a:xfrm>
                      <a:off x="0" y="0"/>
                      <a:ext cx="2953385" cy="8255"/>
                    </a:xfrm>
                    <a:prstGeom prst="rect">
                      <a:avLst/>
                    </a:prstGeom>
                    <a:noFill/>
                  </pic:spPr>
                </pic:pic>
              </a:graphicData>
            </a:graphic>
          </wp:anchor>
        </w:drawing>
      </w:r>
    </w:p>
    <w:p>
      <w:pPr>
        <w:spacing w:after="0" w:line="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9"/>
          <w:szCs w:val="19"/>
          <w:color w:val="auto"/>
        </w:rPr>
        <w:t>Linda M. Griego</w:t>
      </w:r>
    </w:p>
    <w:p>
      <w:pPr>
        <w:spacing w:after="0" w:line="200" w:lineRule="exact"/>
        <w:rPr>
          <w:sz w:val="20"/>
          <w:szCs w:val="20"/>
          <w:color w:val="auto"/>
        </w:rPr>
      </w:pPr>
    </w:p>
    <w:p>
      <w:pPr>
        <w:spacing w:after="0" w:line="3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27305</wp:posOffset>
            </wp:positionV>
            <wp:extent cx="295338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6">
                      <a:extLst>
                        <a:ext uri="{28A0092B-C50C-407E-A947-70E740481C1C}"/>
                      </a:extLst>
                    </a:blip>
                    <a:srcRect/>
                    <a:stretch>
                      <a:fillRect/>
                    </a:stretch>
                  </pic:blipFill>
                  <pic:spPr bwMode="auto">
                    <a:xfrm>
                      <a:off x="0" y="0"/>
                      <a:ext cx="2953385" cy="8255"/>
                    </a:xfrm>
                    <a:prstGeom prst="rect">
                      <a:avLst/>
                    </a:prstGeom>
                    <a:noFill/>
                  </pic:spPr>
                </pic:pic>
              </a:graphicData>
            </a:graphic>
          </wp:anchor>
        </w:drawing>
      </w:r>
    </w:p>
    <w:p>
      <w:pPr>
        <w:spacing w:after="0" w:line="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9"/>
          <w:szCs w:val="19"/>
          <w:color w:val="auto"/>
        </w:rPr>
        <w:t>Judith A. McHale</w:t>
      </w:r>
    </w:p>
    <w:p>
      <w:pPr>
        <w:spacing w:after="0" w:line="200" w:lineRule="exact"/>
        <w:rPr>
          <w:sz w:val="20"/>
          <w:szCs w:val="20"/>
          <w:color w:val="auto"/>
        </w:rPr>
      </w:pPr>
    </w:p>
    <w:p>
      <w:pPr>
        <w:spacing w:after="0" w:line="3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27305</wp:posOffset>
            </wp:positionV>
            <wp:extent cx="295338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7">
                      <a:extLst>
                        <a:ext uri="{28A0092B-C50C-407E-A947-70E740481C1C}"/>
                      </a:extLst>
                    </a:blip>
                    <a:srcRect/>
                    <a:stretch>
                      <a:fillRect/>
                    </a:stretch>
                  </pic:blipFill>
                  <pic:spPr bwMode="auto">
                    <a:xfrm>
                      <a:off x="0" y="0"/>
                      <a:ext cx="2953385" cy="8255"/>
                    </a:xfrm>
                    <a:prstGeom prst="rect">
                      <a:avLst/>
                    </a:prstGeom>
                    <a:noFill/>
                  </pic:spPr>
                </pic:pic>
              </a:graphicData>
            </a:graphic>
          </wp:anchor>
        </w:drawing>
      </w:r>
    </w:p>
    <w:p>
      <w:pPr>
        <w:spacing w:after="0" w:line="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9"/>
          <w:szCs w:val="19"/>
          <w:color w:val="auto"/>
        </w:rPr>
        <w:t>Shari Redstone</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9"/>
          <w:szCs w:val="19"/>
          <w:b w:val="1"/>
          <w:bCs w:val="1"/>
          <w:u w:val="single" w:color="auto"/>
          <w:color w:val="auto"/>
        </w:rPr>
        <w:t>Title</w:t>
      </w:r>
    </w:p>
    <w:p>
      <w:pPr>
        <w:spacing w:after="0" w:line="200" w:lineRule="exact"/>
        <w:rPr>
          <w:sz w:val="20"/>
          <w:szCs w:val="20"/>
          <w:color w:val="auto"/>
        </w:rPr>
      </w:pPr>
    </w:p>
    <w:p>
      <w:pPr>
        <w:spacing w:after="0" w:line="31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9"/>
          <w:szCs w:val="19"/>
          <w:color w:val="auto"/>
        </w:rPr>
        <w:t>Office of the Chief Executive Officer</w:t>
      </w:r>
    </w:p>
    <w:p>
      <w:pPr>
        <w:jc w:val="center"/>
        <w:ind w:right="340"/>
        <w:spacing w:after="0"/>
        <w:rPr>
          <w:sz w:val="20"/>
          <w:szCs w:val="20"/>
          <w:color w:val="auto"/>
        </w:rPr>
      </w:pPr>
      <w:r>
        <w:rPr>
          <w:rFonts w:ascii="Times New Roman" w:cs="Times New Roman" w:eastAsia="Times New Roman" w:hAnsi="Times New Roman"/>
          <w:sz w:val="19"/>
          <w:szCs w:val="19"/>
          <w:color w:val="auto"/>
        </w:rPr>
        <w:t>(Principal Executive Officer)</w:t>
      </w:r>
    </w:p>
    <w:p>
      <w:pPr>
        <w:spacing w:after="0" w:line="200" w:lineRule="exact"/>
        <w:rPr>
          <w:sz w:val="20"/>
          <w:szCs w:val="20"/>
          <w:color w:val="auto"/>
        </w:rPr>
      </w:pPr>
    </w:p>
    <w:p>
      <w:pPr>
        <w:spacing w:after="0" w:line="2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Executive Vice President,</w:t>
      </w:r>
    </w:p>
    <w:p>
      <w:pPr>
        <w:ind w:left="540"/>
        <w:spacing w:after="0" w:line="218" w:lineRule="auto"/>
        <w:rPr>
          <w:sz w:val="20"/>
          <w:szCs w:val="20"/>
          <w:color w:val="auto"/>
        </w:rPr>
      </w:pPr>
      <w:r>
        <w:rPr>
          <w:rFonts w:ascii="Times New Roman" w:cs="Times New Roman" w:eastAsia="Times New Roman" w:hAnsi="Times New Roman"/>
          <w:sz w:val="19"/>
          <w:szCs w:val="19"/>
          <w:color w:val="auto"/>
        </w:rPr>
        <w:t>Chief Financial Officer</w:t>
      </w:r>
    </w:p>
    <w:p>
      <w:pPr>
        <w:ind w:left="340"/>
        <w:spacing w:after="0"/>
        <w:rPr>
          <w:sz w:val="20"/>
          <w:szCs w:val="20"/>
          <w:color w:val="auto"/>
        </w:rPr>
      </w:pPr>
      <w:r>
        <w:rPr>
          <w:rFonts w:ascii="Times New Roman" w:cs="Times New Roman" w:eastAsia="Times New Roman" w:hAnsi="Times New Roman"/>
          <w:sz w:val="19"/>
          <w:szCs w:val="19"/>
          <w:color w:val="auto"/>
        </w:rPr>
        <w:t>(Principal Financial Officer)</w:t>
      </w:r>
    </w:p>
    <w:p>
      <w:pPr>
        <w:spacing w:after="0" w:line="29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9"/>
          <w:szCs w:val="19"/>
          <w:color w:val="auto"/>
        </w:rPr>
        <w:t>Executive Vice President,</w:t>
      </w:r>
    </w:p>
    <w:p>
      <w:pPr>
        <w:jc w:val="center"/>
        <w:ind w:right="340"/>
        <w:spacing w:after="0" w:line="218" w:lineRule="auto"/>
        <w:rPr>
          <w:sz w:val="20"/>
          <w:szCs w:val="20"/>
          <w:color w:val="auto"/>
        </w:rPr>
      </w:pPr>
      <w:r>
        <w:rPr>
          <w:rFonts w:ascii="Times New Roman" w:cs="Times New Roman" w:eastAsia="Times New Roman" w:hAnsi="Times New Roman"/>
          <w:sz w:val="19"/>
          <w:szCs w:val="19"/>
          <w:color w:val="auto"/>
        </w:rPr>
        <w:t>Controller and</w:t>
      </w:r>
    </w:p>
    <w:p>
      <w:pPr>
        <w:jc w:val="center"/>
        <w:ind w:right="340"/>
        <w:spacing w:after="0" w:line="218" w:lineRule="auto"/>
        <w:rPr>
          <w:sz w:val="20"/>
          <w:szCs w:val="20"/>
          <w:color w:val="auto"/>
        </w:rPr>
      </w:pPr>
      <w:r>
        <w:rPr>
          <w:rFonts w:ascii="Times New Roman" w:cs="Times New Roman" w:eastAsia="Times New Roman" w:hAnsi="Times New Roman"/>
          <w:sz w:val="19"/>
          <w:szCs w:val="19"/>
          <w:color w:val="auto"/>
        </w:rPr>
        <w:t>Chief Accounting Officer</w:t>
      </w:r>
    </w:p>
    <w:p>
      <w:pPr>
        <w:spacing w:after="0" w:line="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9"/>
          <w:szCs w:val="19"/>
          <w:color w:val="auto"/>
        </w:rPr>
        <w:t>(Principal Accounting Officer)</w:t>
      </w:r>
    </w:p>
    <w:p>
      <w:pPr>
        <w:spacing w:after="0" w:line="200" w:lineRule="exact"/>
        <w:rPr>
          <w:sz w:val="20"/>
          <w:szCs w:val="20"/>
          <w:color w:val="auto"/>
        </w:rPr>
      </w:pPr>
    </w:p>
    <w:p>
      <w:pPr>
        <w:spacing w:after="0" w:line="30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Non-Executive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-3526155</wp:posOffset>
            </wp:positionH>
            <wp:positionV relativeFrom="paragraph">
              <wp:posOffset>1049655</wp:posOffset>
            </wp:positionV>
            <wp:extent cx="716026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u w:val="single" w:color="auto"/>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26, 2025</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26, 2025</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26, 2025</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26, 2025</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26, 2025</w:t>
      </w:r>
    </w:p>
    <w:p>
      <w:pPr>
        <w:sectPr>
          <w:pgSz w:w="11900" w:h="16838" w:orient="portrait"/>
          <w:cols w:equalWidth="0" w:num="3">
            <w:col w:w="5180" w:space="360"/>
            <w:col w:w="3240" w:space="720"/>
            <w:col w:w="1740"/>
          </w:cols>
          <w:pgMar w:left="320" w:top="1440" w:right="339" w:bottom="1440" w:gutter="0" w:footer="0" w:header="0"/>
          <w:type w:val="continuous"/>
        </w:sectPr>
      </w:pPr>
    </w:p>
    <w:bookmarkStart w:id="154" w:name="page155"/>
    <w:bookmarkEnd w:id="154"/>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720" w:type="dxa"/>
            <w:vAlign w:val="bottom"/>
            <w:gridSpan w:val="2"/>
          </w:tcPr>
          <w:p>
            <w:pPr>
              <w:jc w:val="center"/>
              <w:ind w:right="1920"/>
              <w:spacing w:after="0"/>
              <w:rPr>
                <w:sz w:val="20"/>
                <w:szCs w:val="20"/>
                <w:color w:val="auto"/>
              </w:rPr>
            </w:pPr>
            <w:r>
              <w:rPr>
                <w:rFonts w:ascii="Times New Roman" w:cs="Times New Roman" w:eastAsia="Times New Roman" w:hAnsi="Times New Roman"/>
                <w:sz w:val="19"/>
                <w:szCs w:val="19"/>
                <w:b w:val="1"/>
                <w:bCs w:val="1"/>
                <w:color w:val="auto"/>
              </w:rPr>
              <w:t>Signature</w:t>
            </w:r>
          </w:p>
        </w:tc>
        <w:tc>
          <w:tcPr>
            <w:tcW w:w="2000" w:type="dxa"/>
            <w:vAlign w:val="bottom"/>
          </w:tcPr>
          <w:p>
            <w:pPr>
              <w:spacing w:after="0"/>
              <w:rPr>
                <w:sz w:val="18"/>
                <w:szCs w:val="18"/>
                <w:color w:val="auto"/>
              </w:rPr>
            </w:pPr>
          </w:p>
        </w:tc>
        <w:tc>
          <w:tcPr>
            <w:tcW w:w="1580" w:type="dxa"/>
            <w:vAlign w:val="bottom"/>
            <w:gridSpan w:val="2"/>
          </w:tcPr>
          <w:p>
            <w:pPr>
              <w:jc w:val="center"/>
              <w:ind w:right="1200"/>
              <w:spacing w:after="0"/>
              <w:rPr>
                <w:sz w:val="20"/>
                <w:szCs w:val="20"/>
                <w:color w:val="auto"/>
              </w:rPr>
            </w:pPr>
            <w:r>
              <w:rPr>
                <w:rFonts w:ascii="Times New Roman" w:cs="Times New Roman" w:eastAsia="Times New Roman" w:hAnsi="Times New Roman"/>
                <w:sz w:val="19"/>
                <w:szCs w:val="19"/>
                <w:b w:val="1"/>
                <w:bCs w:val="1"/>
                <w:color w:val="auto"/>
                <w:w w:val="99"/>
              </w:rPr>
              <w:t>Title</w:t>
            </w:r>
          </w:p>
        </w:tc>
        <w:tc>
          <w:tcPr>
            <w:tcW w:w="2500" w:type="dxa"/>
            <w:vAlign w:val="bottom"/>
            <w:gridSpan w:val="3"/>
          </w:tcPr>
          <w:p>
            <w:pPr>
              <w:jc w:val="center"/>
              <w:ind w:left="963"/>
              <w:spacing w:after="0"/>
              <w:rPr>
                <w:sz w:val="20"/>
                <w:szCs w:val="20"/>
                <w:color w:val="auto"/>
              </w:rPr>
            </w:pPr>
            <w:r>
              <w:rPr>
                <w:rFonts w:ascii="Times New Roman" w:cs="Times New Roman" w:eastAsia="Times New Roman" w:hAnsi="Times New Roman"/>
                <w:sz w:val="19"/>
                <w:szCs w:val="19"/>
                <w:b w:val="1"/>
                <w:bCs w:val="1"/>
                <w:color w:val="auto"/>
              </w:rPr>
              <w:t>Date</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7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w:t>
            </w:r>
          </w:p>
        </w:tc>
        <w:tc>
          <w:tcPr>
            <w:tcW w:w="1920" w:type="dxa"/>
            <w:vAlign w:val="bottom"/>
            <w:tcBorders>
              <w:bottom w:val="single" w:sz="8" w:color="auto"/>
            </w:tcBorders>
          </w:tcPr>
          <w:p>
            <w:pPr>
              <w:spacing w:after="0"/>
              <w:rPr>
                <w:sz w:val="24"/>
                <w:szCs w:val="24"/>
                <w:color w:val="auto"/>
              </w:rPr>
            </w:pPr>
          </w:p>
        </w:tc>
        <w:tc>
          <w:tcPr>
            <w:tcW w:w="3580" w:type="dxa"/>
            <w:vAlign w:val="bottom"/>
            <w:gridSpan w:val="3"/>
          </w:tcPr>
          <w:p>
            <w:pPr>
              <w:jc w:val="center"/>
              <w:ind w:left="723"/>
              <w:spacing w:after="0"/>
              <w:rPr>
                <w:sz w:val="20"/>
                <w:szCs w:val="20"/>
                <w:color w:val="auto"/>
              </w:rPr>
            </w:pPr>
            <w:r>
              <w:rPr>
                <w:rFonts w:ascii="Times New Roman" w:cs="Times New Roman" w:eastAsia="Times New Roman" w:hAnsi="Times New Roman"/>
                <w:sz w:val="19"/>
                <w:szCs w:val="19"/>
                <w:color w:val="auto"/>
              </w:rPr>
              <w:t>Director</w:t>
            </w:r>
          </w:p>
        </w:tc>
        <w:tc>
          <w:tcPr>
            <w:tcW w:w="2500" w:type="dxa"/>
            <w:vAlign w:val="bottom"/>
            <w:gridSpan w:val="3"/>
          </w:tcPr>
          <w:p>
            <w:pPr>
              <w:jc w:val="center"/>
              <w:ind w:left="963"/>
              <w:spacing w:after="0"/>
              <w:rPr>
                <w:sz w:val="20"/>
                <w:szCs w:val="20"/>
                <w:color w:val="auto"/>
              </w:rPr>
            </w:pPr>
            <w:r>
              <w:rPr>
                <w:rFonts w:ascii="Times New Roman" w:cs="Times New Roman" w:eastAsia="Times New Roman" w:hAnsi="Times New Roman"/>
                <w:sz w:val="19"/>
                <w:szCs w:val="19"/>
                <w:color w:val="auto"/>
              </w:rPr>
              <w:t>February 26, 2025</w:t>
            </w:r>
          </w:p>
        </w:tc>
        <w:tc>
          <w:tcPr>
            <w:tcW w:w="0" w:type="dxa"/>
            <w:vAlign w:val="bottom"/>
          </w:tcPr>
          <w:p>
            <w:pPr>
              <w:spacing w:after="0"/>
              <w:rPr>
                <w:sz w:val="1"/>
                <w:szCs w:val="1"/>
                <w:color w:val="auto"/>
              </w:rPr>
            </w:pPr>
          </w:p>
        </w:tc>
      </w:tr>
      <w:tr>
        <w:trPr>
          <w:trHeight w:val="250"/>
        </w:trPr>
        <w:tc>
          <w:tcPr>
            <w:tcW w:w="720" w:type="dxa"/>
            <w:vAlign w:val="bottom"/>
          </w:tcPr>
          <w:p>
            <w:pPr>
              <w:spacing w:after="0"/>
              <w:rPr>
                <w:sz w:val="21"/>
                <w:szCs w:val="21"/>
                <w:color w:val="auto"/>
              </w:rPr>
            </w:pPr>
          </w:p>
        </w:tc>
        <w:tc>
          <w:tcPr>
            <w:tcW w:w="3900" w:type="dxa"/>
            <w:vAlign w:val="bottom"/>
            <w:gridSpan w:val="3"/>
          </w:tcPr>
          <w:p>
            <w:pPr>
              <w:jc w:val="center"/>
              <w:ind w:right="740"/>
              <w:spacing w:after="0"/>
              <w:rPr>
                <w:sz w:val="20"/>
                <w:szCs w:val="20"/>
                <w:color w:val="auto"/>
              </w:rPr>
            </w:pPr>
            <w:r>
              <w:rPr>
                <w:rFonts w:ascii="Times New Roman" w:cs="Times New Roman" w:eastAsia="Times New Roman" w:hAnsi="Times New Roman"/>
                <w:sz w:val="19"/>
                <w:szCs w:val="19"/>
                <w:color w:val="auto"/>
              </w:rPr>
              <w:t>Susan Schuman</w:t>
            </w:r>
          </w:p>
        </w:tc>
        <w:tc>
          <w:tcPr>
            <w:tcW w:w="2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37"/>
        </w:trPr>
        <w:tc>
          <w:tcPr>
            <w:tcW w:w="72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*By:</w:t>
            </w:r>
          </w:p>
        </w:tc>
        <w:tc>
          <w:tcPr>
            <w:tcW w:w="11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
          </w:tcPr>
          <w:p>
            <w:pPr>
              <w:jc w:val="center"/>
              <w:ind w:right="1200"/>
              <w:spacing w:after="0"/>
              <w:rPr>
                <w:sz w:val="20"/>
                <w:szCs w:val="20"/>
                <w:color w:val="auto"/>
              </w:rPr>
            </w:pPr>
            <w:r>
              <w:rPr>
                <w:rFonts w:ascii="Times New Roman" w:cs="Times New Roman" w:eastAsia="Times New Roman" w:hAnsi="Times New Roman"/>
                <w:sz w:val="19"/>
                <w:szCs w:val="19"/>
                <w:color w:val="auto"/>
              </w:rPr>
              <w:t>/s/ Caryn K. Groce</w:t>
            </w:r>
          </w:p>
        </w:tc>
        <w:tc>
          <w:tcPr>
            <w:tcW w:w="2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500" w:type="dxa"/>
            <w:vAlign w:val="bottom"/>
            <w:gridSpan w:val="3"/>
            <w:vMerge w:val="restart"/>
          </w:tcPr>
          <w:p>
            <w:pPr>
              <w:jc w:val="center"/>
              <w:ind w:left="963"/>
              <w:spacing w:after="0"/>
              <w:rPr>
                <w:sz w:val="20"/>
                <w:szCs w:val="20"/>
                <w:color w:val="auto"/>
              </w:rPr>
            </w:pPr>
            <w:r>
              <w:rPr>
                <w:rFonts w:ascii="Times New Roman" w:cs="Times New Roman" w:eastAsia="Times New Roman" w:hAnsi="Times New Roman"/>
                <w:sz w:val="19"/>
                <w:szCs w:val="19"/>
                <w:color w:val="auto"/>
              </w:rPr>
              <w:t>February 26, 2025</w:t>
            </w:r>
          </w:p>
        </w:tc>
        <w:tc>
          <w:tcPr>
            <w:tcW w:w="0" w:type="dxa"/>
            <w:vAlign w:val="bottom"/>
          </w:tcPr>
          <w:p>
            <w:pPr>
              <w:spacing w:after="0"/>
              <w:rPr>
                <w:sz w:val="1"/>
                <w:szCs w:val="1"/>
                <w:color w:val="auto"/>
              </w:rPr>
            </w:pPr>
          </w:p>
        </w:tc>
      </w:tr>
      <w:tr>
        <w:trPr>
          <w:trHeight w:val="185"/>
        </w:trPr>
        <w:tc>
          <w:tcPr>
            <w:tcW w:w="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720" w:type="dxa"/>
            <w:vAlign w:val="bottom"/>
            <w:gridSpan w:val="2"/>
          </w:tcPr>
          <w:p>
            <w:pPr>
              <w:jc w:val="center"/>
              <w:ind w:right="1200"/>
              <w:spacing w:after="0" w:line="184" w:lineRule="exact"/>
              <w:rPr>
                <w:sz w:val="20"/>
                <w:szCs w:val="20"/>
                <w:color w:val="auto"/>
              </w:rPr>
            </w:pPr>
            <w:r>
              <w:rPr>
                <w:rFonts w:ascii="Times New Roman" w:cs="Times New Roman" w:eastAsia="Times New Roman" w:hAnsi="Times New Roman"/>
                <w:sz w:val="19"/>
                <w:szCs w:val="19"/>
                <w:color w:val="auto"/>
              </w:rPr>
              <w:t>Caryn K. Groce</w:t>
            </w:r>
          </w:p>
        </w:tc>
        <w:tc>
          <w:tcPr>
            <w:tcW w:w="2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5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20" w:type="dxa"/>
            <w:vAlign w:val="bottom"/>
            <w:gridSpan w:val="2"/>
          </w:tcPr>
          <w:p>
            <w:pPr>
              <w:jc w:val="center"/>
              <w:ind w:right="1200"/>
              <w:spacing w:after="0" w:line="197" w:lineRule="exact"/>
              <w:rPr>
                <w:sz w:val="20"/>
                <w:szCs w:val="20"/>
                <w:color w:val="auto"/>
              </w:rPr>
            </w:pPr>
            <w:r>
              <w:rPr>
                <w:rFonts w:ascii="Times New Roman" w:cs="Times New Roman" w:eastAsia="Times New Roman" w:hAnsi="Times New Roman"/>
                <w:sz w:val="19"/>
                <w:szCs w:val="19"/>
                <w:i w:val="1"/>
                <w:iCs w:val="1"/>
                <w:color w:val="auto"/>
              </w:rPr>
              <w:t>Attorney-in-Fact</w:t>
            </w:r>
          </w:p>
        </w:tc>
        <w:tc>
          <w:tcPr>
            <w:tcW w:w="2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720" w:type="dxa"/>
            <w:vAlign w:val="bottom"/>
            <w:gridSpan w:val="2"/>
          </w:tcPr>
          <w:p>
            <w:pPr>
              <w:jc w:val="center"/>
              <w:ind w:right="1200"/>
              <w:spacing w:after="0"/>
              <w:rPr>
                <w:sz w:val="20"/>
                <w:szCs w:val="20"/>
                <w:color w:val="auto"/>
              </w:rPr>
            </w:pPr>
            <w:r>
              <w:rPr>
                <w:rFonts w:ascii="Times New Roman" w:cs="Times New Roman" w:eastAsia="Times New Roman" w:hAnsi="Times New Roman"/>
                <w:sz w:val="19"/>
                <w:szCs w:val="19"/>
                <w:i w:val="1"/>
                <w:iCs w:val="1"/>
                <w:color w:val="auto"/>
              </w:rPr>
              <w:t>for Directors</w:t>
            </w:r>
          </w:p>
        </w:tc>
        <w:tc>
          <w:tcPr>
            <w:tcW w:w="2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700"/>
          </w:cols>
          <w:pgMar w:left="480" w:top="1440" w:right="71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9"/>
          <w:szCs w:val="19"/>
          <w:b w:val="1"/>
          <w:bCs w:val="1"/>
          <w:color w:val="auto"/>
        </w:rPr>
        <w:t>Exhibit 10(bb)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29845</wp:posOffset>
            </wp:positionV>
            <wp:extent cx="6840220" cy="16154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9">
                      <a:extLst>
                        <a:ext uri="{28A0092B-C50C-407E-A947-70E740481C1C}"/>
                      </a:extLst>
                    </a:blip>
                    <a:srcRect/>
                    <a:stretch>
                      <a:fillRect/>
                    </a:stretch>
                  </pic:blipFill>
                  <pic:spPr bwMode="auto">
                    <a:xfrm>
                      <a:off x="0" y="0"/>
                      <a:ext cx="6840220" cy="1615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280"/>
        <w:spacing w:after="0"/>
        <w:rPr>
          <w:sz w:val="20"/>
          <w:szCs w:val="20"/>
          <w:color w:val="auto"/>
        </w:rPr>
      </w:pPr>
      <w:r>
        <w:rPr>
          <w:rFonts w:ascii="Arial" w:cs="Arial" w:eastAsia="Arial" w:hAnsi="Arial"/>
          <w:sz w:val="19"/>
          <w:szCs w:val="19"/>
          <w:color w:val="auto"/>
        </w:rPr>
        <w:t>As of January 1, 2023</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color w:val="auto"/>
        </w:rPr>
        <w:t>Mr. Chris McCarthy</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[address on file]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Dear Chris:</w:t>
      </w:r>
    </w:p>
    <w:p>
      <w:pPr>
        <w:spacing w:after="0" w:line="200" w:lineRule="exact"/>
        <w:rPr>
          <w:sz w:val="20"/>
          <w:szCs w:val="20"/>
          <w:color w:val="auto"/>
        </w:rPr>
      </w:pPr>
    </w:p>
    <w:p>
      <w:pPr>
        <w:spacing w:after="0" w:line="257" w:lineRule="exact"/>
        <w:rPr>
          <w:sz w:val="20"/>
          <w:szCs w:val="20"/>
          <w:color w:val="auto"/>
        </w:rPr>
      </w:pPr>
    </w:p>
    <w:p>
      <w:pPr>
        <w:ind w:firstLine="1590"/>
        <w:spacing w:after="0" w:line="220" w:lineRule="auto"/>
        <w:rPr>
          <w:sz w:val="20"/>
          <w:szCs w:val="20"/>
          <w:color w:val="auto"/>
        </w:rPr>
      </w:pPr>
      <w:r>
        <w:rPr>
          <w:rFonts w:ascii="Arial" w:cs="Arial" w:eastAsia="Arial" w:hAnsi="Arial"/>
          <w:sz w:val="19"/>
          <w:szCs w:val="19"/>
          <w:color w:val="auto"/>
        </w:rPr>
        <w:t>Paramount Global (the “Company”) agrees to employ you, and you accept such employment, on the terms and conditions set forth in this letter agreement (“Agreement”). For purposes of this Agreement, “Paramount” shall mean Paramount</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Global and its subsidiaries.</w:t>
      </w:r>
    </w:p>
    <w:p>
      <w:pPr>
        <w:spacing w:after="0" w:line="174" w:lineRule="exact"/>
        <w:rPr>
          <w:sz w:val="20"/>
          <w:szCs w:val="20"/>
          <w:color w:val="auto"/>
        </w:rPr>
      </w:pPr>
    </w:p>
    <w:p>
      <w:pPr>
        <w:jc w:val="both"/>
        <w:ind w:firstLine="1516"/>
        <w:spacing w:after="0" w:line="230" w:lineRule="auto"/>
        <w:tabs>
          <w:tab w:leader="none" w:pos="1898" w:val="left"/>
        </w:tabs>
        <w:numPr>
          <w:ilvl w:val="1"/>
          <w:numId w:val="79"/>
        </w:numPr>
        <w:rPr>
          <w:rFonts w:ascii="Arial" w:cs="Arial" w:eastAsia="Arial" w:hAnsi="Arial"/>
          <w:sz w:val="19"/>
          <w:szCs w:val="19"/>
          <w:color w:val="auto"/>
        </w:rPr>
      </w:pPr>
      <w:r>
        <w:rPr>
          <w:rFonts w:ascii="Arial" w:cs="Arial" w:eastAsia="Arial" w:hAnsi="Arial"/>
          <w:sz w:val="19"/>
          <w:szCs w:val="19"/>
          <w:u w:val="single" w:color="auto"/>
          <w:color w:val="auto"/>
        </w:rPr>
        <w:t>Contract Period</w:t>
      </w:r>
      <w:r>
        <w:rPr>
          <w:rFonts w:ascii="Arial" w:cs="Arial" w:eastAsia="Arial" w:hAnsi="Arial"/>
          <w:sz w:val="19"/>
          <w:szCs w:val="19"/>
          <w:color w:val="auto"/>
        </w:rPr>
        <w:t>. The term of your employment under this Agreement shall begin on January 1, 2023 (the “Effective Date”) and, unless terminated earlier as set forth herein, shall continue through and including March 31, 2027. The period from the Effective Date through March 31, 2027 is referred to as the “Contract Period”, even if your employment terminates earlier for any reason.</w:t>
      </w:r>
    </w:p>
    <w:p>
      <w:pPr>
        <w:spacing w:after="0" w:line="142" w:lineRule="exact"/>
        <w:rPr>
          <w:rFonts w:ascii="Arial" w:cs="Arial" w:eastAsia="Arial" w:hAnsi="Arial"/>
          <w:sz w:val="19"/>
          <w:szCs w:val="19"/>
          <w:color w:val="auto"/>
        </w:rPr>
      </w:pPr>
    </w:p>
    <w:p>
      <w:pPr>
        <w:jc w:val="both"/>
        <w:ind w:firstLine="1516"/>
        <w:spacing w:after="0" w:line="226" w:lineRule="auto"/>
        <w:tabs>
          <w:tab w:leader="none" w:pos="1898" w:val="left"/>
        </w:tabs>
        <w:numPr>
          <w:ilvl w:val="1"/>
          <w:numId w:val="79"/>
        </w:numPr>
        <w:rPr>
          <w:rFonts w:ascii="Arial" w:cs="Arial" w:eastAsia="Arial" w:hAnsi="Arial"/>
          <w:sz w:val="19"/>
          <w:szCs w:val="19"/>
          <w:color w:val="auto"/>
        </w:rPr>
      </w:pPr>
      <w:r>
        <w:rPr>
          <w:rFonts w:ascii="Arial" w:cs="Arial" w:eastAsia="Arial" w:hAnsi="Arial"/>
          <w:sz w:val="19"/>
          <w:szCs w:val="19"/>
          <w:u w:val="single" w:color="auto"/>
          <w:color w:val="auto"/>
        </w:rPr>
        <w:t>Duties</w:t>
      </w:r>
      <w:r>
        <w:rPr>
          <w:rFonts w:ascii="Arial" w:cs="Arial" w:eastAsia="Arial" w:hAnsi="Arial"/>
          <w:sz w:val="19"/>
          <w:szCs w:val="19"/>
          <w:color w:val="auto"/>
        </w:rPr>
        <w:t>. You shall devote your entire business time, attention and energies to the business of the Company during your employment with the Company. You shall be President and Chief Executive Officer, Showtime/MTV Entertainment Studios and Paramount Media Networks, and you shall perform all duties and have all authority reasonable and consistent with such office as may be assigned to you from time to time by the President and Chief Executive Officer, Paramount or other individual designated by the President and Chief Executive Officer, Paramount. Your principal place of business will be in the greater New York City metropolitan area.</w:t>
      </w:r>
    </w:p>
    <w:p>
      <w:pPr>
        <w:spacing w:after="0" w:line="143" w:lineRule="exact"/>
        <w:rPr>
          <w:rFonts w:ascii="Arial" w:cs="Arial" w:eastAsia="Arial" w:hAnsi="Arial"/>
          <w:sz w:val="19"/>
          <w:szCs w:val="19"/>
          <w:color w:val="auto"/>
        </w:rPr>
      </w:pPr>
    </w:p>
    <w:p>
      <w:pPr>
        <w:ind w:left="1900" w:hanging="384"/>
        <w:spacing w:after="0"/>
        <w:tabs>
          <w:tab w:leader="none" w:pos="1900" w:val="left"/>
        </w:tabs>
        <w:numPr>
          <w:ilvl w:val="1"/>
          <w:numId w:val="79"/>
        </w:numPr>
        <w:rPr>
          <w:rFonts w:ascii="Arial" w:cs="Arial" w:eastAsia="Arial" w:hAnsi="Arial"/>
          <w:sz w:val="19"/>
          <w:szCs w:val="19"/>
          <w:color w:val="auto"/>
        </w:rPr>
      </w:pPr>
      <w:r>
        <w:rPr>
          <w:rFonts w:ascii="Arial" w:cs="Arial" w:eastAsia="Arial" w:hAnsi="Arial"/>
          <w:sz w:val="19"/>
          <w:szCs w:val="19"/>
          <w:u w:val="single" w:color="auto"/>
          <w:color w:val="auto"/>
        </w:rPr>
        <w:t>Compensation.</w:t>
      </w:r>
    </w:p>
    <w:p>
      <w:pPr>
        <w:spacing w:after="0" w:line="192" w:lineRule="exact"/>
        <w:rPr>
          <w:rFonts w:ascii="Arial" w:cs="Arial" w:eastAsia="Arial" w:hAnsi="Arial"/>
          <w:sz w:val="19"/>
          <w:szCs w:val="19"/>
          <w:color w:val="auto"/>
        </w:rPr>
      </w:pPr>
    </w:p>
    <w:p>
      <w:pPr>
        <w:jc w:val="both"/>
        <w:ind w:firstLine="1278"/>
        <w:spacing w:after="0" w:line="227" w:lineRule="auto"/>
        <w:tabs>
          <w:tab w:leader="none" w:pos="1907"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Salary</w:t>
      </w:r>
      <w:r>
        <w:rPr>
          <w:rFonts w:ascii="Arial" w:cs="Arial" w:eastAsia="Arial" w:hAnsi="Arial"/>
          <w:sz w:val="19"/>
          <w:szCs w:val="19"/>
          <w:color w:val="auto"/>
        </w:rPr>
        <w:t>. The Company shall pay you base salary (as may be increased, “Salary”) at a rate of Two Million Seven Hundred Fifty Thousand Dollars ($2,750,000) per year for all of your services as an employee. Your Salary shall be subject to merit reviews, on or about an annual basis, while you are actively employed during the Contract Period and may, at that time, be increased but not decreased. Your Salary, less deductions and income and payroll tax withholding as may be required under applicable law, shall be payable in accordance with the Company’s ordinary payroll policy, but no less frequently than monthly.</w:t>
      </w:r>
    </w:p>
    <w:p>
      <w:pPr>
        <w:spacing w:after="0" w:line="145" w:lineRule="exact"/>
        <w:rPr>
          <w:rFonts w:ascii="Arial" w:cs="Arial" w:eastAsia="Arial" w:hAnsi="Arial"/>
          <w:sz w:val="19"/>
          <w:szCs w:val="19"/>
          <w:color w:val="auto"/>
        </w:rPr>
      </w:pPr>
    </w:p>
    <w:p>
      <w:pPr>
        <w:ind w:firstLine="1278"/>
        <w:spacing w:after="0" w:line="259" w:lineRule="auto"/>
        <w:tabs>
          <w:tab w:leader="none" w:pos="1907"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Annual Bonus</w:t>
      </w:r>
      <w:r>
        <w:rPr>
          <w:rFonts w:ascii="Arial" w:cs="Arial" w:eastAsia="Arial" w:hAnsi="Arial"/>
          <w:sz w:val="19"/>
          <w:szCs w:val="19"/>
          <w:color w:val="auto"/>
        </w:rPr>
        <w:t>. You also shall be eligible to earn a bonus (“</w:t>
      </w:r>
      <w:r>
        <w:rPr>
          <w:rFonts w:ascii="Arial" w:cs="Arial" w:eastAsia="Arial" w:hAnsi="Arial"/>
          <w:sz w:val="19"/>
          <w:szCs w:val="19"/>
          <w:u w:val="single" w:color="auto"/>
          <w:color w:val="auto"/>
        </w:rPr>
        <w:t>Bonus</w:t>
      </w:r>
      <w:r>
        <w:rPr>
          <w:rFonts w:ascii="Arial" w:cs="Arial" w:eastAsia="Arial" w:hAnsi="Arial"/>
          <w:sz w:val="19"/>
          <w:szCs w:val="19"/>
          <w:color w:val="auto"/>
        </w:rPr>
        <w:t>”) or a Pro-Rated Bonus (as defined in paragraph 19(e)(ii)), as applicable, determined as set forth below and in paragraph 19(e)(ii).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-7620</wp:posOffset>
            </wp:positionV>
            <wp:extent cx="6461760" cy="8667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0">
                      <a:extLst>
                        <a:ext uri="{28A0092B-C50C-407E-A947-70E740481C1C}"/>
                      </a:extLst>
                    </a:blip>
                    <a:srcRect/>
                    <a:stretch>
                      <a:fillRect/>
                    </a:stretch>
                  </pic:blipFill>
                  <pic:spPr bwMode="auto">
                    <a:xfrm>
                      <a:off x="0" y="0"/>
                      <a:ext cx="6461760" cy="86677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56" w:name="page157"/>
    <w:bookmarkEnd w:id="156"/>
    <w:p>
      <w:pPr>
        <w:spacing w:after="0"/>
        <w:rPr>
          <w:sz w:val="20"/>
          <w:szCs w:val="20"/>
          <w:color w:val="auto"/>
        </w:rPr>
      </w:pPr>
      <w:r>
        <w:rPr>
          <w:rFonts w:ascii="Arial" w:cs="Arial" w:eastAsia="Arial" w:hAnsi="Arial"/>
          <w:sz w:val="19"/>
          <w:szCs w:val="19"/>
          <w:color w:val="auto"/>
        </w:rPr>
        <w:t>Mr. Chris McCarthy</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As of January 1, 2023</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1920" w:hanging="642"/>
        <w:spacing w:after="0" w:line="234" w:lineRule="auto"/>
        <w:tabs>
          <w:tab w:leader="none" w:pos="1907" w:val="left"/>
        </w:tabs>
        <w:numPr>
          <w:ilvl w:val="0"/>
          <w:numId w:val="81"/>
        </w:numPr>
        <w:rPr>
          <w:rFonts w:ascii="Arial" w:cs="Arial" w:eastAsia="Arial" w:hAnsi="Arial"/>
          <w:sz w:val="19"/>
          <w:szCs w:val="19"/>
          <w:color w:val="auto"/>
        </w:rPr>
      </w:pPr>
      <w:r>
        <w:rPr>
          <w:rFonts w:ascii="Arial" w:cs="Arial" w:eastAsia="Arial" w:hAnsi="Arial"/>
          <w:sz w:val="19"/>
          <w:szCs w:val="19"/>
          <w:color w:val="auto"/>
        </w:rPr>
        <w:t>Your Bonus for each Company fiscal year, regardless of whether such fiscal year is a 12-month period or a shorter period of time, shall be determined in accordance with the Company’s annual bonus plan in effect from time to time, as determined by the Board or a committee of the Board (the “</w:t>
      </w:r>
      <w:r>
        <w:rPr>
          <w:rFonts w:ascii="Arial" w:cs="Arial" w:eastAsia="Arial" w:hAnsi="Arial"/>
          <w:sz w:val="19"/>
          <w:szCs w:val="19"/>
          <w:u w:val="single" w:color="auto"/>
          <w:color w:val="auto"/>
        </w:rPr>
        <w:t>STIP</w:t>
      </w:r>
      <w:r>
        <w:rPr>
          <w:rFonts w:ascii="Arial" w:cs="Arial" w:eastAsia="Arial" w:hAnsi="Arial"/>
          <w:sz w:val="19"/>
          <w:szCs w:val="19"/>
          <w:color w:val="auto"/>
        </w:rPr>
        <w:t>”).</w:t>
      </w:r>
    </w:p>
    <w:p>
      <w:pPr>
        <w:spacing w:after="0" w:line="155" w:lineRule="exact"/>
        <w:rPr>
          <w:rFonts w:ascii="Arial" w:cs="Arial" w:eastAsia="Arial" w:hAnsi="Arial"/>
          <w:sz w:val="19"/>
          <w:szCs w:val="19"/>
          <w:color w:val="auto"/>
        </w:rPr>
      </w:pPr>
    </w:p>
    <w:p>
      <w:pPr>
        <w:jc w:val="both"/>
        <w:ind w:left="1920" w:hanging="642"/>
        <w:spacing w:after="0" w:line="230" w:lineRule="auto"/>
        <w:tabs>
          <w:tab w:leader="none" w:pos="1910" w:val="left"/>
        </w:tabs>
        <w:numPr>
          <w:ilvl w:val="0"/>
          <w:numId w:val="81"/>
        </w:numPr>
        <w:rPr>
          <w:rFonts w:ascii="Arial" w:cs="Arial" w:eastAsia="Arial" w:hAnsi="Arial"/>
          <w:sz w:val="19"/>
          <w:szCs w:val="19"/>
          <w:color w:val="auto"/>
        </w:rPr>
      </w:pPr>
      <w:r>
        <w:rPr>
          <w:rFonts w:ascii="Arial" w:cs="Arial" w:eastAsia="Arial" w:hAnsi="Arial"/>
          <w:sz w:val="19"/>
          <w:szCs w:val="19"/>
          <w:color w:val="auto"/>
        </w:rPr>
        <w:t>Your target Bonus for each Company fiscal year during the Contract Period shall be 125% of your Salary (your “</w:t>
      </w:r>
      <w:r>
        <w:rPr>
          <w:rFonts w:ascii="Arial" w:cs="Arial" w:eastAsia="Arial" w:hAnsi="Arial"/>
          <w:sz w:val="19"/>
          <w:szCs w:val="19"/>
          <w:u w:val="single" w:color="auto"/>
          <w:color w:val="auto"/>
        </w:rPr>
        <w:t>Target Bonus</w:t>
      </w:r>
      <w:r>
        <w:rPr>
          <w:rFonts w:ascii="Arial" w:cs="Arial" w:eastAsia="Arial" w:hAnsi="Arial"/>
          <w:sz w:val="19"/>
          <w:szCs w:val="19"/>
          <w:color w:val="auto"/>
        </w:rPr>
        <w:t>”) and shall be adjusted based on the Company’s performance (the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Performance Factor</w:t>
      </w:r>
      <w:r>
        <w:rPr>
          <w:rFonts w:ascii="Arial" w:cs="Arial" w:eastAsia="Arial" w:hAnsi="Arial"/>
          <w:sz w:val="19"/>
          <w:szCs w:val="19"/>
          <w:color w:val="auto"/>
        </w:rPr>
        <w:t>”) and your individual performance (the “</w:t>
      </w:r>
      <w:r>
        <w:rPr>
          <w:rFonts w:ascii="Arial" w:cs="Arial" w:eastAsia="Arial" w:hAnsi="Arial"/>
          <w:sz w:val="19"/>
          <w:szCs w:val="19"/>
          <w:u w:val="single" w:color="auto"/>
          <w:color w:val="auto"/>
        </w:rPr>
        <w:t>Individual Performance Factor</w:t>
      </w:r>
      <w:r>
        <w:rPr>
          <w:rFonts w:ascii="Arial" w:cs="Arial" w:eastAsia="Arial" w:hAnsi="Arial"/>
          <w:sz w:val="19"/>
          <w:szCs w:val="19"/>
          <w:color w:val="auto"/>
        </w:rPr>
        <w:t>”), in each case as determined by the Company and as further provided in the STIP.</w:t>
      </w:r>
    </w:p>
    <w:p>
      <w:pPr>
        <w:spacing w:after="0" w:line="156" w:lineRule="exact"/>
        <w:rPr>
          <w:sz w:val="20"/>
          <w:szCs w:val="20"/>
          <w:color w:val="auto"/>
        </w:rPr>
      </w:pPr>
    </w:p>
    <w:p>
      <w:pPr>
        <w:jc w:val="both"/>
        <w:ind w:firstLine="1278"/>
        <w:spacing w:after="0" w:line="225" w:lineRule="auto"/>
        <w:tabs>
          <w:tab w:leader="none" w:pos="1896"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Long-Term Incentive Compensation</w:t>
      </w:r>
      <w:r>
        <w:rPr>
          <w:rFonts w:ascii="Arial" w:cs="Arial" w:eastAsia="Arial" w:hAnsi="Arial"/>
          <w:sz w:val="19"/>
          <w:szCs w:val="19"/>
          <w:color w:val="auto"/>
        </w:rPr>
        <w:t>. During your employment under this Agreement, you shall be eligible to participate in the Company’s equity incentive plan as in effect from time to time, at a level appropriate to your position and individual performance as determined by the Board or a committee of the Board, in its discretion, with an expected annual target value of Five Million Dollars ($5,000,000) per annum, comprised of one or more types of equity awards determined by the Board or a committee of the Board. For the avoidance of doubt, this target amount will be in effect beginning with the 2023 fiscal year grant.</w:t>
      </w:r>
    </w:p>
    <w:p>
      <w:pPr>
        <w:spacing w:after="0" w:line="155" w:lineRule="exact"/>
        <w:rPr>
          <w:rFonts w:ascii="Arial" w:cs="Arial" w:eastAsia="Arial" w:hAnsi="Arial"/>
          <w:sz w:val="19"/>
          <w:szCs w:val="19"/>
          <w:color w:val="auto"/>
        </w:rPr>
      </w:pPr>
    </w:p>
    <w:p>
      <w:pPr>
        <w:jc w:val="both"/>
        <w:ind w:firstLine="1278"/>
        <w:spacing w:after="0" w:line="227" w:lineRule="auto"/>
        <w:tabs>
          <w:tab w:leader="none" w:pos="1907"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Compensation During Short-Term Disability</w:t>
      </w:r>
      <w:r>
        <w:rPr>
          <w:rFonts w:ascii="Arial" w:cs="Arial" w:eastAsia="Arial" w:hAnsi="Arial"/>
          <w:sz w:val="19"/>
          <w:szCs w:val="19"/>
          <w:color w:val="auto"/>
        </w:rPr>
        <w:t>. Your compensation for any period that you are absent due to a short-term disability (“</w:t>
      </w:r>
      <w:r>
        <w:rPr>
          <w:rFonts w:ascii="Arial" w:cs="Arial" w:eastAsia="Arial" w:hAnsi="Arial"/>
          <w:sz w:val="19"/>
          <w:szCs w:val="19"/>
          <w:u w:val="single" w:color="auto"/>
          <w:color w:val="auto"/>
        </w:rPr>
        <w:t>STD</w:t>
      </w:r>
      <w:r>
        <w:rPr>
          <w:rFonts w:ascii="Arial" w:cs="Arial" w:eastAsia="Arial" w:hAnsi="Arial"/>
          <w:sz w:val="19"/>
          <w:szCs w:val="19"/>
          <w:color w:val="auto"/>
        </w:rPr>
        <w:t>”) and are receiving compensation under a Company STD plan shall be determined in accordance with the terms of such STD plan. The compensation provided to you under the applicable STD plan shall be in lieu of the Salary provided under this Agreement. Your participation in any other Company benefit plans or programs during the STD period shall be governed by the terms of the applicable plan or program documents, award agreements and certificates.</w:t>
      </w:r>
    </w:p>
    <w:p>
      <w:pPr>
        <w:spacing w:after="0" w:line="145" w:lineRule="exact"/>
        <w:rPr>
          <w:rFonts w:ascii="Arial" w:cs="Arial" w:eastAsia="Arial" w:hAnsi="Arial"/>
          <w:sz w:val="19"/>
          <w:szCs w:val="19"/>
          <w:color w:val="auto"/>
        </w:rPr>
      </w:pPr>
    </w:p>
    <w:p>
      <w:pPr>
        <w:jc w:val="both"/>
        <w:ind w:firstLine="1516"/>
        <w:spacing w:after="0" w:line="230" w:lineRule="auto"/>
        <w:tabs>
          <w:tab w:leader="none" w:pos="1898" w:val="left"/>
        </w:tabs>
        <w:numPr>
          <w:ilvl w:val="1"/>
          <w:numId w:val="82"/>
        </w:numPr>
        <w:rPr>
          <w:rFonts w:ascii="Arial" w:cs="Arial" w:eastAsia="Arial" w:hAnsi="Arial"/>
          <w:sz w:val="19"/>
          <w:szCs w:val="19"/>
          <w:color w:val="auto"/>
        </w:rPr>
      </w:pPr>
      <w:r>
        <w:rPr>
          <w:rFonts w:ascii="Arial" w:cs="Arial" w:eastAsia="Arial" w:hAnsi="Arial"/>
          <w:sz w:val="19"/>
          <w:szCs w:val="19"/>
          <w:u w:val="single" w:color="auto"/>
          <w:color w:val="auto"/>
        </w:rPr>
        <w:t>Benefits</w:t>
      </w:r>
      <w:r>
        <w:rPr>
          <w:rFonts w:ascii="Arial" w:cs="Arial" w:eastAsia="Arial" w:hAnsi="Arial"/>
          <w:sz w:val="19"/>
          <w:szCs w:val="19"/>
          <w:color w:val="auto"/>
        </w:rPr>
        <w:t>. During your employment under this Agreement, you shall be eligible to participate in any vacation programs, medical and dental plans and life insurance plans, STD and long-term disability (“LTD”) plans, retirement and other employee benefit plans the Company may have, establish or maintain from time to time and for which you qualify pursuant to the terms of the applicable plan.</w:t>
      </w:r>
    </w:p>
    <w:p>
      <w:pPr>
        <w:spacing w:after="0" w:line="156" w:lineRule="exact"/>
        <w:rPr>
          <w:rFonts w:ascii="Arial" w:cs="Arial" w:eastAsia="Arial" w:hAnsi="Arial"/>
          <w:sz w:val="19"/>
          <w:szCs w:val="19"/>
          <w:color w:val="auto"/>
        </w:rPr>
      </w:pPr>
    </w:p>
    <w:p>
      <w:pPr>
        <w:jc w:val="both"/>
        <w:ind w:firstLine="1516"/>
        <w:spacing w:after="0" w:line="234" w:lineRule="auto"/>
        <w:tabs>
          <w:tab w:leader="none" w:pos="1898" w:val="left"/>
        </w:tabs>
        <w:numPr>
          <w:ilvl w:val="1"/>
          <w:numId w:val="82"/>
        </w:numPr>
        <w:rPr>
          <w:rFonts w:ascii="Arial" w:cs="Arial" w:eastAsia="Arial" w:hAnsi="Arial"/>
          <w:sz w:val="19"/>
          <w:szCs w:val="19"/>
          <w:color w:val="auto"/>
        </w:rPr>
      </w:pPr>
      <w:r>
        <w:rPr>
          <w:rFonts w:ascii="Arial" w:cs="Arial" w:eastAsia="Arial" w:hAnsi="Arial"/>
          <w:sz w:val="19"/>
          <w:szCs w:val="19"/>
          <w:u w:val="single" w:color="auto"/>
          <w:color w:val="auto"/>
        </w:rPr>
        <w:t>Business Expenses</w:t>
      </w:r>
      <w:r>
        <w:rPr>
          <w:rFonts w:ascii="Arial" w:cs="Arial" w:eastAsia="Arial" w:hAnsi="Arial"/>
          <w:sz w:val="19"/>
          <w:szCs w:val="19"/>
          <w:color w:val="auto"/>
        </w:rPr>
        <w:t>. During your employment under this Agreement, the Company shall reimburse you for such reasonable travel and other expenses, incurred in the performance of your duties in accordance with the Company’s policies, as are customarily reimbursed to Company executives at comparable levels.</w:t>
      </w:r>
    </w:p>
    <w:p>
      <w:pPr>
        <w:spacing w:after="0" w:line="155" w:lineRule="exact"/>
        <w:rPr>
          <w:rFonts w:ascii="Arial" w:cs="Arial" w:eastAsia="Arial" w:hAnsi="Arial"/>
          <w:sz w:val="19"/>
          <w:szCs w:val="19"/>
          <w:color w:val="auto"/>
        </w:rPr>
      </w:pPr>
    </w:p>
    <w:p>
      <w:pPr>
        <w:ind w:left="1900" w:hanging="384"/>
        <w:spacing w:after="0"/>
        <w:tabs>
          <w:tab w:leader="none" w:pos="1900" w:val="left"/>
        </w:tabs>
        <w:numPr>
          <w:ilvl w:val="1"/>
          <w:numId w:val="82"/>
        </w:numPr>
        <w:rPr>
          <w:rFonts w:ascii="Arial" w:cs="Arial" w:eastAsia="Arial" w:hAnsi="Arial"/>
          <w:sz w:val="19"/>
          <w:szCs w:val="19"/>
          <w:color w:val="auto"/>
        </w:rPr>
      </w:pPr>
      <w:r>
        <w:rPr>
          <w:rFonts w:ascii="Arial" w:cs="Arial" w:eastAsia="Arial" w:hAnsi="Arial"/>
          <w:sz w:val="19"/>
          <w:szCs w:val="19"/>
          <w:u w:val="single" w:color="auto"/>
          <w:color w:val="auto"/>
        </w:rPr>
        <w:t>Non-Competition and Non-Solicitation.</w:t>
      </w:r>
    </w:p>
    <w:p>
      <w:pPr>
        <w:spacing w:after="0" w:line="179" w:lineRule="exact"/>
        <w:rPr>
          <w:sz w:val="20"/>
          <w:szCs w:val="20"/>
          <w:color w:val="auto"/>
        </w:rPr>
      </w:pPr>
    </w:p>
    <w:p>
      <w:pPr>
        <w:ind w:left="1920" w:hanging="642"/>
        <w:spacing w:after="0"/>
        <w:tabs>
          <w:tab w:leader="none" w:pos="1920"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w:t>
      </w:r>
    </w:p>
    <w:p>
      <w:pPr>
        <w:spacing w:after="0" w:line="192" w:lineRule="exact"/>
        <w:rPr>
          <w:sz w:val="20"/>
          <w:szCs w:val="20"/>
          <w:color w:val="auto"/>
        </w:rPr>
      </w:pPr>
    </w:p>
    <w:p>
      <w:pPr>
        <w:jc w:val="both"/>
        <w:ind w:left="1920" w:hanging="642"/>
        <w:spacing w:after="0"/>
        <w:tabs>
          <w:tab w:leader="none" w:pos="1907" w:val="left"/>
        </w:tabs>
        <w:numPr>
          <w:ilvl w:val="0"/>
          <w:numId w:val="84"/>
        </w:numPr>
        <w:rPr>
          <w:rFonts w:ascii="Arial" w:cs="Arial" w:eastAsia="Arial" w:hAnsi="Arial"/>
          <w:sz w:val="19"/>
          <w:szCs w:val="19"/>
          <w:color w:val="auto"/>
        </w:rPr>
      </w:pPr>
      <w:r>
        <w:rPr>
          <w:rFonts w:ascii="Arial" w:cs="Arial" w:eastAsia="Arial" w:hAnsi="Arial"/>
          <w:sz w:val="19"/>
          <w:szCs w:val="19"/>
          <w:color w:val="auto"/>
        </w:rPr>
        <w:t>Your employment with the Company is on an exclusive and full-time basis, and while you are employed by the Company, you shall not engage in any other business activity which is in conflict with your duties and obligations (including your commitment of time) to the Company. During the Non-Competition Period, you shall not directly or indirectly engage in or participate as an owner, partner, holder or beneficiary of stock, stock</w:t>
      </w:r>
    </w:p>
    <w:p>
      <w:pPr>
        <w:sectPr>
          <w:pgSz w:w="11900" w:h="16838" w:orient="portrait"/>
          <w:cols w:equalWidth="0" w:num="1">
            <w:col w:w="11240"/>
          </w:cols>
          <w:pgMar w:left="320" w:top="595" w:right="339" w:bottom="1440" w:gutter="0" w:footer="0" w:header="0"/>
        </w:sectPr>
      </w:pPr>
    </w:p>
    <w:bookmarkStart w:id="157" w:name="page158"/>
    <w:bookmarkEnd w:id="157"/>
    <w:p>
      <w:pPr>
        <w:spacing w:after="0"/>
        <w:rPr>
          <w:sz w:val="20"/>
          <w:szCs w:val="20"/>
          <w:color w:val="auto"/>
        </w:rPr>
      </w:pPr>
      <w:r>
        <w:rPr>
          <w:rFonts w:ascii="Arial" w:cs="Arial" w:eastAsia="Arial" w:hAnsi="Arial"/>
          <w:sz w:val="19"/>
          <w:szCs w:val="19"/>
          <w:color w:val="auto"/>
        </w:rPr>
        <w:t>Mr. Chris McCarthy</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As of January 1, 2023</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920"/>
        <w:spacing w:after="0"/>
        <w:rPr>
          <w:sz w:val="20"/>
          <w:szCs w:val="20"/>
          <w:color w:val="auto"/>
        </w:rPr>
      </w:pPr>
      <w:r>
        <w:rPr>
          <w:rFonts w:ascii="Arial" w:cs="Arial" w:eastAsia="Arial" w:hAnsi="Arial"/>
          <w:sz w:val="19"/>
          <w:szCs w:val="19"/>
          <w:color w:val="auto"/>
        </w:rPr>
        <w:t>options or other equity interest, officer, employee, director, manager, partner or agent of, or consultant for,</w:t>
      </w:r>
    </w:p>
    <w:p>
      <w:pPr>
        <w:ind w:left="1920"/>
        <w:spacing w:after="0" w:line="211" w:lineRule="auto"/>
        <w:rPr>
          <w:sz w:val="20"/>
          <w:szCs w:val="20"/>
          <w:color w:val="auto"/>
        </w:rPr>
      </w:pPr>
      <w:r>
        <w:rPr>
          <w:rFonts w:ascii="Arial" w:cs="Arial" w:eastAsia="Arial" w:hAnsi="Arial"/>
          <w:sz w:val="19"/>
          <w:szCs w:val="19"/>
          <w:color w:val="auto"/>
        </w:rPr>
        <w:t>any business competitive with any business of the Company without the prior written consent of the Company. This provision shall not limit your right to own and have options or other rights to purchase not</w:t>
      </w:r>
    </w:p>
    <w:p>
      <w:pPr>
        <w:ind w:left="1920"/>
        <w:spacing w:after="0" w:line="218" w:lineRule="auto"/>
        <w:rPr>
          <w:sz w:val="20"/>
          <w:szCs w:val="20"/>
          <w:color w:val="auto"/>
        </w:rPr>
      </w:pPr>
      <w:r>
        <w:rPr>
          <w:rFonts w:ascii="Arial" w:cs="Arial" w:eastAsia="Arial" w:hAnsi="Arial"/>
          <w:sz w:val="19"/>
          <w:szCs w:val="19"/>
          <w:color w:val="auto"/>
        </w:rPr>
        <w:t>more than one percent (1%) of any of the debt or equity securities of any business organization that is then</w:t>
      </w:r>
    </w:p>
    <w:p>
      <w:pPr>
        <w:ind w:left="1920"/>
        <w:spacing w:after="0" w:line="211" w:lineRule="auto"/>
        <w:rPr>
          <w:sz w:val="20"/>
          <w:szCs w:val="20"/>
          <w:color w:val="auto"/>
        </w:rPr>
      </w:pPr>
      <w:r>
        <w:rPr>
          <w:rFonts w:ascii="Arial" w:cs="Arial" w:eastAsia="Arial" w:hAnsi="Arial"/>
          <w:sz w:val="19"/>
          <w:szCs w:val="19"/>
          <w:color w:val="auto"/>
        </w:rPr>
        <w:t>filing reports with the Securities and Exchange Commission pursuant to Section 13 or 15(d) of the Securities Exchange Act of 1934, as amended, unless such ownership constitutes a significant portion of your net</w:t>
      </w:r>
    </w:p>
    <w:p>
      <w:pPr>
        <w:ind w:left="1920"/>
        <w:spacing w:after="0"/>
        <w:rPr>
          <w:sz w:val="20"/>
          <w:szCs w:val="20"/>
          <w:color w:val="auto"/>
        </w:rPr>
      </w:pPr>
      <w:r>
        <w:rPr>
          <w:rFonts w:ascii="Arial" w:cs="Arial" w:eastAsia="Arial" w:hAnsi="Arial"/>
          <w:sz w:val="19"/>
          <w:szCs w:val="19"/>
          <w:color w:val="auto"/>
        </w:rPr>
        <w:t>worth.</w:t>
      </w:r>
    </w:p>
    <w:p>
      <w:pPr>
        <w:spacing w:after="0" w:line="174" w:lineRule="exact"/>
        <w:rPr>
          <w:sz w:val="20"/>
          <w:szCs w:val="20"/>
          <w:color w:val="auto"/>
        </w:rPr>
      </w:pPr>
    </w:p>
    <w:p>
      <w:pPr>
        <w:ind w:left="1920" w:hanging="642"/>
        <w:spacing w:after="0" w:line="244" w:lineRule="auto"/>
        <w:tabs>
          <w:tab w:leader="none" w:pos="1910"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Non-Competition Period</w:t>
      </w:r>
      <w:r>
        <w:rPr>
          <w:rFonts w:ascii="Arial" w:cs="Arial" w:eastAsia="Arial" w:hAnsi="Arial"/>
          <w:sz w:val="19"/>
          <w:szCs w:val="19"/>
          <w:color w:val="auto"/>
        </w:rPr>
        <w:t>” begins on the Effective Date and ends on the last day of the Contract Period, provided that:</w:t>
      </w:r>
    </w:p>
    <w:p>
      <w:pPr>
        <w:spacing w:after="0" w:line="165" w:lineRule="exact"/>
        <w:rPr>
          <w:rFonts w:ascii="Arial" w:cs="Arial" w:eastAsia="Arial" w:hAnsi="Arial"/>
          <w:sz w:val="19"/>
          <w:szCs w:val="19"/>
          <w:color w:val="auto"/>
        </w:rPr>
      </w:pPr>
    </w:p>
    <w:p>
      <w:pPr>
        <w:jc w:val="both"/>
        <w:ind w:left="2560" w:hanging="646"/>
        <w:spacing w:after="0" w:line="222" w:lineRule="auto"/>
        <w:tabs>
          <w:tab w:leader="none" w:pos="2557" w:val="left"/>
        </w:tabs>
        <w:numPr>
          <w:ilvl w:val="1"/>
          <w:numId w:val="85"/>
        </w:numPr>
        <w:rPr>
          <w:rFonts w:ascii="Arial" w:cs="Arial" w:eastAsia="Arial" w:hAnsi="Arial"/>
          <w:sz w:val="21"/>
          <w:szCs w:val="21"/>
          <w:color w:val="auto"/>
        </w:rPr>
      </w:pPr>
      <w:r>
        <w:rPr>
          <w:rFonts w:ascii="Arial" w:cs="Arial" w:eastAsia="Arial" w:hAnsi="Arial"/>
          <w:sz w:val="19"/>
          <w:szCs w:val="19"/>
          <w:color w:val="auto"/>
        </w:rPr>
        <w:t>If the Company terminates your employment without Cause or you resign with Good Reason before the end of the Contract Period, then the Non-Competition Period shall end on the earlier of (i) the end of the period in which you are receiving payments pursuant to paragraph 11(c)(i) or (ii) the effective date of your waiver in writing of any right to receive or continue to receive compensation and benefits under paragraph 11. You shall be deemed to have irrevocably provided such waiver if you accept competing employment.</w:t>
      </w:r>
    </w:p>
    <w:p>
      <w:pPr>
        <w:spacing w:after="0" w:line="157" w:lineRule="exact"/>
        <w:rPr>
          <w:rFonts w:ascii="Arial" w:cs="Arial" w:eastAsia="Arial" w:hAnsi="Arial"/>
          <w:sz w:val="21"/>
          <w:szCs w:val="21"/>
          <w:color w:val="auto"/>
        </w:rPr>
      </w:pPr>
    </w:p>
    <w:p>
      <w:pPr>
        <w:jc w:val="both"/>
        <w:ind w:left="2560" w:hanging="646"/>
        <w:spacing w:after="0" w:line="231" w:lineRule="auto"/>
        <w:tabs>
          <w:tab w:leader="none" w:pos="2570" w:val="left"/>
        </w:tabs>
        <w:numPr>
          <w:ilvl w:val="1"/>
          <w:numId w:val="85"/>
        </w:numPr>
        <w:rPr>
          <w:rFonts w:ascii="Arial" w:cs="Arial" w:eastAsia="Arial" w:hAnsi="Arial"/>
          <w:sz w:val="21"/>
          <w:szCs w:val="21"/>
          <w:color w:val="auto"/>
        </w:rPr>
      </w:pPr>
      <w:r>
        <w:rPr>
          <w:rFonts w:ascii="Arial" w:cs="Arial" w:eastAsia="Arial" w:hAnsi="Arial"/>
          <w:sz w:val="19"/>
          <w:szCs w:val="19"/>
          <w:color w:val="auto"/>
        </w:rPr>
        <w:t>If the Company terminates your employment for Cause or you resign other than for Good Reason, the Non-Competition Period shall end on the earlier of (i) the last day of the Contract Period or (ii) eighteen (18) months after such termination or resignation.</w:t>
      </w:r>
    </w:p>
    <w:p>
      <w:pPr>
        <w:spacing w:after="0" w:line="155" w:lineRule="exact"/>
        <w:rPr>
          <w:sz w:val="20"/>
          <w:szCs w:val="20"/>
          <w:color w:val="auto"/>
        </w:rPr>
      </w:pPr>
    </w:p>
    <w:p>
      <w:pPr>
        <w:ind w:left="1920" w:hanging="642"/>
        <w:spacing w:after="0"/>
        <w:tabs>
          <w:tab w:leader="none" w:pos="1920"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Non-Solicitation</w:t>
      </w:r>
      <w:r>
        <w:rPr>
          <w:rFonts w:ascii="Arial" w:cs="Arial" w:eastAsia="Arial" w:hAnsi="Arial"/>
          <w:sz w:val="19"/>
          <w:szCs w:val="19"/>
          <w:color w:val="auto"/>
        </w:rPr>
        <w:t>.</w:t>
      </w:r>
    </w:p>
    <w:p>
      <w:pPr>
        <w:spacing w:after="0" w:line="179" w:lineRule="exact"/>
        <w:rPr>
          <w:sz w:val="20"/>
          <w:szCs w:val="20"/>
          <w:color w:val="auto"/>
        </w:rPr>
      </w:pPr>
    </w:p>
    <w:p>
      <w:pPr>
        <w:ind w:left="1920" w:hanging="642"/>
        <w:spacing w:after="0" w:line="259" w:lineRule="auto"/>
        <w:tabs>
          <w:tab w:leader="none" w:pos="1907" w:val="left"/>
        </w:tabs>
        <w:numPr>
          <w:ilvl w:val="0"/>
          <w:numId w:val="87"/>
        </w:numPr>
        <w:rPr>
          <w:rFonts w:ascii="Arial" w:cs="Arial" w:eastAsia="Arial" w:hAnsi="Arial"/>
          <w:sz w:val="19"/>
          <w:szCs w:val="19"/>
          <w:color w:val="auto"/>
        </w:rPr>
      </w:pPr>
      <w:r>
        <w:rPr>
          <w:rFonts w:ascii="Arial" w:cs="Arial" w:eastAsia="Arial" w:hAnsi="Arial"/>
          <w:sz w:val="19"/>
          <w:szCs w:val="19"/>
          <w:color w:val="auto"/>
        </w:rPr>
        <w:t>During the Non-Solicitation Period, you shall not directly or indirectly engage or attempt to engage in any of the following acts:</w:t>
      </w:r>
    </w:p>
    <w:p>
      <w:pPr>
        <w:spacing w:after="0" w:line="137" w:lineRule="exact"/>
        <w:rPr>
          <w:rFonts w:ascii="Arial" w:cs="Arial" w:eastAsia="Arial" w:hAnsi="Arial"/>
          <w:sz w:val="19"/>
          <w:szCs w:val="19"/>
          <w:color w:val="auto"/>
        </w:rPr>
      </w:pPr>
    </w:p>
    <w:p>
      <w:pPr>
        <w:ind w:left="2560" w:hanging="646"/>
        <w:spacing w:after="0" w:line="237" w:lineRule="auto"/>
        <w:tabs>
          <w:tab w:leader="none" w:pos="2557" w:val="left"/>
        </w:tabs>
        <w:numPr>
          <w:ilvl w:val="1"/>
          <w:numId w:val="87"/>
        </w:numPr>
        <w:rPr>
          <w:rFonts w:ascii="Arial" w:cs="Arial" w:eastAsia="Arial" w:hAnsi="Arial"/>
          <w:sz w:val="21"/>
          <w:szCs w:val="21"/>
          <w:color w:val="auto"/>
        </w:rPr>
      </w:pPr>
      <w:r>
        <w:rPr>
          <w:rFonts w:ascii="Arial" w:cs="Arial" w:eastAsia="Arial" w:hAnsi="Arial"/>
          <w:sz w:val="19"/>
          <w:szCs w:val="19"/>
          <w:color w:val="auto"/>
        </w:rPr>
        <w:t>Other than your assistant, employ or solicit the employment of any person who is then, or has been within six (6) months prior thereto, an employee of the Company; or</w:t>
      </w:r>
    </w:p>
    <w:p>
      <w:pPr>
        <w:spacing w:after="0" w:line="168" w:lineRule="exact"/>
        <w:rPr>
          <w:rFonts w:ascii="Arial" w:cs="Arial" w:eastAsia="Arial" w:hAnsi="Arial"/>
          <w:sz w:val="21"/>
          <w:szCs w:val="21"/>
          <w:color w:val="auto"/>
        </w:rPr>
      </w:pPr>
    </w:p>
    <w:p>
      <w:pPr>
        <w:jc w:val="both"/>
        <w:ind w:left="2560" w:hanging="646"/>
        <w:spacing w:after="0" w:line="224" w:lineRule="auto"/>
        <w:tabs>
          <w:tab w:leader="none" w:pos="2584" w:val="left"/>
        </w:tabs>
        <w:numPr>
          <w:ilvl w:val="1"/>
          <w:numId w:val="87"/>
        </w:numPr>
        <w:rPr>
          <w:rFonts w:ascii="Arial" w:cs="Arial" w:eastAsia="Arial" w:hAnsi="Arial"/>
          <w:sz w:val="21"/>
          <w:szCs w:val="21"/>
          <w:color w:val="auto"/>
        </w:rPr>
      </w:pPr>
      <w:r>
        <w:rPr>
          <w:rFonts w:ascii="Arial" w:cs="Arial" w:eastAsia="Arial" w:hAnsi="Arial"/>
          <w:sz w:val="19"/>
          <w:szCs w:val="19"/>
          <w:color w:val="auto"/>
        </w:rPr>
        <w:t>Interfere with, disturb or interrupt the relationships (whether or not such relationships have been reduced to formal contracts) of the Company with any customer, supplier, independent contractor, consultant, joint venture or other business partner (to the extent each of the limitations in this paragraph 6(b)(i)(2) is permitted by applicable law).</w:t>
      </w:r>
    </w:p>
    <w:p>
      <w:pPr>
        <w:spacing w:after="0" w:line="156" w:lineRule="exact"/>
        <w:rPr>
          <w:rFonts w:ascii="Arial" w:cs="Arial" w:eastAsia="Arial" w:hAnsi="Arial"/>
          <w:sz w:val="21"/>
          <w:szCs w:val="21"/>
          <w:color w:val="auto"/>
        </w:rPr>
      </w:pPr>
    </w:p>
    <w:p>
      <w:pPr>
        <w:jc w:val="both"/>
        <w:ind w:left="1920" w:hanging="642"/>
        <w:spacing w:after="0" w:line="234" w:lineRule="auto"/>
        <w:tabs>
          <w:tab w:leader="none" w:pos="1910"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Non-Solicitation Period</w:t>
      </w:r>
      <w:r>
        <w:rPr>
          <w:rFonts w:ascii="Arial" w:cs="Arial" w:eastAsia="Arial" w:hAnsi="Arial"/>
          <w:sz w:val="19"/>
          <w:szCs w:val="19"/>
          <w:color w:val="auto"/>
        </w:rPr>
        <w:t>” begins on the Effective Date and ends on the last day of the Contract Period, or, if longer, eighteen (18) months after the Company terminates your employment for Cause or you resign other than for Good Reason.</w:t>
      </w:r>
    </w:p>
    <w:p>
      <w:pPr>
        <w:sectPr>
          <w:pgSz w:w="11900" w:h="16838" w:orient="portrait"/>
          <w:cols w:equalWidth="0" w:num="1">
            <w:col w:w="11240"/>
          </w:cols>
          <w:pgMar w:left="320" w:top="595" w:right="339" w:bottom="1440" w:gutter="0" w:footer="0" w:header="0"/>
        </w:sectPr>
      </w:pPr>
    </w:p>
    <w:bookmarkStart w:id="158" w:name="page159"/>
    <w:bookmarkEnd w:id="158"/>
    <w:p>
      <w:pPr>
        <w:spacing w:after="0"/>
        <w:rPr>
          <w:sz w:val="20"/>
          <w:szCs w:val="20"/>
          <w:color w:val="auto"/>
        </w:rPr>
      </w:pPr>
      <w:r>
        <w:rPr>
          <w:rFonts w:ascii="Arial" w:cs="Arial" w:eastAsia="Arial" w:hAnsi="Arial"/>
          <w:sz w:val="19"/>
          <w:szCs w:val="19"/>
          <w:color w:val="auto"/>
        </w:rPr>
        <w:t>Mr. Chris McCarthy</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As of January 1, 2023</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1278"/>
        <w:spacing w:after="0" w:line="227" w:lineRule="auto"/>
        <w:tabs>
          <w:tab w:leader="none" w:pos="1896"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court determines that any portion of this paragraph 6 is invalid or unenforceable, the remainder of this paragraph 6 shall not thereby be affected and shall be given full effect without regard to the invalid provisions. If any court construes any of the provisions of this paragraph 6, or any part thereof, to be unreasonable because of the duration or scope of such provision, such court shall have the power to reduce the duration or scope of such provision and to enforce such provision as so reduced.</w:t>
      </w:r>
    </w:p>
    <w:p>
      <w:pPr>
        <w:spacing w:after="0" w:line="145" w:lineRule="exact"/>
        <w:rPr>
          <w:rFonts w:ascii="Arial" w:cs="Arial" w:eastAsia="Arial" w:hAnsi="Arial"/>
          <w:sz w:val="19"/>
          <w:szCs w:val="19"/>
          <w:color w:val="auto"/>
        </w:rPr>
      </w:pPr>
    </w:p>
    <w:p>
      <w:pPr>
        <w:ind w:left="1900" w:hanging="384"/>
        <w:spacing w:after="0"/>
        <w:tabs>
          <w:tab w:leader="none" w:pos="1900" w:val="left"/>
        </w:tabs>
        <w:numPr>
          <w:ilvl w:val="1"/>
          <w:numId w:val="88"/>
        </w:numPr>
        <w:rPr>
          <w:rFonts w:ascii="Arial" w:cs="Arial" w:eastAsia="Arial" w:hAnsi="Arial"/>
          <w:sz w:val="19"/>
          <w:szCs w:val="19"/>
          <w:color w:val="auto"/>
        </w:rPr>
      </w:pPr>
      <w:r>
        <w:rPr>
          <w:rFonts w:ascii="Arial" w:cs="Arial" w:eastAsia="Arial" w:hAnsi="Arial"/>
          <w:sz w:val="19"/>
          <w:szCs w:val="19"/>
          <w:u w:val="single" w:color="auto"/>
          <w:color w:val="auto"/>
        </w:rPr>
        <w:t>Confidentiality and Other Obligations.</w:t>
      </w:r>
    </w:p>
    <w:p>
      <w:pPr>
        <w:spacing w:after="0" w:line="192" w:lineRule="exact"/>
        <w:rPr>
          <w:sz w:val="20"/>
          <w:szCs w:val="20"/>
          <w:color w:val="auto"/>
        </w:rPr>
      </w:pPr>
    </w:p>
    <w:p>
      <w:pPr>
        <w:jc w:val="both"/>
        <w:ind w:firstLine="1278"/>
        <w:spacing w:after="0" w:line="226" w:lineRule="auto"/>
        <w:tabs>
          <w:tab w:leader="none" w:pos="1907"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You shall not use for any purpose or disclose to any third party any information relating to the Company, the Company’s clients or other parties with which the Company has a relationship, or that may provide the Company with a competitive advantage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other than (i) in the performance of your duties under this Agreement consistent with the Company’s or the Company's policies or (ii) as may otherwise be required by law or legal process; provided, however, that nothing in the foregoing prohibits you from reporting what you in good faith believe to be violations of federal law to any governmental agency you in good faith believe to have responsibility for enforcement of such law or from making any other disclosure that is protected under the whistleblower protections of federal law. Additionally, you hereby are notified that the immunity provisions in Section 1833 of title 18 of the United States Code provide that an individual cannot be held criminally or civilly liable under any federal or state trade secret law for any disclosure of a trade secret that is made (x) in confidence to federal, state or local government officials, either directly or indirectly, or to an attorney, and is solely for the purpose of reporting or investigating a suspected violation of the law, (y) under seal in a complaint or other document filed in a lawsuit or other proceeding or (z) to your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 Confidential Information shall include, without limitation, trade secrets; inventions (whether or not patentable); technology and business processes; business, product or marketing plans; negotiating strategies; sales and other forecasts; financial information; client lists or other intellectual property; information relating to compensation and benefits; public information that becomes proprietary as a result of the Company’s compilation of that information for use in its business; documents (including any electronic record, videotapes or audiotapes) and oral communications incorporating Confidential Information. You shall also comply with any and all confidentiality obligations of the Company to a third party of which you are aware, whether arising under a written agreement or otherwise. Information shall not be deemed Confidential Information if it is or becomes generally available to the public other than as a result of an unauthorized disclosure or action by you or at your direction.</w:t>
      </w:r>
    </w:p>
    <w:p>
      <w:pPr>
        <w:spacing w:after="0" w:line="157" w:lineRule="exact"/>
        <w:rPr>
          <w:rFonts w:ascii="Arial" w:cs="Arial" w:eastAsia="Arial" w:hAnsi="Arial"/>
          <w:sz w:val="19"/>
          <w:szCs w:val="19"/>
          <w:color w:val="auto"/>
        </w:rPr>
      </w:pPr>
    </w:p>
    <w:p>
      <w:pPr>
        <w:jc w:val="both"/>
        <w:ind w:firstLine="1278"/>
        <w:spacing w:after="0" w:line="227" w:lineRule="auto"/>
        <w:tabs>
          <w:tab w:leader="none" w:pos="1907"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Interviews, Speeches or Writings About The Company</w:t>
      </w:r>
      <w:r>
        <w:rPr>
          <w:rFonts w:ascii="Arial" w:cs="Arial" w:eastAsia="Arial" w:hAnsi="Arial"/>
          <w:sz w:val="19"/>
          <w:szCs w:val="19"/>
          <w:color w:val="auto"/>
        </w:rPr>
        <w:t>. Except in the performance of your duties under this Agreement consistent with the Company’s policies, you shall obtain the express authorization of the Company before (i) giving any speeches or interviews or (ii) preparing or assisting any person or entity in the preparation of any books, articles, radio broadcasts, electronic communications, television or motion picture productions or other creations, in either case concerning the Company or any of its respective businesses, officers, directors, agents, employees, suppliers or customers.</w:t>
      </w:r>
    </w:p>
    <w:p>
      <w:pPr>
        <w:spacing w:after="0" w:line="159" w:lineRule="exact"/>
        <w:rPr>
          <w:rFonts w:ascii="Arial" w:cs="Arial" w:eastAsia="Arial" w:hAnsi="Arial"/>
          <w:sz w:val="19"/>
          <w:szCs w:val="19"/>
          <w:color w:val="auto"/>
        </w:rPr>
      </w:pPr>
    </w:p>
    <w:p>
      <w:pPr>
        <w:ind w:firstLine="1278"/>
        <w:spacing w:after="0" w:line="244" w:lineRule="auto"/>
        <w:tabs>
          <w:tab w:leader="none" w:pos="1896"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You shall not, directly or indirectly, in any communications with any reporter, author, producer or any similar person or entity, the press or other media, or</w:t>
      </w:r>
    </w:p>
    <w:p>
      <w:pPr>
        <w:sectPr>
          <w:pgSz w:w="11900" w:h="16838" w:orient="portrait"/>
          <w:cols w:equalWidth="0" w:num="1">
            <w:col w:w="11240"/>
          </w:cols>
          <w:pgMar w:left="320" w:top="595" w:right="339" w:bottom="1440" w:gutter="0" w:footer="0" w:header="0"/>
        </w:sectPr>
      </w:pPr>
    </w:p>
    <w:bookmarkStart w:id="159" w:name="page160"/>
    <w:bookmarkEnd w:id="159"/>
    <w:p>
      <w:pPr>
        <w:spacing w:after="0"/>
        <w:rPr>
          <w:sz w:val="20"/>
          <w:szCs w:val="20"/>
          <w:color w:val="auto"/>
        </w:rPr>
      </w:pPr>
      <w:r>
        <w:rPr>
          <w:rFonts w:ascii="Arial" w:cs="Arial" w:eastAsia="Arial" w:hAnsi="Arial"/>
          <w:sz w:val="19"/>
          <w:szCs w:val="19"/>
          <w:color w:val="auto"/>
        </w:rPr>
        <w:t>Mr. Chris McCarthy</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As of January 1, 2023</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any customer, client or supplier of the Company, criticize, ridicule or make any statement which is negative, disparages or is derogatory of the Company or any of its directors or senior officers.</w:t>
      </w:r>
    </w:p>
    <w:p>
      <w:pPr>
        <w:spacing w:after="0" w:line="125" w:lineRule="exact"/>
        <w:rPr>
          <w:sz w:val="20"/>
          <w:szCs w:val="20"/>
          <w:color w:val="auto"/>
        </w:rPr>
      </w:pPr>
    </w:p>
    <w:p>
      <w:pPr>
        <w:jc w:val="both"/>
        <w:ind w:firstLine="1278"/>
        <w:spacing w:after="0" w:line="230" w:lineRule="auto"/>
        <w:tabs>
          <w:tab w:leader="none" w:pos="1907"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Scope and Duration.</w:t>
      </w:r>
      <w:r>
        <w:rPr>
          <w:rFonts w:ascii="Arial" w:cs="Arial" w:eastAsia="Arial" w:hAnsi="Arial"/>
          <w:sz w:val="19"/>
          <w:szCs w:val="19"/>
          <w:color w:val="auto"/>
        </w:rPr>
        <w:t xml:space="preserve"> The provisions of paragraph 7(a) shall be in effect during the Contract Period and at all times thereafter. The provisions of paragraphs 7(b) and 7(c) shall be in effect during the Contract Period and for one (1) year thereafter and such provisions shall apply to all formats and platforms now known or hereafter developed, whether written, printed, oral or electronic, including without limitation e-mails, “blogs”, internet sites, chat or news rooms, podcasts or any online forum.</w:t>
      </w:r>
    </w:p>
    <w:p>
      <w:pPr>
        <w:spacing w:after="0" w:line="156" w:lineRule="exact"/>
        <w:rPr>
          <w:rFonts w:ascii="Arial" w:cs="Arial" w:eastAsia="Arial" w:hAnsi="Arial"/>
          <w:sz w:val="19"/>
          <w:szCs w:val="19"/>
          <w:color w:val="auto"/>
        </w:rPr>
      </w:pPr>
    </w:p>
    <w:p>
      <w:pPr>
        <w:ind w:left="1900" w:hanging="384"/>
        <w:spacing w:after="0"/>
        <w:tabs>
          <w:tab w:leader="none" w:pos="1900" w:val="left"/>
        </w:tabs>
        <w:numPr>
          <w:ilvl w:val="1"/>
          <w:numId w:val="90"/>
        </w:numPr>
        <w:rPr>
          <w:rFonts w:ascii="Arial" w:cs="Arial" w:eastAsia="Arial" w:hAnsi="Arial"/>
          <w:sz w:val="19"/>
          <w:szCs w:val="19"/>
          <w:color w:val="auto"/>
        </w:rPr>
      </w:pPr>
      <w:r>
        <w:rPr>
          <w:rFonts w:ascii="Arial" w:cs="Arial" w:eastAsia="Arial" w:hAnsi="Arial"/>
          <w:sz w:val="19"/>
          <w:szCs w:val="19"/>
          <w:u w:val="single" w:color="auto"/>
          <w:color w:val="auto"/>
        </w:rPr>
        <w:t>Company Property</w:t>
      </w:r>
      <w:r>
        <w:rPr>
          <w:rFonts w:ascii="Arial" w:cs="Arial" w:eastAsia="Arial" w:hAnsi="Arial"/>
          <w:sz w:val="19"/>
          <w:szCs w:val="19"/>
          <w:color w:val="auto"/>
        </w:rPr>
        <w:t>.</w:t>
      </w:r>
    </w:p>
    <w:p>
      <w:pPr>
        <w:spacing w:after="0" w:line="192" w:lineRule="exact"/>
        <w:rPr>
          <w:sz w:val="20"/>
          <w:szCs w:val="20"/>
          <w:color w:val="auto"/>
        </w:rPr>
      </w:pPr>
    </w:p>
    <w:p>
      <w:pPr>
        <w:ind w:left="1920" w:hanging="642"/>
        <w:spacing w:after="0"/>
        <w:tabs>
          <w:tab w:leader="none" w:pos="1920"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Company Ownership</w:t>
      </w:r>
      <w:r>
        <w:rPr>
          <w:rFonts w:ascii="Arial" w:cs="Arial" w:eastAsia="Arial" w:hAnsi="Arial"/>
          <w:sz w:val="19"/>
          <w:szCs w:val="19"/>
          <w:color w:val="auto"/>
        </w:rPr>
        <w:t>.</w:t>
      </w:r>
    </w:p>
    <w:p>
      <w:pPr>
        <w:spacing w:after="0" w:line="179" w:lineRule="exact"/>
        <w:rPr>
          <w:sz w:val="20"/>
          <w:szCs w:val="20"/>
          <w:color w:val="auto"/>
        </w:rPr>
      </w:pPr>
    </w:p>
    <w:p>
      <w:pPr>
        <w:jc w:val="both"/>
        <w:ind w:left="1920" w:hanging="642"/>
        <w:spacing w:after="0" w:line="223" w:lineRule="auto"/>
        <w:tabs>
          <w:tab w:leader="none" w:pos="1907" w:val="left"/>
        </w:tabs>
        <w:numPr>
          <w:ilvl w:val="0"/>
          <w:numId w:val="92"/>
        </w:numPr>
        <w:rPr>
          <w:rFonts w:ascii="Arial" w:cs="Arial" w:eastAsia="Arial" w:hAnsi="Arial"/>
          <w:sz w:val="19"/>
          <w:szCs w:val="19"/>
          <w:color w:val="auto"/>
        </w:rPr>
      </w:pPr>
      <w:r>
        <w:rPr>
          <w:rFonts w:ascii="Arial" w:cs="Arial" w:eastAsia="Arial" w:hAnsi="Arial"/>
          <w:sz w:val="19"/>
          <w:szCs w:val="19"/>
          <w:color w:val="auto"/>
        </w:rPr>
        <w:t>The results and proceeds of your services to the Company, whether or not created during the Contract Period, including, without limitation, any works of authorship resulting from your services and any works in progress resulting from such services, shall be works-made-for-hire and the Company shall be deemed the sole owner throughout the universe of any and all rights of every nature in such works, with the right to use, license or dispose of the works in perpetuity in any manner the Company determines in its sole discretion without any further payment to you, whether such rights and means of use are now known or hereafter defined or discovered.</w:t>
      </w:r>
    </w:p>
    <w:p>
      <w:pPr>
        <w:spacing w:after="0" w:line="155" w:lineRule="exact"/>
        <w:rPr>
          <w:rFonts w:ascii="Arial" w:cs="Arial" w:eastAsia="Arial" w:hAnsi="Arial"/>
          <w:sz w:val="19"/>
          <w:szCs w:val="19"/>
          <w:color w:val="auto"/>
        </w:rPr>
      </w:pPr>
    </w:p>
    <w:p>
      <w:pPr>
        <w:jc w:val="both"/>
        <w:ind w:left="1920" w:hanging="642"/>
        <w:spacing w:after="0" w:line="220" w:lineRule="auto"/>
        <w:tabs>
          <w:tab w:leader="none" w:pos="1910" w:val="left"/>
        </w:tabs>
        <w:numPr>
          <w:ilvl w:val="0"/>
          <w:numId w:val="92"/>
        </w:numPr>
        <w:rPr>
          <w:rFonts w:ascii="Arial" w:cs="Arial" w:eastAsia="Arial" w:hAnsi="Arial"/>
          <w:sz w:val="19"/>
          <w:szCs w:val="19"/>
          <w:color w:val="auto"/>
        </w:rPr>
      </w:pPr>
      <w:r>
        <w:rPr>
          <w:rFonts w:ascii="Arial" w:cs="Arial" w:eastAsia="Arial" w:hAnsi="Arial"/>
          <w:sz w:val="19"/>
          <w:szCs w:val="19"/>
          <w:color w:val="auto"/>
        </w:rPr>
        <w:t>If, for any reason, any of the results and proceeds of your services to the Company are not legally deemed a work-made-for-hire and/or there are any rights in such results and proceeds which do not accrue to the Company under this paragraph 8(a), then you hereby irrevocably assign any and all of your right, title and interest thereto, including, without limitation, any and all copyrights, patents, trade secrets, trademarks and/or other rights of every nature in the work, and the Company shall have the sole right to use, license or dispose of the work in perpetuity throughout the universe in any manner the Company determines in its sole discretion without any further payment to you, whether such rights and means of use are now known or hereafter defined or discovered.</w:t>
      </w:r>
    </w:p>
    <w:p>
      <w:pPr>
        <w:spacing w:after="0" w:line="160" w:lineRule="exact"/>
        <w:rPr>
          <w:rFonts w:ascii="Arial" w:cs="Arial" w:eastAsia="Arial" w:hAnsi="Arial"/>
          <w:sz w:val="19"/>
          <w:szCs w:val="19"/>
          <w:color w:val="auto"/>
        </w:rPr>
      </w:pPr>
    </w:p>
    <w:p>
      <w:pPr>
        <w:jc w:val="both"/>
        <w:ind w:left="1920" w:hanging="642"/>
        <w:spacing w:after="0" w:line="222" w:lineRule="auto"/>
        <w:tabs>
          <w:tab w:leader="none" w:pos="1914" w:val="left"/>
        </w:tabs>
        <w:numPr>
          <w:ilvl w:val="0"/>
          <w:numId w:val="92"/>
        </w:numPr>
        <w:rPr>
          <w:rFonts w:ascii="Arial" w:cs="Arial" w:eastAsia="Arial" w:hAnsi="Arial"/>
          <w:sz w:val="19"/>
          <w:szCs w:val="19"/>
          <w:color w:val="auto"/>
        </w:rPr>
      </w:pPr>
      <w:r>
        <w:rPr>
          <w:rFonts w:ascii="Arial" w:cs="Arial" w:eastAsia="Arial" w:hAnsi="Arial"/>
          <w:sz w:val="19"/>
          <w:szCs w:val="19"/>
          <w:color w:val="auto"/>
        </w:rPr>
        <w:t>Upon request by the Company, whether or not during the Contract Period, you shall do any and all things which the Company may deem useful or desirable to establish or document the Company’s rights in the results and proceeds of your services to the Company, including, without limitation, the execution of appropriate copyright, trademark and/or patent applications, assignments or similar documents. You hereby irrevocably designate the General Counsel, Secretary or any Assistant Secretary of the Company as your attorney-in-fact with the power to take such action and execute such documents on your behalf. To the extent you have any rights in such results and proceeds that cannot be assigned as described above, you unconditionally and irrevocably waive the enforcement of such rights.</w:t>
      </w:r>
    </w:p>
    <w:p>
      <w:pPr>
        <w:sectPr>
          <w:pgSz w:w="11900" w:h="16838" w:orient="portrait"/>
          <w:cols w:equalWidth="0" w:num="1">
            <w:col w:w="11240"/>
          </w:cols>
          <w:pgMar w:left="320" w:top="595" w:right="339" w:bottom="1440" w:gutter="0" w:footer="0" w:header="0"/>
        </w:sectPr>
      </w:pPr>
    </w:p>
    <w:bookmarkStart w:id="160" w:name="page161"/>
    <w:bookmarkEnd w:id="160"/>
    <w:p>
      <w:pPr>
        <w:spacing w:after="0"/>
        <w:rPr>
          <w:sz w:val="20"/>
          <w:szCs w:val="20"/>
          <w:color w:val="auto"/>
        </w:rPr>
      </w:pPr>
      <w:r>
        <w:rPr>
          <w:rFonts w:ascii="Arial" w:cs="Arial" w:eastAsia="Arial" w:hAnsi="Arial"/>
          <w:sz w:val="19"/>
          <w:szCs w:val="19"/>
          <w:color w:val="auto"/>
        </w:rPr>
        <w:t>Mr. Chris McCarthy</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As of January 1, 2023</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1920" w:hanging="642"/>
        <w:spacing w:after="0"/>
        <w:tabs>
          <w:tab w:leader="none" w:pos="1911" w:val="left"/>
        </w:tabs>
        <w:numPr>
          <w:ilvl w:val="0"/>
          <w:numId w:val="93"/>
        </w:numPr>
        <w:rPr>
          <w:rFonts w:ascii="Arial" w:cs="Arial" w:eastAsia="Arial" w:hAnsi="Arial"/>
          <w:sz w:val="19"/>
          <w:szCs w:val="19"/>
          <w:color w:val="auto"/>
        </w:rPr>
      </w:pPr>
      <w:r>
        <w:rPr>
          <w:rFonts w:ascii="Arial" w:cs="Arial" w:eastAsia="Arial" w:hAnsi="Arial"/>
          <w:sz w:val="19"/>
          <w:szCs w:val="19"/>
          <w:color w:val="auto"/>
        </w:rPr>
        <w:t>The provisions of this paragraph 8(a) do not limit, restrict, or constitute a waiver by The Company of any ownership rights to which The Company may be entitled by operation of law by virtue of being your employer.</w:t>
      </w:r>
    </w:p>
    <w:p>
      <w:pPr>
        <w:spacing w:after="0" w:line="358" w:lineRule="exact"/>
        <w:rPr>
          <w:rFonts w:ascii="Arial" w:cs="Arial" w:eastAsia="Arial" w:hAnsi="Arial"/>
          <w:sz w:val="19"/>
          <w:szCs w:val="19"/>
          <w:color w:val="auto"/>
        </w:rPr>
      </w:pPr>
    </w:p>
    <w:p>
      <w:pPr>
        <w:jc w:val="both"/>
        <w:ind w:left="1920" w:hanging="642"/>
        <w:spacing w:after="0" w:line="227" w:lineRule="auto"/>
        <w:tabs>
          <w:tab w:leader="none" w:pos="1908" w:val="left"/>
        </w:tabs>
        <w:numPr>
          <w:ilvl w:val="0"/>
          <w:numId w:val="93"/>
        </w:numPr>
        <w:rPr>
          <w:rFonts w:ascii="Arial" w:cs="Arial" w:eastAsia="Arial" w:hAnsi="Arial"/>
          <w:sz w:val="19"/>
          <w:szCs w:val="19"/>
          <w:color w:val="auto"/>
        </w:rPr>
      </w:pPr>
      <w:r>
        <w:rPr>
          <w:rFonts w:ascii="Arial" w:cs="Arial" w:eastAsia="Arial" w:hAnsi="Arial"/>
          <w:sz w:val="19"/>
          <w:szCs w:val="19"/>
          <w:color w:val="auto"/>
        </w:rPr>
        <w:t>You and the Company acknowledge and understand that the provisions of this paragraph 8 requiring assignment of inventions to the Company do not apply to any invention which qualifies fully under the provisions of California Labor Code Section 2870, to the extent that such provision applies to you. You agree to advise the Company promptly in writing of any inventions that you believe meet the criteria in California Labor Code Section 2870.</w:t>
      </w:r>
    </w:p>
    <w:p>
      <w:pPr>
        <w:spacing w:after="0" w:line="146" w:lineRule="exact"/>
        <w:rPr>
          <w:sz w:val="20"/>
          <w:szCs w:val="20"/>
          <w:color w:val="auto"/>
        </w:rPr>
      </w:pPr>
    </w:p>
    <w:p>
      <w:pPr>
        <w:jc w:val="both"/>
        <w:ind w:firstLine="1278"/>
        <w:spacing w:after="0" w:line="230" w:lineRule="auto"/>
        <w:tabs>
          <w:tab w:leader="none" w:pos="1907"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Return of Property</w:t>
      </w:r>
      <w:r>
        <w:rPr>
          <w:rFonts w:ascii="Arial" w:cs="Arial" w:eastAsia="Arial" w:hAnsi="Arial"/>
          <w:sz w:val="19"/>
          <w:szCs w:val="19"/>
          <w:color w:val="auto"/>
        </w:rPr>
        <w:t>. With the exception of your personal or non-business files, all documents, data, recordings, or other property, whether tangible or intangible, including all information stored in electronic form, obtained or prepared by or for you and utilized by you in the course of your employment with the Company shall remain the exclusive property of the Company and shall remain in the Company’s exclusive possession at the conclusion of your employment.</w:t>
      </w:r>
    </w:p>
    <w:p>
      <w:pPr>
        <w:spacing w:after="0" w:line="103" w:lineRule="exact"/>
        <w:rPr>
          <w:rFonts w:ascii="Arial" w:cs="Arial" w:eastAsia="Arial" w:hAnsi="Arial"/>
          <w:sz w:val="19"/>
          <w:szCs w:val="19"/>
          <w:color w:val="auto"/>
        </w:rPr>
      </w:pPr>
    </w:p>
    <w:p>
      <w:pPr>
        <w:ind w:left="1900" w:hanging="384"/>
        <w:spacing w:after="0"/>
        <w:tabs>
          <w:tab w:leader="none" w:pos="1900" w:val="left"/>
        </w:tabs>
        <w:numPr>
          <w:ilvl w:val="1"/>
          <w:numId w:val="94"/>
        </w:numPr>
        <w:rPr>
          <w:rFonts w:ascii="Arial" w:cs="Arial" w:eastAsia="Arial" w:hAnsi="Arial"/>
          <w:sz w:val="19"/>
          <w:szCs w:val="19"/>
          <w:color w:val="auto"/>
        </w:rPr>
      </w:pPr>
      <w:r>
        <w:rPr>
          <w:rFonts w:ascii="Arial" w:cs="Arial" w:eastAsia="Arial" w:hAnsi="Arial"/>
          <w:sz w:val="19"/>
          <w:szCs w:val="19"/>
          <w:u w:val="single" w:color="auto"/>
          <w:color w:val="auto"/>
        </w:rPr>
        <w:t>Legal Matters.</w:t>
      </w:r>
    </w:p>
    <w:p>
      <w:pPr>
        <w:spacing w:after="0" w:line="192" w:lineRule="exact"/>
        <w:rPr>
          <w:sz w:val="20"/>
          <w:szCs w:val="20"/>
          <w:color w:val="auto"/>
        </w:rPr>
      </w:pPr>
    </w:p>
    <w:p>
      <w:pPr>
        <w:jc w:val="both"/>
        <w:ind w:firstLine="1278"/>
        <w:spacing w:after="0" w:line="220" w:lineRule="auto"/>
        <w:tabs>
          <w:tab w:leader="none" w:pos="1907"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Communication</w:t>
      </w:r>
      <w:r>
        <w:rPr>
          <w:rFonts w:ascii="Arial" w:cs="Arial" w:eastAsia="Arial" w:hAnsi="Arial"/>
          <w:sz w:val="19"/>
          <w:szCs w:val="19"/>
          <w:color w:val="auto"/>
        </w:rPr>
        <w:t>. Except as required by law or legal process or at the request of the Company, you shall not communicate with anyone (other than your attorneys who agree to keep such matters confidential), except to the extent necessary in the performance of your duties under this Agreement in accordance with the Company’s policies, with respect to the facts or subject matter of any claim, litigation, regulatory or administrative proceeding directly or indirectly involving the Company (“</w:t>
      </w:r>
      <w:r>
        <w:rPr>
          <w:rFonts w:ascii="Arial" w:cs="Arial" w:eastAsia="Arial" w:hAnsi="Arial"/>
          <w:sz w:val="19"/>
          <w:szCs w:val="19"/>
          <w:u w:val="single" w:color="auto"/>
          <w:color w:val="auto"/>
        </w:rPr>
        <w:t>Company Legal Matter</w:t>
      </w:r>
      <w:r>
        <w:rPr>
          <w:rFonts w:ascii="Arial" w:cs="Arial" w:eastAsia="Arial" w:hAnsi="Arial"/>
          <w:sz w:val="19"/>
          <w:szCs w:val="19"/>
          <w:color w:val="auto"/>
        </w:rPr>
        <w:t>”) without obtaining the prior consent of the Company or its counsel; provided, however, that nothing in the foregoing prohibits you from reporting what you in good faith believe to be violations of federal law to any governmental agency you in good faith believe to have responsibility for enforcement of such law or from making any other disclosure that is protected under the whistleblower protections of federal law.</w:t>
      </w:r>
    </w:p>
    <w:p>
      <w:pPr>
        <w:spacing w:after="0" w:line="160" w:lineRule="exact"/>
        <w:rPr>
          <w:rFonts w:ascii="Arial" w:cs="Arial" w:eastAsia="Arial" w:hAnsi="Arial"/>
          <w:sz w:val="19"/>
          <w:szCs w:val="19"/>
          <w:color w:val="auto"/>
        </w:rPr>
      </w:pPr>
    </w:p>
    <w:p>
      <w:pPr>
        <w:jc w:val="both"/>
        <w:ind w:firstLine="1278"/>
        <w:spacing w:after="0" w:line="223" w:lineRule="auto"/>
        <w:tabs>
          <w:tab w:leader="none" w:pos="1907"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Cooperation</w:t>
      </w:r>
      <w:r>
        <w:rPr>
          <w:rFonts w:ascii="Arial" w:cs="Arial" w:eastAsia="Arial" w:hAnsi="Arial"/>
          <w:sz w:val="19"/>
          <w:szCs w:val="19"/>
          <w:color w:val="auto"/>
        </w:rPr>
        <w:t>. You agree to cooperate with the Company and its attorneys in connection with any Company Legal Matter or Company investigation. Your cooperation shall include, without limitation, providing assistance to and meeting with the Company’s counsel, experts or consultants, and providing truthful testimony in pretrial and trial or hearing proceedings. In the event that your cooperation is requested after the termination of your employment, the Company shall (i) seek to minimize interruptions to your schedule to the extent consistent with its interests in the matter; and (ii) reimburse you for all reasonable and appropriate out-of-pocket expenses actually incurred by you in connection with such cooperation upon reasonable substantiation of such expenses.</w:t>
      </w:r>
    </w:p>
    <w:p>
      <w:pPr>
        <w:spacing w:after="0" w:line="142" w:lineRule="exact"/>
        <w:rPr>
          <w:rFonts w:ascii="Arial" w:cs="Arial" w:eastAsia="Arial" w:hAnsi="Arial"/>
          <w:sz w:val="19"/>
          <w:szCs w:val="19"/>
          <w:color w:val="auto"/>
        </w:rPr>
      </w:pPr>
    </w:p>
    <w:p>
      <w:pPr>
        <w:jc w:val="both"/>
        <w:ind w:firstLine="1278"/>
        <w:spacing w:after="0" w:line="239" w:lineRule="auto"/>
        <w:tabs>
          <w:tab w:leader="none" w:pos="1896"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Testimony</w:t>
      </w:r>
      <w:r>
        <w:rPr>
          <w:rFonts w:ascii="Arial" w:cs="Arial" w:eastAsia="Arial" w:hAnsi="Arial"/>
          <w:sz w:val="19"/>
          <w:szCs w:val="19"/>
          <w:color w:val="auto"/>
        </w:rPr>
        <w:t>. Except as required by law or legal process or at the request of the Company, you shall not testify in any lawsuit or other proceeding which directly or indirectly involves the Company, or which is reasonably likely to create the impression that such testimony is endorsed or approved by the Company.</w:t>
      </w:r>
    </w:p>
    <w:p>
      <w:pPr>
        <w:spacing w:after="0" w:line="142" w:lineRule="exact"/>
        <w:rPr>
          <w:rFonts w:ascii="Arial" w:cs="Arial" w:eastAsia="Arial" w:hAnsi="Arial"/>
          <w:sz w:val="19"/>
          <w:szCs w:val="19"/>
          <w:color w:val="auto"/>
        </w:rPr>
      </w:pPr>
    </w:p>
    <w:p>
      <w:pPr>
        <w:jc w:val="both"/>
        <w:ind w:firstLine="1278"/>
        <w:spacing w:after="0"/>
        <w:tabs>
          <w:tab w:leader="none" w:pos="1907"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Notice to The Company</w:t>
      </w:r>
      <w:r>
        <w:rPr>
          <w:rFonts w:ascii="Arial" w:cs="Arial" w:eastAsia="Arial" w:hAnsi="Arial"/>
          <w:sz w:val="19"/>
          <w:szCs w:val="19"/>
          <w:color w:val="auto"/>
        </w:rPr>
        <w:t>. If you are requested or if you receive legal process requiring you to provide testimony, information or documents (including electronic documents) in any Company Legal Matter or that otherwise relates, directly or indirectly, to the Company or any of its officers, directors, employees or affiliates, you shall give prompt notice of such event to the</w:t>
      </w:r>
    </w:p>
    <w:p>
      <w:pPr>
        <w:sectPr>
          <w:pgSz w:w="11900" w:h="16838" w:orient="portrait"/>
          <w:cols w:equalWidth="0" w:num="1">
            <w:col w:w="11240"/>
          </w:cols>
          <w:pgMar w:left="320" w:top="595" w:right="339" w:bottom="1440" w:gutter="0" w:footer="0" w:header="0"/>
        </w:sectPr>
      </w:pPr>
    </w:p>
    <w:bookmarkStart w:id="161" w:name="page162"/>
    <w:bookmarkEnd w:id="161"/>
    <w:p>
      <w:pPr>
        <w:spacing w:after="0"/>
        <w:rPr>
          <w:sz w:val="20"/>
          <w:szCs w:val="20"/>
          <w:color w:val="auto"/>
        </w:rPr>
      </w:pPr>
      <w:r>
        <w:rPr>
          <w:rFonts w:ascii="Arial" w:cs="Arial" w:eastAsia="Arial" w:hAnsi="Arial"/>
          <w:sz w:val="19"/>
          <w:szCs w:val="19"/>
          <w:color w:val="auto"/>
        </w:rPr>
        <w:t>Mr. Chris McCarthy</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As of January 1, 2023</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Company’s General Counsel and you shall follow any lawful direction of the Company’s General Counsel or his/her designee with respect to your response to such request or legal process.</w:t>
      </w:r>
    </w:p>
    <w:p>
      <w:pPr>
        <w:spacing w:after="0" w:line="125" w:lineRule="exact"/>
        <w:rPr>
          <w:sz w:val="20"/>
          <w:szCs w:val="20"/>
          <w:color w:val="auto"/>
        </w:rPr>
      </w:pPr>
    </w:p>
    <w:p>
      <w:pPr>
        <w:jc w:val="both"/>
        <w:ind w:firstLine="1278"/>
        <w:spacing w:after="0" w:line="230" w:lineRule="auto"/>
        <w:tabs>
          <w:tab w:leader="none" w:pos="1907"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Adverse Party</w:t>
      </w:r>
      <w:r>
        <w:rPr>
          <w:rFonts w:ascii="Arial" w:cs="Arial" w:eastAsia="Arial" w:hAnsi="Arial"/>
          <w:sz w:val="19"/>
          <w:szCs w:val="19"/>
          <w:color w:val="auto"/>
        </w:rPr>
        <w:t>. The provisions of this paragraph 9 shall not apply to any litigation or other proceeding in which you are a party adverse to the Company; provided, however, that the Company expressly reserves its rights under paragraph 7 and its attorney-client and other privileges and immunities, including, without limitation, with respect to its documents and Confidential Information, except if expressly waived in writing by the Company Inc.’s General Counsel or his/her designee.</w:t>
      </w:r>
    </w:p>
    <w:p>
      <w:pPr>
        <w:spacing w:after="0" w:line="156" w:lineRule="exact"/>
        <w:rPr>
          <w:rFonts w:ascii="Arial" w:cs="Arial" w:eastAsia="Arial" w:hAnsi="Arial"/>
          <w:sz w:val="19"/>
          <w:szCs w:val="19"/>
          <w:color w:val="auto"/>
        </w:rPr>
      </w:pPr>
    </w:p>
    <w:p>
      <w:pPr>
        <w:jc w:val="both"/>
        <w:ind w:firstLine="1278"/>
        <w:spacing w:after="0"/>
        <w:tabs>
          <w:tab w:leader="none" w:pos="1906"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Duration</w:t>
      </w:r>
      <w:r>
        <w:rPr>
          <w:rFonts w:ascii="Arial" w:cs="Arial" w:eastAsia="Arial" w:hAnsi="Arial"/>
          <w:sz w:val="19"/>
          <w:szCs w:val="19"/>
          <w:color w:val="auto"/>
        </w:rPr>
        <w:t>. The provisions of this paragraph 9 shall apply during the Contract Period and at all times thereafter, and shall survive the termination of your employment with the Company, with respect to any Company Legal Matter arising out of or relating to the business in which you were engaged during your employment with the Company. As to all other Company Legal Matters, the provisions of this paragraph 9 shall apply during the Contract Period and for one year thereafter or, if longer, during the pendency of any Company Legal Matter which was commenced, or which the Company received notice of, during such period.</w:t>
      </w:r>
    </w:p>
    <w:p>
      <w:pPr>
        <w:spacing w:after="0" w:line="232" w:lineRule="exact"/>
        <w:rPr>
          <w:rFonts w:ascii="Arial" w:cs="Arial" w:eastAsia="Arial" w:hAnsi="Arial"/>
          <w:sz w:val="19"/>
          <w:szCs w:val="19"/>
          <w:color w:val="auto"/>
        </w:rPr>
      </w:pPr>
    </w:p>
    <w:p>
      <w:pPr>
        <w:ind w:left="1900" w:hanging="384"/>
        <w:spacing w:after="0"/>
        <w:tabs>
          <w:tab w:leader="none" w:pos="1900" w:val="left"/>
        </w:tabs>
        <w:numPr>
          <w:ilvl w:val="1"/>
          <w:numId w:val="96"/>
        </w:numPr>
        <w:rPr>
          <w:rFonts w:ascii="Arial" w:cs="Arial" w:eastAsia="Arial" w:hAnsi="Arial"/>
          <w:sz w:val="19"/>
          <w:szCs w:val="19"/>
          <w:color w:val="auto"/>
        </w:rPr>
      </w:pPr>
      <w:r>
        <w:rPr>
          <w:rFonts w:ascii="Arial" w:cs="Arial" w:eastAsia="Arial" w:hAnsi="Arial"/>
          <w:sz w:val="19"/>
          <w:szCs w:val="19"/>
          <w:u w:val="single" w:color="auto"/>
          <w:color w:val="auto"/>
        </w:rPr>
        <w:t>Termination for Cause.</w:t>
      </w:r>
    </w:p>
    <w:p>
      <w:pPr>
        <w:spacing w:after="0" w:line="192" w:lineRule="exact"/>
        <w:rPr>
          <w:sz w:val="20"/>
          <w:szCs w:val="20"/>
          <w:color w:val="auto"/>
        </w:rPr>
      </w:pPr>
    </w:p>
    <w:p>
      <w:pPr>
        <w:jc w:val="both"/>
        <w:ind w:firstLine="1278"/>
        <w:spacing w:after="0" w:line="223" w:lineRule="auto"/>
        <w:tabs>
          <w:tab w:leader="none" w:pos="1907" w:val="left"/>
        </w:tabs>
        <w:numPr>
          <w:ilvl w:val="1"/>
          <w:numId w:val="97"/>
        </w:numPr>
        <w:rPr>
          <w:rFonts w:ascii="Arial" w:cs="Arial" w:eastAsia="Arial" w:hAnsi="Arial"/>
          <w:sz w:val="19"/>
          <w:szCs w:val="19"/>
          <w:color w:val="auto"/>
        </w:rPr>
      </w:pPr>
      <w:r>
        <w:rPr>
          <w:rFonts w:ascii="Arial" w:cs="Arial" w:eastAsia="Arial" w:hAnsi="Arial"/>
          <w:sz w:val="19"/>
          <w:szCs w:val="19"/>
          <w:u w:val="single" w:color="auto"/>
          <w:color w:val="auto"/>
        </w:rPr>
        <w:t>Termination Payments</w:t>
      </w:r>
      <w:r>
        <w:rPr>
          <w:rFonts w:ascii="Arial" w:cs="Arial" w:eastAsia="Arial" w:hAnsi="Arial"/>
          <w:sz w:val="19"/>
          <w:szCs w:val="19"/>
          <w:color w:val="auto"/>
        </w:rPr>
        <w:t>. The Company may terminate your employment under this Agreement for Cause and thereafter shall have no further obligations to you under this Agreement or otherwise, except for any earned but unpaid Salary through and including the date of termination of employment and any other amounts or benefits required to be paid or provided by law or under any plan of the Company (the “</w:t>
      </w:r>
      <w:r>
        <w:rPr>
          <w:rFonts w:ascii="Arial" w:cs="Arial" w:eastAsia="Arial" w:hAnsi="Arial"/>
          <w:sz w:val="19"/>
          <w:szCs w:val="19"/>
          <w:u w:val="single" w:color="auto"/>
          <w:color w:val="auto"/>
        </w:rPr>
        <w:t>Accrued Compensation and Benefits</w:t>
      </w:r>
      <w:r>
        <w:rPr>
          <w:rFonts w:ascii="Arial" w:cs="Arial" w:eastAsia="Arial" w:hAnsi="Arial"/>
          <w:sz w:val="19"/>
          <w:szCs w:val="19"/>
          <w:color w:val="auto"/>
        </w:rPr>
        <w:t>”). Without limiting the generality of the preceding sentence, upon termination of your employment for Cause, you shall have no further right to any Bonus or to exercise or redeem any stock options or other equity compensation.</w:t>
      </w:r>
    </w:p>
    <w:p>
      <w:pPr>
        <w:spacing w:after="0" w:line="146" w:lineRule="exact"/>
        <w:rPr>
          <w:rFonts w:ascii="Arial" w:cs="Arial" w:eastAsia="Arial" w:hAnsi="Arial"/>
          <w:sz w:val="19"/>
          <w:szCs w:val="19"/>
          <w:color w:val="auto"/>
        </w:rPr>
      </w:pPr>
    </w:p>
    <w:p>
      <w:pPr>
        <w:jc w:val="both"/>
        <w:ind w:firstLine="1278"/>
        <w:spacing w:after="0" w:line="219" w:lineRule="auto"/>
        <w:tabs>
          <w:tab w:leader="none" w:pos="1907" w:val="left"/>
        </w:tabs>
        <w:numPr>
          <w:ilvl w:val="1"/>
          <w:numId w:val="97"/>
        </w:numPr>
        <w:rPr>
          <w:rFonts w:ascii="Arial" w:cs="Arial" w:eastAsia="Arial" w:hAnsi="Arial"/>
          <w:sz w:val="19"/>
          <w:szCs w:val="19"/>
          <w:color w:val="auto"/>
        </w:rPr>
      </w:pPr>
      <w:r>
        <w:rPr>
          <w:rFonts w:ascii="Arial" w:cs="Arial" w:eastAsia="Arial" w:hAnsi="Arial"/>
          <w:sz w:val="19"/>
          <w:szCs w:val="19"/>
          <w:u w:val="single" w:color="auto"/>
          <w:color w:val="auto"/>
        </w:rPr>
        <w:t>Cause Definition</w:t>
      </w:r>
      <w:r>
        <w:rPr>
          <w:rFonts w:ascii="Arial" w:cs="Arial" w:eastAsia="Arial" w:hAnsi="Arial"/>
          <w:sz w:val="19"/>
          <w:szCs w:val="19"/>
          <w:color w:val="auto"/>
        </w:rPr>
        <w:t>. “</w:t>
      </w:r>
      <w:r>
        <w:rPr>
          <w:rFonts w:ascii="Arial" w:cs="Arial" w:eastAsia="Arial" w:hAnsi="Arial"/>
          <w:sz w:val="19"/>
          <w:szCs w:val="19"/>
          <w:u w:val="single" w:color="auto"/>
          <w:color w:val="auto"/>
        </w:rPr>
        <w:t>Cause</w:t>
      </w:r>
      <w:r>
        <w:rPr>
          <w:rFonts w:ascii="Arial" w:cs="Arial" w:eastAsia="Arial" w:hAnsi="Arial"/>
          <w:sz w:val="19"/>
          <w:szCs w:val="19"/>
          <w:color w:val="auto"/>
        </w:rPr>
        <w:t>” shall mean: (i) conduct constituting embezzlement, material misappropriation or fraud, whether or not related to your employment with the Company; (ii) conduct constituting a felony, whether or not related to your employment with the Company; (iii) conduct constituting a financial crime, material act of dishonesty or material unethical business conduct, involving the Company; (iv) willful unauthorized disclosure or use of Confidential Information; (v) the failure to substantially obey a material lawful directive that is appropriate to your position from a superior in your reporting line or the Board;</w:t>
      </w:r>
    </w:p>
    <w:p>
      <w:pPr>
        <w:spacing w:after="0" w:line="1" w:lineRule="exact"/>
        <w:rPr>
          <w:rFonts w:ascii="Arial" w:cs="Arial" w:eastAsia="Arial" w:hAnsi="Arial"/>
          <w:sz w:val="19"/>
          <w:szCs w:val="19"/>
          <w:color w:val="auto"/>
        </w:rPr>
      </w:pPr>
    </w:p>
    <w:p>
      <w:pPr>
        <w:jc w:val="both"/>
        <w:ind w:firstLine="6"/>
        <w:spacing w:after="0" w:line="220" w:lineRule="auto"/>
        <w:tabs>
          <w:tab w:leader="none" w:pos="341" w:val="left"/>
        </w:tabs>
        <w:numPr>
          <w:ilvl w:val="0"/>
          <w:numId w:val="98"/>
        </w:numPr>
        <w:rPr>
          <w:rFonts w:ascii="Arial" w:cs="Arial" w:eastAsia="Arial" w:hAnsi="Arial"/>
          <w:sz w:val="19"/>
          <w:szCs w:val="19"/>
          <w:color w:val="auto"/>
        </w:rPr>
      </w:pPr>
      <w:r>
        <w:rPr>
          <w:rFonts w:ascii="Arial" w:cs="Arial" w:eastAsia="Arial" w:hAnsi="Arial"/>
          <w:sz w:val="19"/>
          <w:szCs w:val="19"/>
          <w:color w:val="auto"/>
        </w:rPr>
        <w:t>your material breach of any material obligation under this Agreement; (vii) the failure or refusal to substantially perform your material obligations under this Agreement (other than any such failure or refusal resulting from your STD or LTD); (viii) the willful failure to cooperate with a bona fide internal investigation or an investigation by regulatory or law enforcement authorities, whether or not related to employment with the Company, after being instructed by the Company to cooperate; (ix) the willful destruction of or willful failure to preserve documents or other material known to be relevant to any investigation referred to in subparagraph (viii) above; or (x) the willful inducement of others to engage in the conduct described in subparagraphs (i) – (ix), including, without limitation, with regard to subparagraph (vi), obligations of others to the Company.</w:t>
      </w:r>
    </w:p>
    <w:p>
      <w:pPr>
        <w:spacing w:after="0" w:line="143" w:lineRule="exact"/>
        <w:rPr>
          <w:rFonts w:ascii="Arial" w:cs="Arial" w:eastAsia="Arial" w:hAnsi="Arial"/>
          <w:sz w:val="19"/>
          <w:szCs w:val="19"/>
          <w:color w:val="auto"/>
        </w:rPr>
      </w:pPr>
    </w:p>
    <w:p>
      <w:pPr>
        <w:jc w:val="both"/>
        <w:ind w:firstLine="1278"/>
        <w:spacing w:after="0" w:line="239" w:lineRule="auto"/>
        <w:tabs>
          <w:tab w:leader="none" w:pos="1896" w:val="left"/>
        </w:tabs>
        <w:numPr>
          <w:ilvl w:val="1"/>
          <w:numId w:val="98"/>
        </w:numPr>
        <w:rPr>
          <w:rFonts w:ascii="Arial" w:cs="Arial" w:eastAsia="Arial" w:hAnsi="Arial"/>
          <w:sz w:val="19"/>
          <w:szCs w:val="19"/>
          <w:color w:val="auto"/>
        </w:rPr>
      </w:pPr>
      <w:r>
        <w:rPr>
          <w:rFonts w:ascii="Arial" w:cs="Arial" w:eastAsia="Arial" w:hAnsi="Arial"/>
          <w:sz w:val="19"/>
          <w:szCs w:val="19"/>
          <w:u w:val="single" w:color="auto"/>
          <w:color w:val="auto"/>
        </w:rPr>
        <w:t>Notice/Cure</w:t>
      </w:r>
      <w:r>
        <w:rPr>
          <w:rFonts w:ascii="Arial" w:cs="Arial" w:eastAsia="Arial" w:hAnsi="Arial"/>
          <w:sz w:val="19"/>
          <w:szCs w:val="19"/>
          <w:color w:val="auto"/>
        </w:rPr>
        <w:t>. The Company shall give you written notice prior to terminating your employment for Cause or, if no cure period is applicable, contemporaneous with termination of your employment for Cause, setting forth in reasonable detail the nature of any alleged failure, breach or refusal in reasonable detail and the conduct required to cure such breach, failure or</w:t>
      </w:r>
    </w:p>
    <w:p>
      <w:pPr>
        <w:sectPr>
          <w:pgSz w:w="11900" w:h="16838" w:orient="portrait"/>
          <w:cols w:equalWidth="0" w:num="1">
            <w:col w:w="11240"/>
          </w:cols>
          <w:pgMar w:left="320" w:top="595" w:right="339" w:bottom="1440" w:gutter="0" w:footer="0" w:header="0"/>
        </w:sectPr>
      </w:pPr>
    </w:p>
    <w:bookmarkStart w:id="162" w:name="page163"/>
    <w:bookmarkEnd w:id="162"/>
    <w:p>
      <w:pPr>
        <w:spacing w:after="0"/>
        <w:rPr>
          <w:sz w:val="20"/>
          <w:szCs w:val="20"/>
          <w:color w:val="auto"/>
        </w:rPr>
      </w:pPr>
      <w:r>
        <w:rPr>
          <w:rFonts w:ascii="Arial" w:cs="Arial" w:eastAsia="Arial" w:hAnsi="Arial"/>
          <w:sz w:val="19"/>
          <w:szCs w:val="19"/>
          <w:color w:val="auto"/>
        </w:rPr>
        <w:t>Mr. Chris McCarthy</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As of January 1, 2023</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9"/>
          <w:szCs w:val="19"/>
          <w:color w:val="auto"/>
        </w:rPr>
        <w:t>refusal. Except for a failure, breach or refusal which, by its nature, cannot reasonably be expected to be cured, you shall have ten</w:t>
      </w:r>
    </w:p>
    <w:p>
      <w:pPr>
        <w:jc w:val="both"/>
        <w:ind w:firstLine="6"/>
        <w:spacing w:after="0" w:line="225" w:lineRule="auto"/>
        <w:tabs>
          <w:tab w:leader="none" w:pos="400" w:val="left"/>
        </w:tabs>
        <w:numPr>
          <w:ilvl w:val="0"/>
          <w:numId w:val="99"/>
        </w:numPr>
        <w:rPr>
          <w:rFonts w:ascii="Arial" w:cs="Arial" w:eastAsia="Arial" w:hAnsi="Arial"/>
          <w:sz w:val="19"/>
          <w:szCs w:val="19"/>
          <w:color w:val="auto"/>
        </w:rPr>
      </w:pPr>
      <w:r>
        <w:rPr>
          <w:rFonts w:ascii="Arial" w:cs="Arial" w:eastAsia="Arial" w:hAnsi="Arial"/>
          <w:sz w:val="19"/>
          <w:szCs w:val="19"/>
          <w:color w:val="auto"/>
        </w:rPr>
        <w:t>business days from the giving of such notice within which to cure; provided, however, that, if the Company reasonably expects irreparable injury from a delay of ten (10) business days, the Company may give you notice of such shorter period within which to cure as is reasonable under the circumstances, which may include the termination of your employment without notice and with immediate effect.</w:t>
      </w:r>
    </w:p>
    <w:p>
      <w:pPr>
        <w:spacing w:after="0" w:line="143" w:lineRule="exact"/>
        <w:rPr>
          <w:rFonts w:ascii="Arial" w:cs="Arial" w:eastAsia="Arial" w:hAnsi="Arial"/>
          <w:sz w:val="19"/>
          <w:szCs w:val="19"/>
          <w:color w:val="auto"/>
        </w:rPr>
      </w:pPr>
    </w:p>
    <w:p>
      <w:pPr>
        <w:ind w:left="1900" w:hanging="384"/>
        <w:spacing w:after="0"/>
        <w:tabs>
          <w:tab w:leader="none" w:pos="1900" w:val="left"/>
        </w:tabs>
        <w:numPr>
          <w:ilvl w:val="1"/>
          <w:numId w:val="99"/>
        </w:numPr>
        <w:rPr>
          <w:rFonts w:ascii="Arial" w:cs="Arial" w:eastAsia="Arial" w:hAnsi="Arial"/>
          <w:sz w:val="19"/>
          <w:szCs w:val="19"/>
          <w:color w:val="auto"/>
        </w:rPr>
      </w:pPr>
      <w:r>
        <w:rPr>
          <w:rFonts w:ascii="Arial" w:cs="Arial" w:eastAsia="Arial" w:hAnsi="Arial"/>
          <w:sz w:val="19"/>
          <w:szCs w:val="19"/>
          <w:u w:val="single" w:color="auto"/>
          <w:color w:val="auto"/>
        </w:rPr>
        <w:t>Resignation for Good Reason and Termination Without Cause</w:t>
      </w:r>
      <w:r>
        <w:rPr>
          <w:rFonts w:ascii="Arial" w:cs="Arial" w:eastAsia="Arial" w:hAnsi="Arial"/>
          <w:sz w:val="19"/>
          <w:szCs w:val="19"/>
          <w:color w:val="auto"/>
        </w:rPr>
        <w:t>.</w:t>
      </w:r>
    </w:p>
    <w:p>
      <w:pPr>
        <w:spacing w:after="0" w:line="192" w:lineRule="exact"/>
        <w:rPr>
          <w:sz w:val="20"/>
          <w:szCs w:val="20"/>
          <w:color w:val="auto"/>
        </w:rPr>
      </w:pPr>
    </w:p>
    <w:p>
      <w:pPr>
        <w:ind w:left="1920" w:hanging="642"/>
        <w:spacing w:after="0"/>
        <w:tabs>
          <w:tab w:leader="none" w:pos="1920"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Resignation for Good Reason</w:t>
      </w:r>
    </w:p>
    <w:p>
      <w:pPr>
        <w:spacing w:after="0" w:line="192" w:lineRule="exact"/>
        <w:rPr>
          <w:sz w:val="20"/>
          <w:szCs w:val="20"/>
          <w:color w:val="auto"/>
        </w:rPr>
      </w:pPr>
    </w:p>
    <w:p>
      <w:pPr>
        <w:jc w:val="both"/>
        <w:ind w:left="1920" w:hanging="642"/>
        <w:spacing w:after="0" w:line="223" w:lineRule="auto"/>
        <w:tabs>
          <w:tab w:leader="none" w:pos="1907" w:val="left"/>
        </w:tabs>
        <w:numPr>
          <w:ilvl w:val="0"/>
          <w:numId w:val="101"/>
        </w:numPr>
        <w:rPr>
          <w:rFonts w:ascii="Arial" w:cs="Arial" w:eastAsia="Arial" w:hAnsi="Arial"/>
          <w:sz w:val="19"/>
          <w:szCs w:val="19"/>
          <w:color w:val="auto"/>
        </w:rPr>
      </w:pPr>
      <w:r>
        <w:rPr>
          <w:rFonts w:ascii="Arial" w:cs="Arial" w:eastAsia="Arial" w:hAnsi="Arial"/>
          <w:sz w:val="19"/>
          <w:szCs w:val="19"/>
          <w:color w:val="auto"/>
        </w:rPr>
        <w:t>You may resign for Good Reason at any time that you are actively employed during the Contract Period by written notice to the Company no more than thirty business (30) days after the occurrence of the event constituting Good Reason. Such notice shall state the grounds for such Good Reason resignation and an effective date no earlier than thirty (30) business days and no later than ninety (90) business days after the date it is given. The Company shall have thirty (30) business days from the giving of such notice within which to cure and, in the event of such cure, your notice shall be of no further force or effect.</w:t>
      </w:r>
    </w:p>
    <w:p>
      <w:pPr>
        <w:spacing w:after="0" w:line="159" w:lineRule="exact"/>
        <w:rPr>
          <w:rFonts w:ascii="Arial" w:cs="Arial" w:eastAsia="Arial" w:hAnsi="Arial"/>
          <w:sz w:val="19"/>
          <w:szCs w:val="19"/>
          <w:color w:val="auto"/>
        </w:rPr>
      </w:pPr>
    </w:p>
    <w:p>
      <w:pPr>
        <w:jc w:val="both"/>
        <w:ind w:left="1920" w:hanging="642"/>
        <w:spacing w:after="0" w:line="223" w:lineRule="auto"/>
        <w:tabs>
          <w:tab w:leader="none" w:pos="191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shall mean without your consent (other than in connection with the termination or suspension of your employment or duties for Cause or in connection with your death or LTD): (i) the assignment to you of duties or responsibilities substantially inconsistent with your position(s) or duties; (ii) the withdrawal of material portions of your duties or authority; (iii) the relocation of your principal place of business outside the greater New York City metropolitan area without your consent; or (iv) the material breach by the Company of any material obligation under this Agreement.</w:t>
      </w:r>
    </w:p>
    <w:p>
      <w:pPr>
        <w:spacing w:after="0" w:line="147" w:lineRule="exact"/>
        <w:rPr>
          <w:sz w:val="20"/>
          <w:szCs w:val="20"/>
          <w:color w:val="auto"/>
        </w:rPr>
      </w:pPr>
    </w:p>
    <w:p>
      <w:pPr>
        <w:ind w:firstLine="1278"/>
        <w:spacing w:after="0" w:line="259" w:lineRule="auto"/>
        <w:tabs>
          <w:tab w:leader="none" w:pos="1907"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Termination Without Cause</w:t>
      </w:r>
      <w:r>
        <w:rPr>
          <w:rFonts w:ascii="Arial" w:cs="Arial" w:eastAsia="Arial" w:hAnsi="Arial"/>
          <w:sz w:val="19"/>
          <w:szCs w:val="19"/>
          <w:color w:val="auto"/>
        </w:rPr>
        <w:t>. The Company may terminate your employment under this Agreement without Cause at any time during the Contract Period by written notice to you.</w:t>
      </w:r>
    </w:p>
    <w:p>
      <w:pPr>
        <w:spacing w:after="0" w:line="137" w:lineRule="exact"/>
        <w:rPr>
          <w:rFonts w:ascii="Arial" w:cs="Arial" w:eastAsia="Arial" w:hAnsi="Arial"/>
          <w:sz w:val="19"/>
          <w:szCs w:val="19"/>
          <w:color w:val="auto"/>
        </w:rPr>
      </w:pPr>
    </w:p>
    <w:p>
      <w:pPr>
        <w:ind w:right="20" w:firstLine="1278"/>
        <w:spacing w:after="0" w:line="244" w:lineRule="auto"/>
        <w:tabs>
          <w:tab w:leader="none" w:pos="1896"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Termination Payments/Benefits</w:t>
      </w:r>
      <w:r>
        <w:rPr>
          <w:rFonts w:ascii="Arial" w:cs="Arial" w:eastAsia="Arial" w:hAnsi="Arial"/>
          <w:sz w:val="19"/>
          <w:szCs w:val="19"/>
          <w:color w:val="auto"/>
        </w:rPr>
        <w:t>. In the event that your employment terminates under paragraph 11(a) or 11(b), you shall thereafter receive the compensation and benefits described below and the following shall apply:</w:t>
      </w:r>
    </w:p>
    <w:p>
      <w:pPr>
        <w:spacing w:after="0" w:line="152" w:lineRule="exact"/>
        <w:rPr>
          <w:sz w:val="20"/>
          <w:szCs w:val="20"/>
          <w:color w:val="auto"/>
        </w:rPr>
      </w:pPr>
    </w:p>
    <w:p>
      <w:pPr>
        <w:jc w:val="both"/>
        <w:ind w:left="1920" w:hanging="642"/>
        <w:spacing w:after="0" w:line="234" w:lineRule="auto"/>
        <w:tabs>
          <w:tab w:leader="none" w:pos="1907"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The Company shall continue to pay your Salary (at the rate in effect on the date of termination) at the same time and in the same manner as if you had not terminated employment for the longer of twelve (12) months or until the end of the Contract Period;</w:t>
      </w:r>
    </w:p>
    <w:p>
      <w:pPr>
        <w:spacing w:after="0" w:line="155" w:lineRule="exact"/>
        <w:rPr>
          <w:rFonts w:ascii="Arial" w:cs="Arial" w:eastAsia="Arial" w:hAnsi="Arial"/>
          <w:sz w:val="19"/>
          <w:szCs w:val="19"/>
          <w:color w:val="auto"/>
        </w:rPr>
      </w:pPr>
    </w:p>
    <w:p>
      <w:pPr>
        <w:jc w:val="both"/>
        <w:ind w:left="1920" w:hanging="642"/>
        <w:spacing w:after="0" w:line="230" w:lineRule="auto"/>
        <w:tabs>
          <w:tab w:leader="none" w:pos="191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You shall be eligible to receive a Bonus or Pro-Rated Bonus, as applicable, for each Company fiscal year or portion thereof during the Contract Period, calculated as provided in paragraph 19(e)(iii), provided that the total severance payment you receive pursuant to paragraphs 11(c)(i) and (ii) shall in no event exceed two times the sum of your Salary and Target Bonus in the fiscal year in which such termination occurs;</w:t>
      </w:r>
    </w:p>
    <w:p>
      <w:pPr>
        <w:sectPr>
          <w:pgSz w:w="11900" w:h="16838" w:orient="portrait"/>
          <w:cols w:equalWidth="0" w:num="1">
            <w:col w:w="11240"/>
          </w:cols>
          <w:pgMar w:left="320" w:top="595" w:right="339" w:bottom="1440" w:gutter="0" w:footer="0" w:header="0"/>
        </w:sectPr>
      </w:pPr>
    </w:p>
    <w:bookmarkStart w:id="163" w:name="page164"/>
    <w:bookmarkEnd w:id="163"/>
    <w:p>
      <w:pPr>
        <w:spacing w:after="0"/>
        <w:rPr>
          <w:sz w:val="20"/>
          <w:szCs w:val="20"/>
          <w:color w:val="auto"/>
        </w:rPr>
      </w:pPr>
      <w:r>
        <w:rPr>
          <w:rFonts w:ascii="Arial" w:cs="Arial" w:eastAsia="Arial" w:hAnsi="Arial"/>
          <w:sz w:val="19"/>
          <w:szCs w:val="19"/>
          <w:color w:val="auto"/>
        </w:rPr>
        <w:t>Mr. Chris McCarthy</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As of January 1, 2023</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Page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1920" w:hanging="642"/>
        <w:spacing w:after="0" w:line="236" w:lineRule="auto"/>
        <w:tabs>
          <w:tab w:leader="none" w:pos="1914" w:val="left"/>
        </w:tabs>
        <w:numPr>
          <w:ilvl w:val="0"/>
          <w:numId w:val="104"/>
        </w:numPr>
        <w:rPr>
          <w:rFonts w:ascii="Arial" w:cs="Arial" w:eastAsia="Arial" w:hAnsi="Arial"/>
          <w:sz w:val="19"/>
          <w:szCs w:val="19"/>
          <w:color w:val="auto"/>
        </w:rPr>
      </w:pPr>
      <w:r>
        <w:rPr>
          <w:rFonts w:ascii="Arial" w:cs="Arial" w:eastAsia="Arial" w:hAnsi="Arial"/>
          <w:sz w:val="19"/>
          <w:szCs w:val="19"/>
          <w:color w:val="auto"/>
        </w:rPr>
        <w:t>Provided you validly elect continuation of your medical and dental coverage under Section 4980B(f) of the Internal Revenue Code of 1986 (the “Code”) (relating to coverage under the Consolidated Omnibus Budget Reconciliation Act of 1985 (“COBRA”)), your coverage and participation under the Company’s medical and dental benefit plans and programs in which you were participating immediately prior to your termination of employment pursuant to this paragraph 11, shall continue at no cost to you (except as set forth below) until the earlier of (i) the end of the Contract Period, but in no event less than twelve (12) months after the termination of your employment, or (ii) the date on which you become eligible for medical and/or dental coverage from another employer; provided, that, during the period that the Company provides you with this coverage, an amount equal to the total applicable COBRA cost (or such other amounts as may be required by law) will be included in your income for tax purposes and the Company may withhold taxes from your termination payments for this purpose; and provided, further, that you may elect to continue your medical and dental coverage under COBRA at your own expense for the balance, if any, of the period required by law;</w:t>
      </w:r>
    </w:p>
    <w:p>
      <w:pPr>
        <w:spacing w:after="0" w:line="164" w:lineRule="exact"/>
        <w:rPr>
          <w:rFonts w:ascii="Arial" w:cs="Arial" w:eastAsia="Arial" w:hAnsi="Arial"/>
          <w:sz w:val="19"/>
          <w:szCs w:val="19"/>
          <w:color w:val="auto"/>
        </w:rPr>
      </w:pPr>
    </w:p>
    <w:p>
      <w:pPr>
        <w:jc w:val="both"/>
        <w:ind w:left="1920" w:hanging="642"/>
        <w:spacing w:after="0" w:line="223" w:lineRule="auto"/>
        <w:tabs>
          <w:tab w:leader="none" w:pos="1911"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The Company shall continue to provide you with life insurance coverage, at no premium cost to you (unless you had no coverage at the time of termination), until the end of the Contract Period or, if longer, the end of the period in which you are receiving payments pursuant to paragraph 11(c)(i), in accordance with the Company’s then-current policy, as may be amended from time to time, and in the amount then furnished at no cost to other Company executives at comparable levels. Such coverage shall end in the event you are eligible to obtain life insurance coverage from another employer;</w:t>
      </w:r>
    </w:p>
    <w:p>
      <w:pPr>
        <w:spacing w:after="0" w:line="146" w:lineRule="exact"/>
        <w:rPr>
          <w:rFonts w:ascii="Arial" w:cs="Arial" w:eastAsia="Arial" w:hAnsi="Arial"/>
          <w:sz w:val="19"/>
          <w:szCs w:val="19"/>
          <w:color w:val="auto"/>
        </w:rPr>
      </w:pPr>
    </w:p>
    <w:p>
      <w:pPr>
        <w:ind w:left="1920" w:hanging="642"/>
        <w:spacing w:after="0" w:line="259" w:lineRule="auto"/>
        <w:tabs>
          <w:tab w:leader="none" w:pos="1908" w:val="left"/>
        </w:tabs>
        <w:numPr>
          <w:ilvl w:val="0"/>
          <w:numId w:val="104"/>
        </w:numPr>
        <w:rPr>
          <w:rFonts w:ascii="Arial" w:cs="Arial" w:eastAsia="Arial" w:hAnsi="Arial"/>
          <w:sz w:val="19"/>
          <w:szCs w:val="19"/>
          <w:color w:val="auto"/>
        </w:rPr>
      </w:pPr>
      <w:r>
        <w:rPr>
          <w:rFonts w:ascii="Arial" w:cs="Arial" w:eastAsia="Arial" w:hAnsi="Arial"/>
          <w:sz w:val="19"/>
          <w:szCs w:val="19"/>
          <w:color w:val="auto"/>
        </w:rPr>
        <w:t>With respect to any stock options granted to you under any of the Company’s long-term incentive plans in effect from time to time:</w:t>
      </w:r>
    </w:p>
    <w:p>
      <w:pPr>
        <w:spacing w:after="0" w:line="137" w:lineRule="exact"/>
        <w:rPr>
          <w:rFonts w:ascii="Arial" w:cs="Arial" w:eastAsia="Arial" w:hAnsi="Arial"/>
          <w:sz w:val="19"/>
          <w:szCs w:val="19"/>
          <w:color w:val="auto"/>
        </w:rPr>
      </w:pPr>
    </w:p>
    <w:p>
      <w:pPr>
        <w:jc w:val="both"/>
        <w:ind w:left="1920" w:hanging="6"/>
        <w:spacing w:after="0" w:line="223" w:lineRule="auto"/>
        <w:tabs>
          <w:tab w:leader="none" w:pos="2482" w:val="left"/>
        </w:tabs>
        <w:numPr>
          <w:ilvl w:val="1"/>
          <w:numId w:val="104"/>
        </w:numPr>
        <w:rPr>
          <w:rFonts w:ascii="Arial" w:cs="Arial" w:eastAsia="Arial" w:hAnsi="Arial"/>
          <w:sz w:val="19"/>
          <w:szCs w:val="19"/>
          <w:i w:val="1"/>
          <w:iCs w:val="1"/>
          <w:color w:val="auto"/>
        </w:rPr>
      </w:pPr>
      <w:r>
        <w:rPr>
          <w:rFonts w:ascii="Arial" w:cs="Arial" w:eastAsia="Arial" w:hAnsi="Arial"/>
          <w:sz w:val="19"/>
          <w:szCs w:val="19"/>
          <w:color w:val="auto"/>
        </w:rPr>
        <w:t>all stock options that have not vested as of the termination of your employment (your “Separation Date”), but that would have vested on or before the end of the Contract Period or, if longer, twelve (12) months following your Separation Date, shall become fully vested on the later of your Separation Date or upon receipt of a Release executed by you, and such stock options shall remain exercisable for six (6) months after your Separation Date (or if longer, such period provided under the terms of the applicable long-term incentive plan and/or the award agreements evidencing such stock options), but in no event later than the expiration date of such options; and</w:t>
      </w:r>
    </w:p>
    <w:p>
      <w:pPr>
        <w:spacing w:after="0" w:line="142" w:lineRule="exact"/>
        <w:rPr>
          <w:rFonts w:ascii="Arial" w:cs="Arial" w:eastAsia="Arial" w:hAnsi="Arial"/>
          <w:sz w:val="19"/>
          <w:szCs w:val="19"/>
          <w:i w:val="1"/>
          <w:iCs w:val="1"/>
          <w:color w:val="auto"/>
        </w:rPr>
      </w:pPr>
    </w:p>
    <w:p>
      <w:pPr>
        <w:jc w:val="both"/>
        <w:ind w:left="1920" w:hanging="6"/>
        <w:spacing w:after="0" w:line="230" w:lineRule="auto"/>
        <w:tabs>
          <w:tab w:leader="none" w:pos="2535" w:val="left"/>
        </w:tabs>
        <w:numPr>
          <w:ilvl w:val="1"/>
          <w:numId w:val="104"/>
        </w:numPr>
        <w:rPr>
          <w:rFonts w:ascii="Arial" w:cs="Arial" w:eastAsia="Arial" w:hAnsi="Arial"/>
          <w:sz w:val="19"/>
          <w:szCs w:val="19"/>
          <w:i w:val="1"/>
          <w:iCs w:val="1"/>
          <w:color w:val="auto"/>
        </w:rPr>
      </w:pPr>
      <w:r>
        <w:rPr>
          <w:rFonts w:ascii="Arial" w:cs="Arial" w:eastAsia="Arial" w:hAnsi="Arial"/>
          <w:sz w:val="19"/>
          <w:szCs w:val="19"/>
          <w:color w:val="auto"/>
        </w:rPr>
        <w:t>all outstanding stock options that have vested on or prior to your Separation Date shall remain exercisable for six (6) months after such date (or if longer, such period provided under the terms of the applicable long-term incentive plan and/or the award agreements evidencing such stock options), but in no event later than the expiration date of such options.</w:t>
      </w:r>
    </w:p>
    <w:p>
      <w:pPr>
        <w:sectPr>
          <w:pgSz w:w="11900" w:h="16838" w:orient="portrait"/>
          <w:cols w:equalWidth="0" w:num="1">
            <w:col w:w="11240"/>
          </w:cols>
          <w:pgMar w:left="320" w:top="595" w:right="339" w:bottom="1440" w:gutter="0" w:footer="0" w:header="0"/>
        </w:sectPr>
      </w:pPr>
    </w:p>
    <w:bookmarkStart w:id="164" w:name="page165"/>
    <w:bookmarkEnd w:id="164"/>
    <w:p>
      <w:pPr>
        <w:spacing w:after="0"/>
        <w:rPr>
          <w:sz w:val="20"/>
          <w:szCs w:val="20"/>
          <w:color w:val="auto"/>
        </w:rPr>
      </w:pPr>
      <w:r>
        <w:rPr>
          <w:rFonts w:ascii="Arial" w:cs="Arial" w:eastAsia="Arial" w:hAnsi="Arial"/>
          <w:sz w:val="19"/>
          <w:szCs w:val="19"/>
          <w:color w:val="auto"/>
        </w:rPr>
        <w:t>Mr. Chris McCarthy</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As of January 1, 2023</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Page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1920" w:hanging="642"/>
        <w:spacing w:after="0" w:line="220" w:lineRule="auto"/>
        <w:tabs>
          <w:tab w:leader="none" w:pos="1911" w:val="left"/>
        </w:tabs>
        <w:numPr>
          <w:ilvl w:val="0"/>
          <w:numId w:val="105"/>
        </w:numPr>
        <w:rPr>
          <w:rFonts w:ascii="Arial" w:cs="Arial" w:eastAsia="Arial" w:hAnsi="Arial"/>
          <w:sz w:val="19"/>
          <w:szCs w:val="19"/>
          <w:color w:val="auto"/>
        </w:rPr>
      </w:pPr>
      <w:r>
        <w:rPr>
          <w:rFonts w:ascii="Arial" w:cs="Arial" w:eastAsia="Arial" w:hAnsi="Arial"/>
          <w:sz w:val="19"/>
          <w:szCs w:val="19"/>
          <w:color w:val="auto"/>
        </w:rPr>
        <w:t>All restricted share units, performance share units and/or restricted shares granted to you under any of the Company’s long-term incentive plans in effect from time to time that have not vested as of your Separation Date, but that would have vested on or before the end of the Contract Period or, if longer, twelve (12) months following your Separation Date, shall become fully vested on the later of your Separation Date or upon receipt of a Release executed by you and be settled within ten (10) business days thereafter; provided, that if any such award (or portion of an award) remains subject to performance-based vesting conditions as of the Separation Date, then except as otherwise expressly provided by the terms of such award, the award shall be deemed to have been earned at the target level of performance and such award shall fully vest on the later of your Separation Date or upon receipt of a Release executed by you and be settled within ten (10) business days thereafter.</w:t>
      </w:r>
    </w:p>
    <w:p>
      <w:pPr>
        <w:spacing w:after="0" w:line="156" w:lineRule="exact"/>
        <w:rPr>
          <w:rFonts w:ascii="Arial" w:cs="Arial" w:eastAsia="Arial" w:hAnsi="Arial"/>
          <w:sz w:val="19"/>
          <w:szCs w:val="19"/>
          <w:color w:val="auto"/>
        </w:rPr>
      </w:pPr>
    </w:p>
    <w:p>
      <w:pPr>
        <w:jc w:val="both"/>
        <w:ind w:left="1920"/>
        <w:spacing w:after="0" w:line="234" w:lineRule="auto"/>
        <w:rPr>
          <w:rFonts w:ascii="Arial" w:cs="Arial" w:eastAsia="Arial" w:hAnsi="Arial"/>
          <w:sz w:val="19"/>
          <w:szCs w:val="19"/>
          <w:color w:val="auto"/>
        </w:rPr>
      </w:pPr>
      <w:r>
        <w:rPr>
          <w:rFonts w:ascii="Arial" w:cs="Arial" w:eastAsia="Arial" w:hAnsi="Arial"/>
          <w:sz w:val="19"/>
          <w:szCs w:val="19"/>
          <w:color w:val="auto"/>
        </w:rPr>
        <w:t>For purposes of clarity and avoidance of doubt, there shall be no acceleration of the vesting of any equity or long-term incentive awards granted to you under any of the Company’s long-term plans in effect from time to time, unless otherwise provided herein or under the terms of the applicable long-term incentive plan; and</w:t>
      </w:r>
    </w:p>
    <w:p>
      <w:pPr>
        <w:spacing w:after="0" w:line="169" w:lineRule="exact"/>
        <w:rPr>
          <w:rFonts w:ascii="Arial" w:cs="Arial" w:eastAsia="Arial" w:hAnsi="Arial"/>
          <w:sz w:val="19"/>
          <w:szCs w:val="19"/>
          <w:color w:val="auto"/>
        </w:rPr>
      </w:pPr>
    </w:p>
    <w:p>
      <w:pPr>
        <w:ind w:left="1900" w:hanging="622"/>
        <w:spacing w:after="0"/>
        <w:tabs>
          <w:tab w:leader="none" w:pos="190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The Company shall pay or continue to provide, as applicable, the Accrued Compensation and Benefits.</w:t>
      </w:r>
    </w:p>
    <w:p>
      <w:pPr>
        <w:spacing w:after="0" w:line="206" w:lineRule="exact"/>
        <w:rPr>
          <w:sz w:val="20"/>
          <w:szCs w:val="20"/>
          <w:color w:val="auto"/>
        </w:rPr>
      </w:pPr>
    </w:p>
    <w:p>
      <w:pPr>
        <w:jc w:val="both"/>
        <w:ind w:firstLine="1278"/>
        <w:spacing w:after="0" w:line="220" w:lineRule="auto"/>
        <w:tabs>
          <w:tab w:leader="none" w:pos="1907"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Release</w:t>
      </w:r>
      <w:r>
        <w:rPr>
          <w:rFonts w:ascii="Arial" w:cs="Arial" w:eastAsia="Arial" w:hAnsi="Arial"/>
          <w:sz w:val="19"/>
          <w:szCs w:val="19"/>
          <w:color w:val="auto"/>
        </w:rPr>
        <w:t>. Your entitlement to the payments and benefits described in this paragraph 11 is conditioned on your execution and delivery to the Company, within sixty (60) days after your termination of employment (the “</w:t>
      </w:r>
      <w:r>
        <w:rPr>
          <w:rFonts w:ascii="Arial" w:cs="Arial" w:eastAsia="Arial" w:hAnsi="Arial"/>
          <w:sz w:val="19"/>
          <w:szCs w:val="19"/>
          <w:u w:val="single" w:color="auto"/>
          <w:color w:val="auto"/>
        </w:rPr>
        <w:t>Release Deadline</w:t>
      </w:r>
      <w:r>
        <w:rPr>
          <w:rFonts w:ascii="Arial" w:cs="Arial" w:eastAsia="Arial" w:hAnsi="Arial"/>
          <w:sz w:val="19"/>
          <w:szCs w:val="19"/>
          <w:color w:val="auto"/>
        </w:rPr>
        <w:t>”), of a release in substantially the form appended hereto as Appendix A that remains in effect and becomes irrevocable after the expiration of any statutory period in which you are permitted to revoke a release (the “</w:t>
      </w:r>
      <w:r>
        <w:rPr>
          <w:rFonts w:ascii="Arial" w:cs="Arial" w:eastAsia="Arial" w:hAnsi="Arial"/>
          <w:sz w:val="19"/>
          <w:szCs w:val="19"/>
          <w:u w:val="single" w:color="auto"/>
          <w:color w:val="auto"/>
        </w:rPr>
        <w:t>Release</w:t>
      </w:r>
      <w:r>
        <w:rPr>
          <w:rFonts w:ascii="Arial" w:cs="Arial" w:eastAsia="Arial" w:hAnsi="Arial"/>
          <w:sz w:val="19"/>
          <w:szCs w:val="19"/>
          <w:color w:val="auto"/>
        </w:rPr>
        <w:t>”). If you fail to execute and deliver the Release by the Release Deadline, or if you thereafter effectively revoke the Release, the Company shall be under no obligation to make any further payments or provide any further benefits to you and any payments and benefits previously provided to you pursuant to this paragraph 11 shall not have been earned. In such event, you shall promptly repay the Company any payments made and the Company’s direct cost for any benefits provided to you pursuant to this paragraph 11. The limitations of this paragraph shall not apply to the Accrued Compensation and Benefits.</w:t>
      </w:r>
    </w:p>
    <w:p>
      <w:pPr>
        <w:spacing w:after="0" w:line="158" w:lineRule="exact"/>
        <w:rPr>
          <w:rFonts w:ascii="Arial" w:cs="Arial" w:eastAsia="Arial" w:hAnsi="Arial"/>
          <w:sz w:val="19"/>
          <w:szCs w:val="19"/>
          <w:color w:val="auto"/>
        </w:rPr>
      </w:pPr>
    </w:p>
    <w:p>
      <w:pPr>
        <w:jc w:val="both"/>
        <w:ind w:firstLine="1278"/>
        <w:spacing w:after="0" w:line="220" w:lineRule="auto"/>
        <w:tabs>
          <w:tab w:leader="none" w:pos="1907"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Offset</w:t>
      </w:r>
      <w:r>
        <w:rPr>
          <w:rFonts w:ascii="Arial" w:cs="Arial" w:eastAsia="Arial" w:hAnsi="Arial"/>
          <w:sz w:val="19"/>
          <w:szCs w:val="19"/>
          <w:color w:val="auto"/>
        </w:rPr>
        <w:t>. The amount of payments provided in paragraph 11 in respect of the period that begins twelve (12) months after the termination of your employment shall be reduced by any compensation for services earned by you (including as an independent consultant or independent contractor) from any source in respect of the period that begins twelve (12) months after the termination of your employment and ends when the Company is no longer required to make payments pursuant to paragraph 11 (the “</w:t>
      </w:r>
      <w:r>
        <w:rPr>
          <w:rFonts w:ascii="Arial" w:cs="Arial" w:eastAsia="Arial" w:hAnsi="Arial"/>
          <w:sz w:val="19"/>
          <w:szCs w:val="19"/>
          <w:u w:val="single" w:color="auto"/>
          <w:color w:val="auto"/>
        </w:rPr>
        <w:t>Offset Period</w:t>
      </w:r>
      <w:r>
        <w:rPr>
          <w:rFonts w:ascii="Arial" w:cs="Arial" w:eastAsia="Arial" w:hAnsi="Arial"/>
          <w:sz w:val="19"/>
          <w:szCs w:val="19"/>
          <w:color w:val="auto"/>
        </w:rPr>
        <w:t>”), including, without limitation, salary, sign-on or annual bonus, consulting fees, commission payments and any amounts the payment of which is deferred at your election, or with your consent, until after the expiration of the Offset Period; provided that, if the Company in its reasonable discretion determines that any grant of long-term compensation is made in substitution of the aforementioned payments, such payments shall be further reduced by the value on the date of grant, as reasonably determined by the Company, of such long-term compensation you receive. You agree to promptly notify the Company of any arrangements during the Offset Period in which you earn compensation for</w:t>
      </w:r>
    </w:p>
    <w:p>
      <w:pPr>
        <w:sectPr>
          <w:pgSz w:w="11900" w:h="16838" w:orient="portrait"/>
          <w:cols w:equalWidth="0" w:num="1">
            <w:col w:w="11240"/>
          </w:cols>
          <w:pgMar w:left="320" w:top="595" w:right="339" w:bottom="1440" w:gutter="0" w:footer="0" w:header="0"/>
        </w:sectPr>
      </w:pPr>
    </w:p>
    <w:bookmarkStart w:id="165" w:name="page166"/>
    <w:bookmarkEnd w:id="165"/>
    <w:p>
      <w:pPr>
        <w:spacing w:after="0"/>
        <w:rPr>
          <w:sz w:val="20"/>
          <w:szCs w:val="20"/>
          <w:color w:val="auto"/>
        </w:rPr>
      </w:pPr>
      <w:r>
        <w:rPr>
          <w:rFonts w:ascii="Arial" w:cs="Arial" w:eastAsia="Arial" w:hAnsi="Arial"/>
          <w:sz w:val="19"/>
          <w:szCs w:val="19"/>
          <w:color w:val="auto"/>
        </w:rPr>
        <w:t>Mr. Chris McCarthy</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As of January 1, 2023</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Page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9"/>
          <w:szCs w:val="19"/>
          <w:color w:val="auto"/>
        </w:rPr>
        <w:t>services and to cooperate fully with the Company in determining the amount of any such reduction.</w:t>
      </w:r>
    </w:p>
    <w:p>
      <w:pPr>
        <w:spacing w:after="0" w:line="192" w:lineRule="exact"/>
        <w:rPr>
          <w:sz w:val="20"/>
          <w:szCs w:val="20"/>
          <w:color w:val="auto"/>
        </w:rPr>
      </w:pPr>
    </w:p>
    <w:p>
      <w:pPr>
        <w:jc w:val="both"/>
        <w:ind w:firstLine="1516"/>
        <w:spacing w:after="0" w:line="230" w:lineRule="auto"/>
        <w:tabs>
          <w:tab w:leader="none" w:pos="1900" w:val="left"/>
        </w:tabs>
        <w:numPr>
          <w:ilvl w:val="1"/>
          <w:numId w:val="107"/>
        </w:numPr>
        <w:rPr>
          <w:rFonts w:ascii="Arial" w:cs="Arial" w:eastAsia="Arial" w:hAnsi="Arial"/>
          <w:sz w:val="19"/>
          <w:szCs w:val="19"/>
          <w:color w:val="auto"/>
        </w:rPr>
      </w:pPr>
      <w:r>
        <w:rPr>
          <w:rFonts w:ascii="Arial" w:cs="Arial" w:eastAsia="Arial" w:hAnsi="Arial"/>
          <w:sz w:val="19"/>
          <w:szCs w:val="19"/>
          <w:u w:val="single" w:color="auto"/>
          <w:color w:val="auto"/>
        </w:rPr>
        <w:t>Resignation in Breach of the Agreement</w:t>
      </w:r>
      <w:r>
        <w:rPr>
          <w:rFonts w:ascii="Arial" w:cs="Arial" w:eastAsia="Arial" w:hAnsi="Arial"/>
          <w:sz w:val="19"/>
          <w:szCs w:val="19"/>
          <w:color w:val="auto"/>
        </w:rPr>
        <w:t>. If you resign other than for Good Reason prior to the expiration of the Contract Period, such resignation is a material breach of this Agreement and, without limitation of other rights or remedies available to the Company, the Company shall have no further obligations to you under this Agreement or otherwise, except to make termination payments provided in paragraph 10(a).</w:t>
      </w:r>
    </w:p>
    <w:p>
      <w:pPr>
        <w:spacing w:after="0" w:line="142" w:lineRule="exact"/>
        <w:rPr>
          <w:rFonts w:ascii="Arial" w:cs="Arial" w:eastAsia="Arial" w:hAnsi="Arial"/>
          <w:sz w:val="19"/>
          <w:szCs w:val="19"/>
          <w:color w:val="auto"/>
        </w:rPr>
      </w:pPr>
    </w:p>
    <w:p>
      <w:pPr>
        <w:ind w:left="1900" w:hanging="384"/>
        <w:spacing w:after="0"/>
        <w:tabs>
          <w:tab w:leader="none" w:pos="1900" w:val="left"/>
        </w:tabs>
        <w:numPr>
          <w:ilvl w:val="1"/>
          <w:numId w:val="107"/>
        </w:numPr>
        <w:rPr>
          <w:rFonts w:ascii="Arial" w:cs="Arial" w:eastAsia="Arial" w:hAnsi="Arial"/>
          <w:sz w:val="19"/>
          <w:szCs w:val="19"/>
          <w:color w:val="auto"/>
        </w:rPr>
      </w:pPr>
      <w:r>
        <w:rPr>
          <w:rFonts w:ascii="Arial" w:cs="Arial" w:eastAsia="Arial" w:hAnsi="Arial"/>
          <w:sz w:val="19"/>
          <w:szCs w:val="19"/>
          <w:u w:val="single" w:color="auto"/>
          <w:color w:val="auto"/>
        </w:rPr>
        <w:t>Termination Due to Death.</w:t>
      </w:r>
    </w:p>
    <w:p>
      <w:pPr>
        <w:spacing w:after="0" w:line="192" w:lineRule="exact"/>
        <w:rPr>
          <w:rFonts w:ascii="Arial" w:cs="Arial" w:eastAsia="Arial" w:hAnsi="Arial"/>
          <w:sz w:val="19"/>
          <w:szCs w:val="19"/>
          <w:color w:val="auto"/>
        </w:rPr>
      </w:pPr>
    </w:p>
    <w:p>
      <w:pPr>
        <w:jc w:val="both"/>
        <w:ind w:firstLine="1278"/>
        <w:spacing w:after="0" w:line="213" w:lineRule="auto"/>
        <w:tabs>
          <w:tab w:leader="none" w:pos="1907"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Death While Employed</w:t>
      </w:r>
      <w:r>
        <w:rPr>
          <w:rFonts w:ascii="Arial" w:cs="Arial" w:eastAsia="Arial" w:hAnsi="Arial"/>
          <w:sz w:val="19"/>
          <w:szCs w:val="19"/>
          <w:color w:val="auto"/>
        </w:rPr>
        <w:t>. In the event of your death prior to the end of the Contract Period while actively employed with the Company, this Agreement shall automatically terminate. Thereafter, your designated beneficiary (or, if there is no such beneficiary, your estate) shall receive (i) any Accrued Compensation and Benefits as of the date of your death and (ii) for the year in which death occurs, any Bonus or Pro-Rated Bonus, as applicable, which you would have been eligible to receive, calculated in accordance with paragraph 19(e)(iii). In no event shall a distribution be made pursuant to clause (i) in the preceding sentence later than the 60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following your death and a distribution pursuant to clause (ii) in the preceding sentence shall be made at the same time and in the same manner as if you were still actively employed with the Company.</w:t>
      </w:r>
    </w:p>
    <w:p>
      <w:pPr>
        <w:spacing w:after="0" w:line="158" w:lineRule="exact"/>
        <w:rPr>
          <w:rFonts w:ascii="Arial" w:cs="Arial" w:eastAsia="Arial" w:hAnsi="Arial"/>
          <w:sz w:val="19"/>
          <w:szCs w:val="19"/>
          <w:color w:val="auto"/>
        </w:rPr>
      </w:pPr>
    </w:p>
    <w:p>
      <w:pPr>
        <w:jc w:val="both"/>
        <w:ind w:firstLine="1278"/>
        <w:spacing w:after="0" w:line="212" w:lineRule="auto"/>
        <w:tabs>
          <w:tab w:leader="none" w:pos="1907"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Death After the End of Employment</w:t>
      </w:r>
      <w:r>
        <w:rPr>
          <w:rFonts w:ascii="Arial" w:cs="Arial" w:eastAsia="Arial" w:hAnsi="Arial"/>
          <w:sz w:val="19"/>
          <w:szCs w:val="19"/>
          <w:color w:val="auto"/>
        </w:rPr>
        <w:t>. In the event of your death while you are entitled to receive compensation or benefits under paragraphs 11 or 15, in lieu of such payments your designated beneficiary (or, if there is no such beneficiary, your estate) shall receive, to the extent not previously paid to you, (i) continuation of Salary pursuant to the applicable paragraph through the date of death; (ii) if you were entitled to receive compensation or benefits under paragraph 11, for the year in which death occurs, any Bonus or Pro-Rated Bonus, as applicable, for the year in which death occurs, payable under such paragraph, calculated in accordance with paragraph 19(e)(iii); and (iii) any Accrued Compensation and Benefits. In no event shall a distribution be made pursuant to clauses (i) and (iii) in the preceding sentence later than the 60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following your death and a distribution pursuant to clause (ii) in the preceding sentence shall be made at the same time and in the same manner as if you were still actively employed with the Company.</w:t>
      </w:r>
    </w:p>
    <w:p>
      <w:pPr>
        <w:spacing w:after="0" w:line="149" w:lineRule="exact"/>
        <w:rPr>
          <w:rFonts w:ascii="Arial" w:cs="Arial" w:eastAsia="Arial" w:hAnsi="Arial"/>
          <w:sz w:val="19"/>
          <w:szCs w:val="19"/>
          <w:color w:val="auto"/>
        </w:rPr>
      </w:pPr>
    </w:p>
    <w:p>
      <w:pPr>
        <w:jc w:val="both"/>
        <w:ind w:firstLine="1516"/>
        <w:spacing w:after="0" w:line="220" w:lineRule="auto"/>
        <w:tabs>
          <w:tab w:leader="none" w:pos="1900" w:val="left"/>
        </w:tabs>
        <w:numPr>
          <w:ilvl w:val="1"/>
          <w:numId w:val="108"/>
        </w:numPr>
        <w:rPr>
          <w:rFonts w:ascii="Arial" w:cs="Arial" w:eastAsia="Arial" w:hAnsi="Arial"/>
          <w:sz w:val="19"/>
          <w:szCs w:val="19"/>
          <w:color w:val="auto"/>
        </w:rPr>
      </w:pPr>
      <w:r>
        <w:rPr>
          <w:rFonts w:ascii="Arial" w:cs="Arial" w:eastAsia="Arial" w:hAnsi="Arial"/>
          <w:sz w:val="19"/>
          <w:szCs w:val="19"/>
          <w:u w:val="single" w:color="auto"/>
          <w:color w:val="auto"/>
        </w:rPr>
        <w:t>Long Term Disability</w:t>
      </w:r>
      <w:r>
        <w:rPr>
          <w:rFonts w:ascii="Arial" w:cs="Arial" w:eastAsia="Arial" w:hAnsi="Arial"/>
          <w:sz w:val="19"/>
          <w:szCs w:val="19"/>
          <w:color w:val="auto"/>
        </w:rPr>
        <w:t>. In the event you are absent due to a LTD and you are receiving compensation under a Company LTD plan, then, effective on the date you begin receiving compensation under such plan, (i) this Agreement shall terminate without any further action required by the Company, (ii) you shall be considered an “at-will” employee of the Company, and (iii) you shall have no guarantee of specific future employment nor continuing employment generally when your receipt of compensation under a Company LTD plan ends, except as required by applicable law. In the event of such termination of this Agreement, you shall receive (i) any Accrued Compensation and Benefits and (ii) for the year in which such termination occurs, any Bonus or Pro-Rated Bonus, as applicable, which you would have been entitled to receive, calculated in accordance with paragraph 19(e)(iii). Except as set forth in the previous sentence, the compensation provided to you under the applicable LTD plan shall be in lieu of any compensation from the Company (including, but not limited to, the Salary provided under this Agreement or otherwise). Your participation in any other Company benefit plans or programs shall be governed by the terms of the applicable plan or program documents, award agreements and certificates.</w:t>
      </w:r>
    </w:p>
    <w:p>
      <w:pPr>
        <w:sectPr>
          <w:pgSz w:w="11900" w:h="16838" w:orient="portrait"/>
          <w:cols w:equalWidth="0" w:num="1">
            <w:col w:w="11240"/>
          </w:cols>
          <w:pgMar w:left="320" w:top="595" w:right="339" w:bottom="1440" w:gutter="0" w:footer="0" w:header="0"/>
        </w:sectPr>
      </w:pPr>
    </w:p>
    <w:bookmarkStart w:id="166" w:name="page167"/>
    <w:bookmarkEnd w:id="166"/>
    <w:p>
      <w:pPr>
        <w:spacing w:after="0"/>
        <w:rPr>
          <w:sz w:val="20"/>
          <w:szCs w:val="20"/>
          <w:color w:val="auto"/>
        </w:rPr>
      </w:pPr>
      <w:r>
        <w:rPr>
          <w:rFonts w:ascii="Arial" w:cs="Arial" w:eastAsia="Arial" w:hAnsi="Arial"/>
          <w:sz w:val="19"/>
          <w:szCs w:val="19"/>
          <w:color w:val="auto"/>
        </w:rPr>
        <w:t>Mr. Chris McCarthy</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As of January 1, 2023</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Page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1516"/>
        <w:spacing w:after="0" w:line="220" w:lineRule="auto"/>
        <w:tabs>
          <w:tab w:leader="none" w:pos="1900" w:val="left"/>
        </w:tabs>
        <w:numPr>
          <w:ilvl w:val="1"/>
          <w:numId w:val="109"/>
        </w:numPr>
        <w:rPr>
          <w:rFonts w:ascii="Arial" w:cs="Arial" w:eastAsia="Arial" w:hAnsi="Arial"/>
          <w:sz w:val="19"/>
          <w:szCs w:val="19"/>
          <w:color w:val="auto"/>
        </w:rPr>
      </w:pPr>
      <w:r>
        <w:rPr>
          <w:rFonts w:ascii="Arial" w:cs="Arial" w:eastAsia="Arial" w:hAnsi="Arial"/>
          <w:sz w:val="19"/>
          <w:szCs w:val="19"/>
          <w:u w:val="single" w:color="auto"/>
          <w:color w:val="auto"/>
        </w:rPr>
        <w:t>Non-Renewal</w:t>
      </w:r>
      <w:r>
        <w:rPr>
          <w:rFonts w:ascii="Arial" w:cs="Arial" w:eastAsia="Arial" w:hAnsi="Arial"/>
          <w:sz w:val="19"/>
          <w:szCs w:val="19"/>
          <w:color w:val="auto"/>
        </w:rPr>
        <w:t>. If the Company does not extend or renew this Agreement at the end of the Contract Period and you have not entered into a new contractual relationship with the Company, your continuing employment with the Company shall be “at-will” and may be terminated at any time by either party. If the Company terminates your employment during the twelve</w:t>
      </w:r>
    </w:p>
    <w:p>
      <w:pPr>
        <w:jc w:val="both"/>
        <w:ind w:firstLine="6"/>
        <w:spacing w:after="0" w:line="212" w:lineRule="auto"/>
        <w:tabs>
          <w:tab w:leader="none" w:pos="41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month period commencing with the last day of the Contract Period while you are an employee at-will, the Company shall (a) continue to pay your Salary (at the rate in effect on the date of termination) at the same time and in the same manner as if you had not terminated employment for the balance, if any, of such twelve (12) month period; (b) all stock options that have not vested as of the termination of your employment, but that would have vested on or before the end of the twelve (12) month period commencing with the last day of the Contract Period while you are an employee at-will, shall become fully vested on the later of your Separation Date or upon receipt of a Release executed by you, and such stock options shall remain exercisable for six (6) months after your Separation Date (or if longer, such period provided under the terms of the applicable long-term incentive plan and/or the award agreements evidencing such stock options), but in no event later than the expiration date of such options; and (c) all restricted share units, performance share units and/or restricted shares granted to you under any of the Company’s long-term incentive plans in effect from time to time that have not vested as of the termination of your employment, but that would have vested on or before the end of the twelve (12) month period commencing with the last day of the Contract Period while you are an employee at-will, shall become fully vested on the later of your Separation Date or upon receipt of a Release executed by you and be settled within ten (10) business days thereafter (provided, that if any such award (or portion of an award) remains subject to performance-based vesting conditions as of the date of your termination of employment while an employee at-will, then except as otherwise expressly provided by the terms of such award, the award shall be deemed to have been earned at the target level of performance and such award shall fully vest on the later of your termination date or upon receipt of a Release executed by you and be settled within ten</w:t>
      </w:r>
    </w:p>
    <w:p>
      <w:pPr>
        <w:spacing w:after="0" w:line="12" w:lineRule="exact"/>
        <w:rPr>
          <w:rFonts w:ascii="Arial" w:cs="Arial" w:eastAsia="Arial" w:hAnsi="Arial"/>
          <w:sz w:val="19"/>
          <w:szCs w:val="19"/>
          <w:color w:val="auto"/>
        </w:rPr>
      </w:pPr>
    </w:p>
    <w:p>
      <w:pPr>
        <w:jc w:val="both"/>
        <w:ind w:firstLine="6"/>
        <w:spacing w:after="0" w:line="225" w:lineRule="auto"/>
        <w:tabs>
          <w:tab w:leader="none" w:pos="459" w:val="left"/>
        </w:tabs>
        <w:numPr>
          <w:ilvl w:val="0"/>
          <w:numId w:val="111"/>
        </w:numPr>
        <w:rPr>
          <w:rFonts w:ascii="Arial" w:cs="Arial" w:eastAsia="Arial" w:hAnsi="Arial"/>
          <w:sz w:val="19"/>
          <w:szCs w:val="19"/>
          <w:color w:val="auto"/>
        </w:rPr>
      </w:pPr>
      <w:r>
        <w:rPr>
          <w:rFonts w:ascii="Arial" w:cs="Arial" w:eastAsia="Arial" w:hAnsi="Arial"/>
          <w:sz w:val="19"/>
          <w:szCs w:val="19"/>
          <w:color w:val="auto"/>
        </w:rPr>
        <w:t>business days thereafter). Notwithstanding the preceding sentence, (</w:t>
      </w:r>
      <w:r>
        <w:rPr>
          <w:rFonts w:ascii="Arial" w:cs="Arial" w:eastAsia="Arial" w:hAnsi="Arial"/>
          <w:sz w:val="19"/>
          <w:szCs w:val="19"/>
          <w:i w:val="1"/>
          <w:iCs w:val="1"/>
          <w:color w:val="auto"/>
        </w:rPr>
        <w:t>x</w:t>
      </w:r>
      <w:r>
        <w:rPr>
          <w:rFonts w:ascii="Arial" w:cs="Arial" w:eastAsia="Arial" w:hAnsi="Arial"/>
          <w:sz w:val="19"/>
          <w:szCs w:val="19"/>
          <w:color w:val="auto"/>
        </w:rPr>
        <w:t>) you shall not be entitled to any such Salary continuation or equity vesting if the Company terminates your employment for reasons constituting Cause, and (</w:t>
      </w:r>
      <w:r>
        <w:rPr>
          <w:rFonts w:ascii="Arial" w:cs="Arial" w:eastAsia="Arial" w:hAnsi="Arial"/>
          <w:sz w:val="19"/>
          <w:szCs w:val="19"/>
          <w:i w:val="1"/>
          <w:iCs w:val="1"/>
          <w:color w:val="auto"/>
        </w:rPr>
        <w:t>y</w:t>
      </w:r>
      <w:r>
        <w:rPr>
          <w:rFonts w:ascii="Arial" w:cs="Arial" w:eastAsia="Arial" w:hAnsi="Arial"/>
          <w:sz w:val="19"/>
          <w:szCs w:val="19"/>
          <w:color w:val="auto"/>
        </w:rPr>
        <w:t>) any such Salary continuation and equity vesting shall be subject to offset as set forth in Section 11(e) above, without giving effect to the twelve (12) month period referenced therein.</w:t>
      </w:r>
    </w:p>
    <w:p>
      <w:pPr>
        <w:spacing w:after="0" w:line="156" w:lineRule="exact"/>
        <w:rPr>
          <w:rFonts w:ascii="Arial" w:cs="Arial" w:eastAsia="Arial" w:hAnsi="Arial"/>
          <w:sz w:val="19"/>
          <w:szCs w:val="19"/>
          <w:color w:val="auto"/>
        </w:rPr>
      </w:pPr>
    </w:p>
    <w:p>
      <w:pPr>
        <w:jc w:val="both"/>
        <w:ind w:firstLine="1516"/>
        <w:spacing w:after="0" w:line="220" w:lineRule="auto"/>
        <w:tabs>
          <w:tab w:leader="none" w:pos="1900" w:val="left"/>
        </w:tabs>
        <w:numPr>
          <w:ilvl w:val="1"/>
          <w:numId w:val="111"/>
        </w:numPr>
        <w:rPr>
          <w:rFonts w:ascii="Arial" w:cs="Arial" w:eastAsia="Arial" w:hAnsi="Arial"/>
          <w:sz w:val="19"/>
          <w:szCs w:val="19"/>
          <w:color w:val="auto"/>
        </w:rPr>
      </w:pPr>
      <w:r>
        <w:rPr>
          <w:rFonts w:ascii="Arial" w:cs="Arial" w:eastAsia="Arial" w:hAnsi="Arial"/>
          <w:sz w:val="19"/>
          <w:szCs w:val="19"/>
          <w:u w:val="single" w:color="auto"/>
          <w:color w:val="auto"/>
        </w:rPr>
        <w:t>Severance Plan Adjustment</w:t>
      </w:r>
      <w:r>
        <w:rPr>
          <w:rFonts w:ascii="Arial" w:cs="Arial" w:eastAsia="Arial" w:hAnsi="Arial"/>
          <w:sz w:val="19"/>
          <w:szCs w:val="19"/>
          <w:color w:val="auto"/>
        </w:rPr>
        <w:t>. In the event that your employment with the Company terminates pursuant to paragraph 11 or 15, and, at the time of your termination of employment there is in effect a Company severance plan (a “Severance Plan”) for which you would have been eligible to participate but for your having entered into this Agreement or being a Specified Employee and which provides for severance compensation that is greater than the amounts to which you are entitled under paragraphs 11(c)(i) and 11(c)(ii) or paragraph 15, then the amounts, but not the time or form of payment, of your severance compensation under this Agreement shall automatically be adjusted to equal those that would have been provided to you under the Severance Plan; provided that to the extent you were entitled to any amounts under this Agreement, the time and form of such amounts shall not be adjusted.. For the avoidance of doubt, any payment entitlement pursuant to this paragraph 16 is in lieu of, and not in addition to, any severance compensation to which you may otherwise be entitled under this Agreement. Notwithstanding any adjustment to the amount of your entitlements pursuant to this paragraph 16, all other provisions of this Agreement shall remain in effect, including, without limitation, paragraphs 6, 7, 8 and 9.</w:t>
      </w:r>
    </w:p>
    <w:p>
      <w:pPr>
        <w:sectPr>
          <w:pgSz w:w="11900" w:h="16838" w:orient="portrait"/>
          <w:cols w:equalWidth="0" w:num="1">
            <w:col w:w="11240"/>
          </w:cols>
          <w:pgMar w:left="320" w:top="595" w:right="339" w:bottom="1440" w:gutter="0" w:footer="0" w:header="0"/>
        </w:sectPr>
      </w:pPr>
    </w:p>
    <w:bookmarkStart w:id="167" w:name="page168"/>
    <w:bookmarkEnd w:id="167"/>
    <w:p>
      <w:pPr>
        <w:spacing w:after="0"/>
        <w:rPr>
          <w:sz w:val="20"/>
          <w:szCs w:val="20"/>
          <w:color w:val="auto"/>
        </w:rPr>
      </w:pPr>
      <w:r>
        <w:rPr>
          <w:rFonts w:ascii="Arial" w:cs="Arial" w:eastAsia="Arial" w:hAnsi="Arial"/>
          <w:sz w:val="19"/>
          <w:szCs w:val="19"/>
          <w:color w:val="auto"/>
        </w:rPr>
        <w:t>Mr. Chris McCarthy</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As of January 1, 2023</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Page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900" w:hanging="384"/>
        <w:spacing w:after="0"/>
        <w:tabs>
          <w:tab w:leader="none" w:pos="1900" w:val="left"/>
        </w:tabs>
        <w:numPr>
          <w:ilvl w:val="1"/>
          <w:numId w:val="112"/>
        </w:numPr>
        <w:rPr>
          <w:rFonts w:ascii="Arial" w:cs="Arial" w:eastAsia="Arial" w:hAnsi="Arial"/>
          <w:sz w:val="19"/>
          <w:szCs w:val="19"/>
          <w:color w:val="auto"/>
        </w:rPr>
      </w:pPr>
      <w:r>
        <w:rPr>
          <w:rFonts w:ascii="Arial" w:cs="Arial" w:eastAsia="Arial" w:hAnsi="Arial"/>
          <w:sz w:val="19"/>
          <w:szCs w:val="19"/>
          <w:u w:val="single" w:color="auto"/>
          <w:color w:val="auto"/>
        </w:rPr>
        <w:t>Further Events on Termination of Employment.</w:t>
      </w:r>
    </w:p>
    <w:p>
      <w:pPr>
        <w:spacing w:after="0" w:line="192" w:lineRule="exact"/>
        <w:rPr>
          <w:rFonts w:ascii="Arial" w:cs="Arial" w:eastAsia="Arial" w:hAnsi="Arial"/>
          <w:sz w:val="19"/>
          <w:szCs w:val="19"/>
          <w:color w:val="auto"/>
        </w:rPr>
      </w:pPr>
    </w:p>
    <w:p>
      <w:pPr>
        <w:jc w:val="both"/>
        <w:ind w:firstLine="1278"/>
        <w:spacing w:after="0" w:line="225" w:lineRule="auto"/>
        <w:tabs>
          <w:tab w:leader="none" w:pos="1907"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Termination of Benefits</w:t>
      </w:r>
      <w:r>
        <w:rPr>
          <w:rFonts w:ascii="Arial" w:cs="Arial" w:eastAsia="Arial" w:hAnsi="Arial"/>
          <w:sz w:val="19"/>
          <w:szCs w:val="19"/>
          <w:color w:val="auto"/>
        </w:rPr>
        <w:t>. Except as otherwise expressly provided in this Agreement, your participation in all Company benefit plans and programs (including, without limitation, medical and dental coverage, life insurance coverage, vacation accrual, all retirement and the related excess plans, STD and LTD plans and accidental death and dismemberment and business travel and accident insurance and your rights with respect to any outstanding equity compensation awards) shall be governed by the terms of the applicable plan and program documents, award agreements and certificates.</w:t>
      </w:r>
    </w:p>
    <w:p>
      <w:pPr>
        <w:spacing w:after="0" w:line="155" w:lineRule="exact"/>
        <w:rPr>
          <w:rFonts w:ascii="Arial" w:cs="Arial" w:eastAsia="Arial" w:hAnsi="Arial"/>
          <w:sz w:val="19"/>
          <w:szCs w:val="19"/>
          <w:color w:val="auto"/>
        </w:rPr>
      </w:pPr>
    </w:p>
    <w:p>
      <w:pPr>
        <w:jc w:val="both"/>
        <w:ind w:firstLine="1278"/>
        <w:spacing w:after="0" w:line="223" w:lineRule="auto"/>
        <w:tabs>
          <w:tab w:leader="none" w:pos="1907"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Resignation from Official Positions</w:t>
      </w:r>
      <w:r>
        <w:rPr>
          <w:rFonts w:ascii="Arial" w:cs="Arial" w:eastAsia="Arial" w:hAnsi="Arial"/>
          <w:sz w:val="19"/>
          <w:szCs w:val="19"/>
          <w:color w:val="auto"/>
        </w:rPr>
        <w:t>. If your employment with the Company terminates for any reason, you shall be deemed to have resigned at that time from any and all officer or director positions that you may have held with the Company and all board seats or other positions in other entities to which you have been designated by the Company or which you have held on behalf of the Company. If, for any reason, this paragraph 17(b) is deemed insufficient to effectuate such resignation, you hereby authorize the Secretary and any Assistant Secretary of the Company to execute any documents or instruments which the Company may deem necessary or desirable to effectuate such resignation or resignations, and to act as your attorney-in fact.</w:t>
      </w:r>
    </w:p>
    <w:p>
      <w:pPr>
        <w:spacing w:after="0" w:line="106" w:lineRule="exact"/>
        <w:rPr>
          <w:rFonts w:ascii="Arial" w:cs="Arial" w:eastAsia="Arial" w:hAnsi="Arial"/>
          <w:sz w:val="19"/>
          <w:szCs w:val="19"/>
          <w:color w:val="auto"/>
        </w:rPr>
      </w:pPr>
    </w:p>
    <w:p>
      <w:pPr>
        <w:ind w:left="1900" w:hanging="384"/>
        <w:spacing w:after="0"/>
        <w:tabs>
          <w:tab w:leader="none" w:pos="1900" w:val="left"/>
        </w:tabs>
        <w:numPr>
          <w:ilvl w:val="1"/>
          <w:numId w:val="113"/>
        </w:numPr>
        <w:rPr>
          <w:rFonts w:ascii="Arial" w:cs="Arial" w:eastAsia="Arial" w:hAnsi="Arial"/>
          <w:sz w:val="19"/>
          <w:szCs w:val="19"/>
          <w:color w:val="auto"/>
        </w:rPr>
      </w:pPr>
      <w:r>
        <w:rPr>
          <w:rFonts w:ascii="Arial" w:cs="Arial" w:eastAsia="Arial" w:hAnsi="Arial"/>
          <w:sz w:val="19"/>
          <w:szCs w:val="19"/>
          <w:u w:val="single" w:color="auto"/>
          <w:color w:val="auto"/>
        </w:rPr>
        <w:t>Survival; Remedies.</w:t>
      </w:r>
    </w:p>
    <w:p>
      <w:pPr>
        <w:spacing w:after="0" w:line="192" w:lineRule="exact"/>
        <w:rPr>
          <w:sz w:val="20"/>
          <w:szCs w:val="20"/>
          <w:color w:val="auto"/>
        </w:rPr>
      </w:pPr>
    </w:p>
    <w:p>
      <w:pPr>
        <w:jc w:val="both"/>
        <w:ind w:firstLine="1278"/>
        <w:spacing w:after="0" w:line="244" w:lineRule="auto"/>
        <w:tabs>
          <w:tab w:leader="none" w:pos="1907"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Your obligations under paragraphs 6, 7, 8 and 9 shall remain in full force and effect for the entire period provided therein notwithstanding the termination of your employment for any reason or the expiration of the Contract Period.</w:t>
      </w:r>
    </w:p>
    <w:p>
      <w:pPr>
        <w:spacing w:after="0" w:line="151" w:lineRule="exact"/>
        <w:rPr>
          <w:rFonts w:ascii="Arial" w:cs="Arial" w:eastAsia="Arial" w:hAnsi="Arial"/>
          <w:sz w:val="19"/>
          <w:szCs w:val="19"/>
          <w:color w:val="auto"/>
        </w:rPr>
      </w:pPr>
    </w:p>
    <w:p>
      <w:pPr>
        <w:jc w:val="both"/>
        <w:ind w:firstLine="1278"/>
        <w:spacing w:after="0" w:line="223" w:lineRule="auto"/>
        <w:tabs>
          <w:tab w:leader="none" w:pos="1907"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Modification of Terms</w:t>
      </w:r>
      <w:r>
        <w:rPr>
          <w:rFonts w:ascii="Arial" w:cs="Arial" w:eastAsia="Arial" w:hAnsi="Arial"/>
          <w:sz w:val="19"/>
          <w:szCs w:val="19"/>
          <w:color w:val="auto"/>
        </w:rPr>
        <w:t>. You and the Company acknowledge and agree that the restrictions and remedies contained in paragraphs 6, 7, 8 and 9 are reasonable and that it is your intention and the intention of the Company that such restrictions and remedies shall be enforceable to the fullest extent permissible by law. If a court of competent jurisdiction shall find that any such restriction or remedy is unenforceable, but would be enforceable if some part were deleted or modified, then such restriction or remedy shall apply with the deletion or modification necessary to make it enforceable and shall in no way affect any other provision of this Agreement or the validity or enforceability of this Agreement.</w:t>
      </w:r>
    </w:p>
    <w:p>
      <w:pPr>
        <w:spacing w:after="0" w:line="159" w:lineRule="exact"/>
        <w:rPr>
          <w:rFonts w:ascii="Arial" w:cs="Arial" w:eastAsia="Arial" w:hAnsi="Arial"/>
          <w:sz w:val="19"/>
          <w:szCs w:val="19"/>
          <w:color w:val="auto"/>
        </w:rPr>
      </w:pPr>
    </w:p>
    <w:p>
      <w:pPr>
        <w:jc w:val="both"/>
        <w:ind w:firstLine="1278"/>
        <w:spacing w:after="0" w:line="223" w:lineRule="auto"/>
        <w:tabs>
          <w:tab w:leader="none" w:pos="1896"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Injunctive Relief</w:t>
      </w:r>
      <w:r>
        <w:rPr>
          <w:rFonts w:ascii="Arial" w:cs="Arial" w:eastAsia="Arial" w:hAnsi="Arial"/>
          <w:sz w:val="19"/>
          <w:szCs w:val="19"/>
          <w:color w:val="auto"/>
        </w:rPr>
        <w:t>. The Company has entered into this Agreement in order to obtain the benefit of your unique skills, talent, and experience. You acknowledge and agree that any violation of paragraphs 6, 7, 8 and 9 may result in irreparable damage to the Company, and, accordingly, the Company may seek injunctive and other equitable relief for any breach or threatened breach of such paragraphs, in addition to any other remedies available to the Company. To the extent permitted by applicable law, you hereby waive any right to the posting of a bond in connection with any injunction or other equitable relief sought by the Company and you agree not to seek such relief in your opposition to any application for relief the Company shall make.</w:t>
      </w:r>
    </w:p>
    <w:p>
      <w:pPr>
        <w:spacing w:after="0" w:line="159" w:lineRule="exact"/>
        <w:rPr>
          <w:rFonts w:ascii="Arial" w:cs="Arial" w:eastAsia="Arial" w:hAnsi="Arial"/>
          <w:sz w:val="19"/>
          <w:szCs w:val="19"/>
          <w:color w:val="auto"/>
        </w:rPr>
      </w:pPr>
    </w:p>
    <w:p>
      <w:pPr>
        <w:jc w:val="both"/>
        <w:ind w:firstLine="1278"/>
        <w:spacing w:after="0" w:line="225" w:lineRule="auto"/>
        <w:tabs>
          <w:tab w:leader="none" w:pos="1907"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Other Remedies</w:t>
      </w:r>
      <w:r>
        <w:rPr>
          <w:rFonts w:ascii="Arial" w:cs="Arial" w:eastAsia="Arial" w:hAnsi="Arial"/>
          <w:sz w:val="19"/>
          <w:szCs w:val="19"/>
          <w:color w:val="auto"/>
        </w:rPr>
        <w:t>. In the event that you materially violate the provisions of paragraphs 6, 7, 8 or 9 at any time during the Non-Competition Period or any period in which the Company is making payments to you pursuant to this Agreement, (i) any outstanding stock options or other undistributed equity awards granted to you by the Company shall immediately be forfeited, whether vested or unvested; and (ii) the Company’s obligation to make any further payments or to provide benefits (other than Accrued Compensation and Benefits) to you pursuant</w:t>
      </w:r>
    </w:p>
    <w:p>
      <w:pPr>
        <w:sectPr>
          <w:pgSz w:w="11900" w:h="16838" w:orient="portrait"/>
          <w:cols w:equalWidth="0" w:num="1">
            <w:col w:w="11240"/>
          </w:cols>
          <w:pgMar w:left="320" w:top="595" w:right="339" w:bottom="1440" w:gutter="0" w:footer="0" w:header="0"/>
        </w:sectPr>
      </w:pPr>
    </w:p>
    <w:bookmarkStart w:id="168" w:name="page169"/>
    <w:bookmarkEnd w:id="168"/>
    <w:p>
      <w:pPr>
        <w:spacing w:after="0"/>
        <w:rPr>
          <w:sz w:val="20"/>
          <w:szCs w:val="20"/>
          <w:color w:val="auto"/>
        </w:rPr>
      </w:pPr>
      <w:r>
        <w:rPr>
          <w:rFonts w:ascii="Arial" w:cs="Arial" w:eastAsia="Arial" w:hAnsi="Arial"/>
          <w:sz w:val="19"/>
          <w:szCs w:val="19"/>
          <w:color w:val="auto"/>
        </w:rPr>
        <w:t>Mr. Chris McCarthy</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As of January 1, 2023</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Page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9"/>
          <w:szCs w:val="19"/>
          <w:color w:val="auto"/>
        </w:rPr>
        <w:t>to this Agreement shall terminate. The Company shall give you written notice prior to commencing any remedy under this</w:t>
      </w:r>
    </w:p>
    <w:p>
      <w:pPr>
        <w:jc w:val="both"/>
        <w:spacing w:after="0" w:line="211" w:lineRule="auto"/>
        <w:rPr>
          <w:sz w:val="20"/>
          <w:szCs w:val="20"/>
          <w:color w:val="auto"/>
        </w:rPr>
      </w:pPr>
      <w:r>
        <w:rPr>
          <w:rFonts w:ascii="Arial" w:cs="Arial" w:eastAsia="Arial" w:hAnsi="Arial"/>
          <w:sz w:val="19"/>
          <w:szCs w:val="19"/>
          <w:color w:val="auto"/>
        </w:rPr>
        <w:t>paragraph 18(d) or, if no cure period is applicable, contemporaneous with such commencement, setting forth the nature of any alleged violation in reasonable detail and the conduct required to cure such violation. Except for a violation which, by its nature,</w:t>
      </w:r>
    </w:p>
    <w:p>
      <w:pPr>
        <w:spacing w:after="0" w:line="218" w:lineRule="auto"/>
        <w:rPr>
          <w:sz w:val="20"/>
          <w:szCs w:val="20"/>
          <w:color w:val="auto"/>
        </w:rPr>
      </w:pPr>
      <w:r>
        <w:rPr>
          <w:rFonts w:ascii="Arial" w:cs="Arial" w:eastAsia="Arial" w:hAnsi="Arial"/>
          <w:sz w:val="19"/>
          <w:szCs w:val="19"/>
          <w:color w:val="auto"/>
        </w:rPr>
        <w:t>cannot reasonably be expected to be cured, you shall have ten (10) business days from the giving of such notice within which to</w:t>
      </w:r>
    </w:p>
    <w:p>
      <w:pPr>
        <w:spacing w:after="0" w:line="211" w:lineRule="auto"/>
        <w:rPr>
          <w:sz w:val="20"/>
          <w:szCs w:val="20"/>
          <w:color w:val="auto"/>
        </w:rPr>
      </w:pPr>
      <w:r>
        <w:rPr>
          <w:rFonts w:ascii="Arial" w:cs="Arial" w:eastAsia="Arial" w:hAnsi="Arial"/>
          <w:sz w:val="19"/>
          <w:szCs w:val="19"/>
          <w:color w:val="auto"/>
        </w:rPr>
        <w:t>cure; provided, however, that, if the Company reasonably expects irreparable injury from a delay of ten (10) business days, the Company may give you notice of such shorter period within which to cure as is reasonable under the circumstances, which may</w:t>
      </w:r>
    </w:p>
    <w:p>
      <w:pPr>
        <w:spacing w:after="0" w:line="218" w:lineRule="auto"/>
        <w:rPr>
          <w:sz w:val="20"/>
          <w:szCs w:val="20"/>
          <w:color w:val="auto"/>
        </w:rPr>
      </w:pPr>
      <w:r>
        <w:rPr>
          <w:rFonts w:ascii="Arial" w:cs="Arial" w:eastAsia="Arial" w:hAnsi="Arial"/>
          <w:sz w:val="19"/>
          <w:szCs w:val="19"/>
          <w:color w:val="auto"/>
        </w:rPr>
        <w:t>include commencement of a remedy without notice and with immediate effect. The remedies under this paragraph 18 are in</w:t>
      </w:r>
    </w:p>
    <w:p>
      <w:pPr>
        <w:spacing w:after="0" w:line="232" w:lineRule="auto"/>
        <w:rPr>
          <w:sz w:val="20"/>
          <w:szCs w:val="20"/>
          <w:color w:val="auto"/>
        </w:rPr>
      </w:pPr>
      <w:r>
        <w:rPr>
          <w:rFonts w:ascii="Arial" w:cs="Arial" w:eastAsia="Arial" w:hAnsi="Arial"/>
          <w:sz w:val="19"/>
          <w:szCs w:val="19"/>
          <w:color w:val="auto"/>
        </w:rPr>
        <w:t>addition to any other remedies the Company may have against you, including under this Agreement or any other agreement, under any equity or other incentive or compensation plan or under applicable law.</w:t>
      </w:r>
    </w:p>
    <w:p>
      <w:pPr>
        <w:spacing w:after="0" w:line="156" w:lineRule="exact"/>
        <w:rPr>
          <w:sz w:val="20"/>
          <w:szCs w:val="20"/>
          <w:color w:val="auto"/>
        </w:rPr>
      </w:pPr>
    </w:p>
    <w:p>
      <w:pPr>
        <w:ind w:left="1900" w:hanging="384"/>
        <w:spacing w:after="0"/>
        <w:tabs>
          <w:tab w:leader="none" w:pos="1900" w:val="left"/>
        </w:tabs>
        <w:numPr>
          <w:ilvl w:val="1"/>
          <w:numId w:val="115"/>
        </w:numPr>
        <w:rPr>
          <w:rFonts w:ascii="Arial" w:cs="Arial" w:eastAsia="Arial" w:hAnsi="Arial"/>
          <w:sz w:val="19"/>
          <w:szCs w:val="19"/>
          <w:color w:val="auto"/>
        </w:rPr>
      </w:pPr>
      <w:r>
        <w:rPr>
          <w:rFonts w:ascii="Arial" w:cs="Arial" w:eastAsia="Arial" w:hAnsi="Arial"/>
          <w:sz w:val="19"/>
          <w:szCs w:val="19"/>
          <w:u w:val="single" w:color="auto"/>
          <w:color w:val="auto"/>
        </w:rPr>
        <w:t>General Provisions.</w:t>
      </w:r>
    </w:p>
    <w:p>
      <w:pPr>
        <w:spacing w:after="0" w:line="192" w:lineRule="exact"/>
        <w:rPr>
          <w:rFonts w:ascii="Arial" w:cs="Arial" w:eastAsia="Arial" w:hAnsi="Arial"/>
          <w:sz w:val="19"/>
          <w:szCs w:val="19"/>
          <w:color w:val="auto"/>
        </w:rPr>
      </w:pPr>
    </w:p>
    <w:p>
      <w:pPr>
        <w:jc w:val="both"/>
        <w:ind w:firstLine="1278"/>
        <w:spacing w:after="0" w:line="217" w:lineRule="auto"/>
        <w:tabs>
          <w:tab w:leader="none" w:pos="1907" w:val="left"/>
        </w:tabs>
        <w:numPr>
          <w:ilvl w:val="0"/>
          <w:numId w:val="116"/>
        </w:numPr>
        <w:rPr>
          <w:rFonts w:ascii="Arial" w:cs="Arial" w:eastAsia="Arial" w:hAnsi="Arial"/>
          <w:sz w:val="19"/>
          <w:szCs w:val="19"/>
          <w:color w:val="auto"/>
        </w:rPr>
      </w:pPr>
      <w:r>
        <w:rPr>
          <w:rFonts w:ascii="Arial" w:cs="Arial" w:eastAsia="Arial" w:hAnsi="Arial"/>
          <w:sz w:val="19"/>
          <w:szCs w:val="19"/>
          <w:u w:val="single" w:color="auto"/>
          <w:color w:val="auto"/>
        </w:rPr>
        <w:t>Deductions and Withholdings</w:t>
      </w:r>
      <w:r>
        <w:rPr>
          <w:rFonts w:ascii="Arial" w:cs="Arial" w:eastAsia="Arial" w:hAnsi="Arial"/>
          <w:sz w:val="19"/>
          <w:szCs w:val="19"/>
          <w:color w:val="auto"/>
        </w:rPr>
        <w:t>. In the event of the termination of your employment for any reason, the Company reserves the right, to the extent permitted by law and in addition to any other remedy the Company may have, to deduct from any monies that are otherwise payable to you</w:t>
      </w:r>
      <w:r>
        <w:rPr>
          <w:rFonts w:ascii="Arial" w:cs="Arial" w:eastAsia="Arial" w:hAnsi="Arial"/>
          <w:sz w:val="19"/>
          <w:szCs w:val="19"/>
          <w:b w:val="1"/>
          <w:bCs w:val="1"/>
          <w:color w:val="auto"/>
          <w:strike w:val="1"/>
        </w:rPr>
        <w:t>,</w:t>
      </w:r>
      <w:r>
        <w:rPr>
          <w:rFonts w:ascii="Arial" w:cs="Arial" w:eastAsia="Arial" w:hAnsi="Arial"/>
          <w:sz w:val="19"/>
          <w:szCs w:val="19"/>
          <w:color w:val="auto"/>
        </w:rPr>
        <w:t xml:space="preserve"> and that do not constitute deferred compensation within the meaning of Section 409A of the Code, the regulations promulgated thereunder or any related guidance issued by the U.S. Treasury Department (“</w:t>
      </w:r>
      <w:r>
        <w:rPr>
          <w:rFonts w:ascii="Arial" w:cs="Arial" w:eastAsia="Arial" w:hAnsi="Arial"/>
          <w:sz w:val="19"/>
          <w:szCs w:val="19"/>
          <w:u w:val="single" w:color="auto"/>
          <w:color w:val="auto"/>
        </w:rPr>
        <w:t>Section 409A</w:t>
      </w:r>
      <w:r>
        <w:rPr>
          <w:rFonts w:ascii="Arial" w:cs="Arial" w:eastAsia="Arial" w:hAnsi="Arial"/>
          <w:sz w:val="19"/>
          <w:szCs w:val="19"/>
          <w:color w:val="auto"/>
        </w:rPr>
        <w:t>”) all monies and the replacement value of any property you may owe to the Company at the time of or subsequent to the termination of your employment with the Company. The Company shall not make any such deduction from any amount that constitutes deferred compensation for purposes of Section 409A. To the extent any law requires an employee’s consent to the offset provided in this paragraph and permits such consent to be obtained in advance, this Agreement shall be deemed to provide the required consent. Except as otherwise expressly provided in this Agreement or in any Company benefit plan, all amounts payable under this Agreement shall be paid in accordance with the Company’s ordinary payroll practices less deductions and income and payroll tax withholding as may be required under applicable law. Any property (including shares of Company Inc. Class B Common Stock), benefits and perquisites provided to you under this Agreement, including, without limitation, COBRA payments made on your behalf, shall be taxable to you as provided by law.</w:t>
      </w:r>
    </w:p>
    <w:p>
      <w:pPr>
        <w:spacing w:after="0" w:line="161" w:lineRule="exact"/>
        <w:rPr>
          <w:rFonts w:ascii="Arial" w:cs="Arial" w:eastAsia="Arial" w:hAnsi="Arial"/>
          <w:sz w:val="19"/>
          <w:szCs w:val="19"/>
          <w:color w:val="auto"/>
        </w:rPr>
      </w:pPr>
    </w:p>
    <w:p>
      <w:pPr>
        <w:jc w:val="both"/>
        <w:ind w:firstLine="1278"/>
        <w:spacing w:after="0" w:line="220" w:lineRule="auto"/>
        <w:tabs>
          <w:tab w:leader="none" w:pos="1907" w:val="left"/>
        </w:tabs>
        <w:numPr>
          <w:ilvl w:val="0"/>
          <w:numId w:val="116"/>
        </w:numPr>
        <w:rPr>
          <w:rFonts w:ascii="Arial" w:cs="Arial" w:eastAsia="Arial" w:hAnsi="Arial"/>
          <w:sz w:val="19"/>
          <w:szCs w:val="19"/>
          <w:color w:val="auto"/>
        </w:rPr>
      </w:pPr>
      <w:r>
        <w:rPr>
          <w:rFonts w:ascii="Arial" w:cs="Arial" w:eastAsia="Arial" w:hAnsi="Arial"/>
          <w:sz w:val="19"/>
          <w:szCs w:val="19"/>
          <w:u w:val="single" w:color="auto"/>
          <w:color w:val="auto"/>
        </w:rPr>
        <w:t>Cash and Equity Awards Modifications</w:t>
      </w:r>
      <w:r>
        <w:rPr>
          <w:rFonts w:ascii="Arial" w:cs="Arial" w:eastAsia="Arial" w:hAnsi="Arial"/>
          <w:sz w:val="19"/>
          <w:szCs w:val="19"/>
          <w:color w:val="auto"/>
        </w:rPr>
        <w:t>. Notwithstanding any other provisions of this Agreement to the contrary, the Company reserves the right to modify or amend unilaterally the terms and conditions of your cash compensation, stock option awards or other equity awards, without first asking your consent, to the extent that the Company considers such modification or amendment necessary or advisable to comply with any law, regulation, ruling, judicial decision, accounting standard, regulatory guidance or other legal requirement (the “</w:t>
      </w:r>
      <w:r>
        <w:rPr>
          <w:rFonts w:ascii="Arial" w:cs="Arial" w:eastAsia="Arial" w:hAnsi="Arial"/>
          <w:sz w:val="19"/>
          <w:szCs w:val="19"/>
          <w:u w:val="single" w:color="auto"/>
          <w:color w:val="auto"/>
        </w:rPr>
        <w:t>Legal Requirement</w:t>
      </w:r>
      <w:r>
        <w:rPr>
          <w:rFonts w:ascii="Arial" w:cs="Arial" w:eastAsia="Arial" w:hAnsi="Arial"/>
          <w:sz w:val="19"/>
          <w:szCs w:val="19"/>
          <w:color w:val="auto"/>
        </w:rPr>
        <w:t>”) applicable to such cash compensation, stock option awards or other equity awards, provided that, except where necessary to comply with law, such amendment does not have a material adverse effect on the value of such compensation award to you. In addition, the Company may, without your consent, amend or modify your cash compensation, stock option awards or other equity awards in any manner that the Company considers necessary or advisable to ensure that such cash compensation, stock option awards or other equity awards are not subject to United States federal income tax, state or local income tax or any equivalent taxes in territories outside the United States prior to payment, exercise, vesting or settlement, as applicable, or any tax, interest or penalties pursuant to Section 409A.</w:t>
      </w:r>
    </w:p>
    <w:p>
      <w:pPr>
        <w:spacing w:after="0" w:line="142" w:lineRule="exact"/>
        <w:rPr>
          <w:rFonts w:ascii="Arial" w:cs="Arial" w:eastAsia="Arial" w:hAnsi="Arial"/>
          <w:sz w:val="19"/>
          <w:szCs w:val="19"/>
          <w:color w:val="auto"/>
        </w:rPr>
      </w:pPr>
    </w:p>
    <w:p>
      <w:pPr>
        <w:ind w:left="1960" w:hanging="682"/>
        <w:spacing w:after="0"/>
        <w:tabs>
          <w:tab w:leader="none" w:pos="1960" w:val="left"/>
        </w:tabs>
        <w:numPr>
          <w:ilvl w:val="0"/>
          <w:numId w:val="116"/>
        </w:numPr>
        <w:rPr>
          <w:rFonts w:ascii="Arial" w:cs="Arial" w:eastAsia="Arial" w:hAnsi="Arial"/>
          <w:sz w:val="19"/>
          <w:szCs w:val="19"/>
          <w:color w:val="auto"/>
        </w:rPr>
      </w:pPr>
      <w:r>
        <w:rPr>
          <w:rFonts w:ascii="Arial" w:cs="Arial" w:eastAsia="Arial" w:hAnsi="Arial"/>
          <w:sz w:val="19"/>
          <w:szCs w:val="19"/>
          <w:u w:val="single" w:color="auto"/>
          <w:color w:val="auto"/>
        </w:rPr>
        <w:t>Section 409A Provisions</w:t>
      </w:r>
      <w:r>
        <w:rPr>
          <w:rFonts w:ascii="Arial" w:cs="Arial" w:eastAsia="Arial" w:hAnsi="Arial"/>
          <w:sz w:val="19"/>
          <w:szCs w:val="19"/>
          <w:color w:val="auto"/>
        </w:rPr>
        <w:t>.</w:t>
      </w:r>
    </w:p>
    <w:p>
      <w:pPr>
        <w:sectPr>
          <w:pgSz w:w="11900" w:h="16838" w:orient="portrait"/>
          <w:cols w:equalWidth="0" w:num="1">
            <w:col w:w="11240"/>
          </w:cols>
          <w:pgMar w:left="320" w:top="595" w:right="339" w:bottom="1440" w:gutter="0" w:footer="0" w:header="0"/>
        </w:sectPr>
      </w:pPr>
    </w:p>
    <w:bookmarkStart w:id="169" w:name="page170"/>
    <w:bookmarkEnd w:id="169"/>
    <w:p>
      <w:pPr>
        <w:spacing w:after="0"/>
        <w:rPr>
          <w:sz w:val="20"/>
          <w:szCs w:val="20"/>
          <w:color w:val="auto"/>
        </w:rPr>
      </w:pPr>
      <w:r>
        <w:rPr>
          <w:rFonts w:ascii="Arial" w:cs="Arial" w:eastAsia="Arial" w:hAnsi="Arial"/>
          <w:sz w:val="19"/>
          <w:szCs w:val="19"/>
          <w:color w:val="auto"/>
        </w:rPr>
        <w:t>Mr. Chris McCarthy</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As of January 1, 2023</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Page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1920" w:hanging="642"/>
        <w:spacing w:after="0" w:line="227" w:lineRule="auto"/>
        <w:tabs>
          <w:tab w:leader="none" w:pos="1907"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The Company may, without your consent, amend any provision of this Agreement to the extent that, in the reasonable judgment of the Company, such amendment is necessary or advisable to avoid the imposition on you of any tax, interest or penalties pursuant to Section 409A or otherwise to make this Agreement enforceable. Any such amendment shall maintain, to the maximum extent practicable, the original intent and economic benefit to you of the applicable provision.</w:t>
      </w:r>
    </w:p>
    <w:p>
      <w:pPr>
        <w:spacing w:after="0" w:line="145" w:lineRule="exact"/>
        <w:rPr>
          <w:rFonts w:ascii="Arial" w:cs="Arial" w:eastAsia="Arial" w:hAnsi="Arial"/>
          <w:sz w:val="19"/>
          <w:szCs w:val="19"/>
          <w:color w:val="auto"/>
        </w:rPr>
      </w:pPr>
    </w:p>
    <w:p>
      <w:pPr>
        <w:jc w:val="both"/>
        <w:ind w:left="1920" w:hanging="642"/>
        <w:spacing w:after="0" w:line="219" w:lineRule="auto"/>
        <w:tabs>
          <w:tab w:leader="none" w:pos="191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It is the intention and understanding of the parties that all amounts and benefits to which you become entitled under this Agreement will be paid or provided to you pursuant to a fixed schedule within the meaning of Section 409A. Notwithstanding such intention and understanding, in the event that you are a specified employee as determined by the Company (a “</w:t>
      </w:r>
      <w:r>
        <w:rPr>
          <w:rFonts w:ascii="Arial" w:cs="Arial" w:eastAsia="Arial" w:hAnsi="Arial"/>
          <w:sz w:val="19"/>
          <w:szCs w:val="19"/>
          <w:u w:val="single" w:color="auto"/>
          <w:color w:val="auto"/>
        </w:rPr>
        <w:t>Specified Employee</w:t>
      </w:r>
      <w:r>
        <w:rPr>
          <w:rFonts w:ascii="Arial" w:cs="Arial" w:eastAsia="Arial" w:hAnsi="Arial"/>
          <w:sz w:val="19"/>
          <w:szCs w:val="19"/>
          <w:color w:val="auto"/>
        </w:rPr>
        <w:t>”) at the time of your Separation from Service (as defined below), then to the extent that any amount or benefit owed to you under this Agreement</w:t>
      </w:r>
    </w:p>
    <w:p>
      <w:pPr>
        <w:spacing w:after="0" w:line="1" w:lineRule="exact"/>
        <w:rPr>
          <w:rFonts w:ascii="Arial" w:cs="Arial" w:eastAsia="Arial" w:hAnsi="Arial"/>
          <w:sz w:val="19"/>
          <w:szCs w:val="19"/>
          <w:color w:val="auto"/>
        </w:rPr>
      </w:pPr>
    </w:p>
    <w:p>
      <w:pPr>
        <w:jc w:val="both"/>
        <w:ind w:left="1920" w:hanging="6"/>
        <w:spacing w:after="0" w:line="216" w:lineRule="auto"/>
        <w:tabs>
          <w:tab w:leader="none" w:pos="2212" w:val="left"/>
        </w:tabs>
        <w:numPr>
          <w:ilvl w:val="1"/>
          <w:numId w:val="117"/>
        </w:numPr>
        <w:rPr>
          <w:rFonts w:ascii="Arial" w:cs="Arial" w:eastAsia="Arial" w:hAnsi="Arial"/>
          <w:sz w:val="19"/>
          <w:szCs w:val="19"/>
          <w:color w:val="auto"/>
        </w:rPr>
      </w:pPr>
      <w:r>
        <w:rPr>
          <w:rFonts w:ascii="Arial" w:cs="Arial" w:eastAsia="Arial" w:hAnsi="Arial"/>
          <w:sz w:val="19"/>
          <w:szCs w:val="19"/>
          <w:color w:val="auto"/>
        </w:rPr>
        <w:t xml:space="preserve">constitutes an amount of deferred compensation for purposes of Section 409A and (y) is considered for purposes of Section 409A to be owed to you by virtue of your Separation from Service, then such amount or benefit shall not be paid or provided during the six (6) month period following the date of your Separation from Service and instead shall be paid or provided on the first day of the seventh month following your date of Separation from Service;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such delay shall apply only to the extent that such payments and benefits, in the aggregate, exceed the lesser of an amount equal to (x) two (2) times your annualized compensation (as determined under the Code Section 409A regulations) and (y) two (2) times the applicable Code Section 401(a)(17) annual compensation limit for the year in which your termination occurs;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any payments made during such six (6) month period shall first be made to cover all costs relating to medical, dental and life insurance coverage to which you are entitled under this Agreement and thereafter shall be made in respect of other amounts or benefits owed to you.</w:t>
      </w:r>
    </w:p>
    <w:p>
      <w:pPr>
        <w:spacing w:after="0" w:line="164" w:lineRule="exact"/>
        <w:rPr>
          <w:rFonts w:ascii="Arial" w:cs="Arial" w:eastAsia="Arial" w:hAnsi="Arial"/>
          <w:sz w:val="19"/>
          <w:szCs w:val="19"/>
          <w:color w:val="auto"/>
        </w:rPr>
      </w:pPr>
    </w:p>
    <w:p>
      <w:pPr>
        <w:jc w:val="both"/>
        <w:ind w:left="1920" w:hanging="642"/>
        <w:spacing w:after="0" w:line="220" w:lineRule="auto"/>
        <w:tabs>
          <w:tab w:leader="none" w:pos="1914" w:val="left"/>
        </w:tabs>
        <w:numPr>
          <w:ilvl w:val="0"/>
          <w:numId w:val="117"/>
        </w:numPr>
        <w:rPr>
          <w:rFonts w:ascii="Arial" w:cs="Arial" w:eastAsia="Arial" w:hAnsi="Arial"/>
          <w:sz w:val="19"/>
          <w:szCs w:val="19"/>
          <w:color w:val="auto"/>
        </w:rPr>
      </w:pPr>
      <w:r>
        <w:rPr>
          <w:rFonts w:ascii="Arial" w:cs="Arial" w:eastAsia="Arial" w:hAnsi="Arial"/>
          <w:sz w:val="19"/>
          <w:szCs w:val="19"/>
          <w:color w:val="auto"/>
        </w:rPr>
        <w:t>As used herein, “</w:t>
      </w:r>
      <w:r>
        <w:rPr>
          <w:rFonts w:ascii="Arial" w:cs="Arial" w:eastAsia="Arial" w:hAnsi="Arial"/>
          <w:sz w:val="19"/>
          <w:szCs w:val="19"/>
          <w:u w:val="single" w:color="auto"/>
          <w:color w:val="auto"/>
        </w:rPr>
        <w:t>Separation from Service</w:t>
      </w:r>
      <w:r>
        <w:rPr>
          <w:rFonts w:ascii="Arial" w:cs="Arial" w:eastAsia="Arial" w:hAnsi="Arial"/>
          <w:sz w:val="19"/>
          <w:szCs w:val="19"/>
          <w:color w:val="auto"/>
        </w:rPr>
        <w:t>” shall mean either (i) the termination of your employment with the Company and its affiliates, provided that such termination of employment meets the requirements of a separation of service determined using the default provisions set forth in Treasury Regulation §1.409A-(1)(h) or the successor provision thereto or (ii) such other date that constitutes a separation from service with the Company and its affiliates meeting the requirements of the default provisions set forth in Treasury Regulation §1.409A-(1)(h) or the successor provision thereto. For purposes of this definition, "affiliate" means any corporation that is in the same controlled group of corporations (within the meaning of Code Section 414(b)) as the Company and any trade or business that is under common control with the Company (within the meaning of Code Section 414(c)), determined in accordance with the default provision set forth in Treasury Regulation §1.409A-(1)(h)(3).</w:t>
      </w:r>
    </w:p>
    <w:p>
      <w:pPr>
        <w:spacing w:after="0" w:line="143" w:lineRule="exact"/>
        <w:rPr>
          <w:rFonts w:ascii="Arial" w:cs="Arial" w:eastAsia="Arial" w:hAnsi="Arial"/>
          <w:sz w:val="19"/>
          <w:szCs w:val="19"/>
          <w:color w:val="auto"/>
        </w:rPr>
      </w:pPr>
    </w:p>
    <w:p>
      <w:pPr>
        <w:ind w:left="1920" w:hanging="642"/>
        <w:spacing w:after="0" w:line="259" w:lineRule="auto"/>
        <w:tabs>
          <w:tab w:leader="none" w:pos="1911" w:val="left"/>
        </w:tabs>
        <w:numPr>
          <w:ilvl w:val="0"/>
          <w:numId w:val="117"/>
        </w:numPr>
        <w:rPr>
          <w:rFonts w:ascii="Arial" w:cs="Arial" w:eastAsia="Arial" w:hAnsi="Arial"/>
          <w:sz w:val="19"/>
          <w:szCs w:val="19"/>
          <w:color w:val="auto"/>
        </w:rPr>
      </w:pPr>
      <w:r>
        <w:rPr>
          <w:rFonts w:ascii="Arial" w:cs="Arial" w:eastAsia="Arial" w:hAnsi="Arial"/>
          <w:sz w:val="19"/>
          <w:szCs w:val="19"/>
          <w:color w:val="auto"/>
        </w:rPr>
        <w:t>If under any provision of this Agreement you become entitled to be paid Salary continuation, then each payment of Salary during the relevant</w:t>
      </w:r>
    </w:p>
    <w:p>
      <w:pPr>
        <w:sectPr>
          <w:pgSz w:w="11900" w:h="16838" w:orient="portrait"/>
          <w:cols w:equalWidth="0" w:num="1">
            <w:col w:w="11240"/>
          </w:cols>
          <w:pgMar w:left="320" w:top="595" w:right="339" w:bottom="1440" w:gutter="0" w:footer="0" w:header="0"/>
        </w:sectPr>
      </w:pPr>
    </w:p>
    <w:bookmarkStart w:id="170" w:name="page171"/>
    <w:bookmarkEnd w:id="170"/>
    <w:p>
      <w:pPr>
        <w:spacing w:after="0"/>
        <w:rPr>
          <w:sz w:val="20"/>
          <w:szCs w:val="20"/>
          <w:color w:val="auto"/>
        </w:rPr>
      </w:pPr>
      <w:r>
        <w:rPr>
          <w:rFonts w:ascii="Arial" w:cs="Arial" w:eastAsia="Arial" w:hAnsi="Arial"/>
          <w:sz w:val="19"/>
          <w:szCs w:val="19"/>
          <w:color w:val="auto"/>
        </w:rPr>
        <w:t>Mr. Chris McCarthy</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As of January 1, 2023</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Page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920"/>
        <w:spacing w:after="0"/>
        <w:rPr>
          <w:sz w:val="20"/>
          <w:szCs w:val="20"/>
          <w:color w:val="auto"/>
        </w:rPr>
      </w:pPr>
      <w:r>
        <w:rPr>
          <w:rFonts w:ascii="Arial" w:cs="Arial" w:eastAsia="Arial" w:hAnsi="Arial"/>
          <w:sz w:val="19"/>
          <w:szCs w:val="19"/>
          <w:color w:val="auto"/>
        </w:rPr>
        <w:t>continuation period shall be considered, and is hereby designated as, a separate payment for purposes of</w:t>
      </w:r>
    </w:p>
    <w:p>
      <w:pPr>
        <w:ind w:left="1920"/>
        <w:spacing w:after="0" w:line="232" w:lineRule="auto"/>
        <w:rPr>
          <w:sz w:val="20"/>
          <w:szCs w:val="20"/>
          <w:color w:val="auto"/>
        </w:rPr>
      </w:pPr>
      <w:r>
        <w:rPr>
          <w:rFonts w:ascii="Arial" w:cs="Arial" w:eastAsia="Arial" w:hAnsi="Arial"/>
          <w:sz w:val="19"/>
          <w:szCs w:val="19"/>
          <w:color w:val="auto"/>
        </w:rPr>
        <w:t>Section 409A (and consequently your entitlement to such Salary continuation shall not be considered an entitlement to a single payment of the aggregate amount to be paid during the relevant continuation period).</w:t>
      </w:r>
    </w:p>
    <w:p>
      <w:pPr>
        <w:spacing w:after="0" w:line="156" w:lineRule="exact"/>
        <w:rPr>
          <w:sz w:val="20"/>
          <w:szCs w:val="20"/>
          <w:color w:val="auto"/>
        </w:rPr>
      </w:pPr>
    </w:p>
    <w:p>
      <w:pPr>
        <w:jc w:val="both"/>
        <w:ind w:firstLine="1278"/>
        <w:spacing w:after="0" w:line="227" w:lineRule="auto"/>
        <w:tabs>
          <w:tab w:leader="none" w:pos="1907"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No Duplicative Payments</w:t>
      </w:r>
      <w:r>
        <w:rPr>
          <w:rFonts w:ascii="Arial" w:cs="Arial" w:eastAsia="Arial" w:hAnsi="Arial"/>
          <w:sz w:val="19"/>
          <w:szCs w:val="19"/>
          <w:color w:val="auto"/>
        </w:rPr>
        <w:t>. The payments and benefits provided in this Agreement in respect to the termination of employment and non-renewal of this Agreement are in lieu of any other salary, bonus or benefits payable by the Company, including, without limitation, any severance or income continuation or protection under any Company plan that may now or hereafter exist. All such payments and benefits shall constitute liquidated damages, paid in full and final settlement of all obligations of the Company to you under this Agreement.</w:t>
      </w:r>
    </w:p>
    <w:p>
      <w:pPr>
        <w:spacing w:after="0" w:line="145" w:lineRule="exact"/>
        <w:rPr>
          <w:rFonts w:ascii="Arial" w:cs="Arial" w:eastAsia="Arial" w:hAnsi="Arial"/>
          <w:sz w:val="19"/>
          <w:szCs w:val="19"/>
          <w:color w:val="auto"/>
        </w:rPr>
      </w:pPr>
    </w:p>
    <w:p>
      <w:pPr>
        <w:ind w:left="1920" w:hanging="642"/>
        <w:spacing w:after="0"/>
        <w:tabs>
          <w:tab w:leader="none" w:pos="1920"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Payment of Bonus Compensation</w:t>
      </w:r>
      <w:r>
        <w:rPr>
          <w:rFonts w:ascii="Arial" w:cs="Arial" w:eastAsia="Arial" w:hAnsi="Arial"/>
          <w:sz w:val="19"/>
          <w:szCs w:val="19"/>
          <w:color w:val="auto"/>
        </w:rPr>
        <w:t>.</w:t>
      </w:r>
    </w:p>
    <w:p>
      <w:pPr>
        <w:spacing w:after="0" w:line="192" w:lineRule="exact"/>
        <w:rPr>
          <w:sz w:val="20"/>
          <w:szCs w:val="20"/>
          <w:color w:val="auto"/>
        </w:rPr>
      </w:pPr>
    </w:p>
    <w:p>
      <w:pPr>
        <w:ind w:left="1920" w:hanging="642"/>
        <w:spacing w:after="0" w:line="215" w:lineRule="auto"/>
        <w:tabs>
          <w:tab w:leader="none" w:pos="1907" w:val="left"/>
        </w:tabs>
        <w:numPr>
          <w:ilvl w:val="0"/>
          <w:numId w:val="119"/>
        </w:numPr>
        <w:rPr>
          <w:rFonts w:ascii="Arial" w:cs="Arial" w:eastAsia="Arial" w:hAnsi="Arial"/>
          <w:sz w:val="19"/>
          <w:szCs w:val="19"/>
          <w:color w:val="auto"/>
        </w:rPr>
      </w:pPr>
      <w:r>
        <w:rPr>
          <w:rFonts w:ascii="Arial" w:cs="Arial" w:eastAsia="Arial" w:hAnsi="Arial"/>
          <w:sz w:val="19"/>
          <w:szCs w:val="19"/>
          <w:color w:val="auto"/>
        </w:rPr>
        <w:t>The Bonus for any Company fiscal year under this Agreement shall be paid by March 15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of the following year.</w:t>
      </w:r>
    </w:p>
    <w:p>
      <w:pPr>
        <w:spacing w:after="0" w:line="142" w:lineRule="exact"/>
        <w:rPr>
          <w:rFonts w:ascii="Arial" w:cs="Arial" w:eastAsia="Arial" w:hAnsi="Arial"/>
          <w:sz w:val="19"/>
          <w:szCs w:val="19"/>
          <w:color w:val="auto"/>
        </w:rPr>
      </w:pPr>
    </w:p>
    <w:p>
      <w:pPr>
        <w:jc w:val="both"/>
        <w:ind w:left="1920" w:hanging="642"/>
        <w:spacing w:after="0" w:line="227" w:lineRule="auto"/>
        <w:tabs>
          <w:tab w:leader="none" w:pos="191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Except as otherwise expressly provided in this Agreement, your Bonus shall be prorated (A) to apply only to that part of the Company’s fiscal year which falls within the Contract Period and (B) to the extent the Company’s fiscal year is less than a 12-month fiscal year (a “</w:t>
      </w:r>
      <w:r>
        <w:rPr>
          <w:rFonts w:ascii="Arial" w:cs="Arial" w:eastAsia="Arial" w:hAnsi="Arial"/>
          <w:sz w:val="19"/>
          <w:szCs w:val="19"/>
          <w:u w:val="single" w:color="auto"/>
          <w:color w:val="auto"/>
        </w:rPr>
        <w:t>Pro-Rated Bonus</w:t>
      </w:r>
      <w:r>
        <w:rPr>
          <w:rFonts w:ascii="Arial" w:cs="Arial" w:eastAsia="Arial" w:hAnsi="Arial"/>
          <w:sz w:val="19"/>
          <w:szCs w:val="19"/>
          <w:color w:val="auto"/>
        </w:rPr>
        <w:t>”). Following expiration of the Contract Period, you shall receive a Bonus/Pro-Rated Bonus for the period of the Company’s fiscal year which falls within the Contract Period.</w:t>
      </w:r>
    </w:p>
    <w:p>
      <w:pPr>
        <w:spacing w:after="0" w:line="144" w:lineRule="exact"/>
        <w:rPr>
          <w:rFonts w:ascii="Arial" w:cs="Arial" w:eastAsia="Arial" w:hAnsi="Arial"/>
          <w:sz w:val="19"/>
          <w:szCs w:val="19"/>
          <w:color w:val="auto"/>
        </w:rPr>
      </w:pPr>
    </w:p>
    <w:p>
      <w:pPr>
        <w:ind w:left="1900" w:hanging="622"/>
        <w:spacing w:after="0"/>
        <w:tabs>
          <w:tab w:leader="none" w:pos="190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Any Bonus or Pro-Rated Bonus payable pursuant to paragraphs 11, 13 or 14 shall be paid at the lesser of</w:t>
      </w:r>
    </w:p>
    <w:p>
      <w:pPr>
        <w:ind w:left="2300" w:hanging="386"/>
        <w:spacing w:after="0" w:line="218" w:lineRule="auto"/>
        <w:tabs>
          <w:tab w:leader="none" w:pos="2300" w:val="left"/>
        </w:tabs>
        <w:numPr>
          <w:ilvl w:val="1"/>
          <w:numId w:val="119"/>
        </w:numPr>
        <w:rPr>
          <w:rFonts w:ascii="Arial" w:cs="Arial" w:eastAsia="Arial" w:hAnsi="Arial"/>
          <w:sz w:val="19"/>
          <w:szCs w:val="19"/>
          <w:color w:val="auto"/>
        </w:rPr>
      </w:pPr>
      <w:r>
        <w:rPr>
          <w:rFonts w:ascii="Arial" w:cs="Arial" w:eastAsia="Arial" w:hAnsi="Arial"/>
          <w:sz w:val="19"/>
          <w:szCs w:val="19"/>
          <w:color w:val="auto"/>
        </w:rPr>
        <w:t>your Target Bonus amount or (Y) your Target Bonus amount, adjusted based on the Company</w:t>
      </w:r>
    </w:p>
    <w:p>
      <w:pPr>
        <w:ind w:left="1920"/>
        <w:spacing w:after="0"/>
        <w:rPr>
          <w:sz w:val="20"/>
          <w:szCs w:val="20"/>
          <w:color w:val="auto"/>
        </w:rPr>
      </w:pPr>
      <w:r>
        <w:rPr>
          <w:rFonts w:ascii="Arial" w:cs="Arial" w:eastAsia="Arial" w:hAnsi="Arial"/>
          <w:sz w:val="19"/>
          <w:szCs w:val="19"/>
          <w:color w:val="auto"/>
        </w:rPr>
        <w:t>Performance Factor for the relevant fiscal year.</w:t>
      </w:r>
    </w:p>
    <w:p>
      <w:pPr>
        <w:spacing w:after="0" w:line="161" w:lineRule="exact"/>
        <w:rPr>
          <w:sz w:val="20"/>
          <w:szCs w:val="20"/>
          <w:color w:val="auto"/>
        </w:rPr>
      </w:pPr>
    </w:p>
    <w:p>
      <w:pPr>
        <w:jc w:val="both"/>
        <w:ind w:firstLine="1278"/>
        <w:spacing w:after="0"/>
        <w:tabs>
          <w:tab w:leader="none" w:pos="1906"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Parachute Payment Adjustments</w:t>
      </w:r>
      <w:r>
        <w:rPr>
          <w:rFonts w:ascii="Arial" w:cs="Arial" w:eastAsia="Arial" w:hAnsi="Arial"/>
          <w:sz w:val="19"/>
          <w:szCs w:val="19"/>
          <w:color w:val="auto"/>
        </w:rPr>
        <w:t>. Notwithstanding anything herein to the contrary, in the event that you receive any payments or distributions, whether payable or distributed or distributable pursuant to the terms of this Agreement or otherwise, that constitute “parachute payments” within the meaning of Section 280G of the Code, and the net after-tax amount of the parachute payment is less than the net after-tax amount if the aggregate payment to be made to you were three times your “base amount” (as defined in Section 280G(b)(3) of the Code) less $1.00, then the aggregate of the amounts constituting the parachute payment shall be reduced to an amount that shall equal three times your base amount, less $1.00. The determinations to be made with respect to this paragraph 19(f) shall be made by a certified public accounting firm designated by the Company and reasonably acceptable to you.</w:t>
      </w:r>
    </w:p>
    <w:p>
      <w:pPr>
        <w:spacing w:after="0" w:line="246" w:lineRule="exact"/>
        <w:rPr>
          <w:rFonts w:ascii="Arial" w:cs="Arial" w:eastAsia="Arial" w:hAnsi="Arial"/>
          <w:sz w:val="19"/>
          <w:szCs w:val="19"/>
          <w:color w:val="auto"/>
        </w:rPr>
      </w:pPr>
    </w:p>
    <w:p>
      <w:pPr>
        <w:jc w:val="both"/>
        <w:ind w:firstLine="1278"/>
        <w:spacing w:after="0" w:line="223" w:lineRule="auto"/>
        <w:tabs>
          <w:tab w:leader="none" w:pos="1907"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Adjustments to Bonuses and Long-Term Incentive Compensation</w:t>
      </w:r>
      <w:r>
        <w:rPr>
          <w:rFonts w:ascii="Arial" w:cs="Arial" w:eastAsia="Arial" w:hAnsi="Arial"/>
          <w:sz w:val="19"/>
          <w:szCs w:val="19"/>
          <w:color w:val="auto"/>
        </w:rPr>
        <w:t>. Notwithstanding anything herein to the contrary, the Company shall be entitled to adjust the amount of any Bonus or any award of long-term incentive compensation if the financial statements of the Company or the business unit on which the calculation or determination of the Bonus or award of long-term incentive compensation were based are subsequently restated and, in the judgment of the Company, the financial statements as so restated would have resulted in a smaller Bonus or long-term incentive compensation award if such information had been known at the time the Bonus or award had originally been calculated or determined. In addition, in the</w:t>
      </w:r>
    </w:p>
    <w:p>
      <w:pPr>
        <w:sectPr>
          <w:pgSz w:w="11900" w:h="16838" w:orient="portrait"/>
          <w:cols w:equalWidth="0" w:num="1">
            <w:col w:w="11240"/>
          </w:cols>
          <w:pgMar w:left="320" w:top="595" w:right="339" w:bottom="1440" w:gutter="0" w:footer="0" w:header="0"/>
        </w:sectPr>
      </w:pPr>
    </w:p>
    <w:bookmarkStart w:id="171" w:name="page172"/>
    <w:bookmarkEnd w:id="171"/>
    <w:p>
      <w:pPr>
        <w:spacing w:after="0"/>
        <w:rPr>
          <w:sz w:val="20"/>
          <w:szCs w:val="20"/>
          <w:color w:val="auto"/>
        </w:rPr>
      </w:pPr>
      <w:r>
        <w:rPr>
          <w:rFonts w:ascii="Arial" w:cs="Arial" w:eastAsia="Arial" w:hAnsi="Arial"/>
          <w:sz w:val="19"/>
          <w:szCs w:val="19"/>
          <w:color w:val="auto"/>
        </w:rPr>
        <w:t>Mr. Chris McCarthy</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As of January 1, 2023</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Page 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9"/>
          <w:szCs w:val="19"/>
          <w:color w:val="auto"/>
        </w:rPr>
        <w:t>event of such a restatement: (i) the Company may require you, and you agree, to repay to the Company the amount by which the</w:t>
      </w:r>
    </w:p>
    <w:p>
      <w:pPr>
        <w:spacing w:after="0" w:line="211" w:lineRule="auto"/>
        <w:rPr>
          <w:sz w:val="20"/>
          <w:szCs w:val="20"/>
          <w:color w:val="auto"/>
        </w:rPr>
      </w:pPr>
      <w:r>
        <w:rPr>
          <w:rFonts w:ascii="Arial" w:cs="Arial" w:eastAsia="Arial" w:hAnsi="Arial"/>
          <w:sz w:val="19"/>
          <w:szCs w:val="19"/>
          <w:color w:val="auto"/>
        </w:rPr>
        <w:t>Bonus as originally calculated or determined exceeds the Bonus as adjusted pursuant to the preceding sentence; and (ii) the Company may cancel, without any payment therefor, the portion of any award of long-term incentive compensation that exceeds</w:t>
      </w:r>
    </w:p>
    <w:p>
      <w:pPr>
        <w:spacing w:after="0" w:line="218" w:lineRule="auto"/>
        <w:rPr>
          <w:sz w:val="20"/>
          <w:szCs w:val="20"/>
          <w:color w:val="auto"/>
        </w:rPr>
      </w:pPr>
      <w:r>
        <w:rPr>
          <w:rFonts w:ascii="Arial" w:cs="Arial" w:eastAsia="Arial" w:hAnsi="Arial"/>
          <w:sz w:val="19"/>
          <w:szCs w:val="19"/>
          <w:color w:val="auto"/>
        </w:rPr>
        <w:t>the award adjusted pursuant to the preceding sentence (or, if such portion of an award cannot be canceled because (x) in the case</w:t>
      </w:r>
    </w:p>
    <w:p>
      <w:pPr>
        <w:spacing w:after="0" w:line="211" w:lineRule="auto"/>
        <w:rPr>
          <w:sz w:val="20"/>
          <w:szCs w:val="20"/>
          <w:color w:val="auto"/>
        </w:rPr>
      </w:pPr>
      <w:r>
        <w:rPr>
          <w:rFonts w:ascii="Arial" w:cs="Arial" w:eastAsia="Arial" w:hAnsi="Arial"/>
          <w:sz w:val="19"/>
          <w:szCs w:val="19"/>
          <w:color w:val="auto"/>
        </w:rPr>
        <w:t>of stock options or other similar awards, you have previously exercised it, the Company may require you, and you agree, to repay to the Company the amount, net of any exercise price, that you realized upon exercise or (y) in the case of restricted share units or</w:t>
      </w:r>
    </w:p>
    <w:p>
      <w:pPr>
        <w:spacing w:after="0" w:line="218" w:lineRule="auto"/>
        <w:rPr>
          <w:sz w:val="20"/>
          <w:szCs w:val="20"/>
          <w:color w:val="auto"/>
        </w:rPr>
      </w:pPr>
      <w:r>
        <w:rPr>
          <w:rFonts w:ascii="Arial" w:cs="Arial" w:eastAsia="Arial" w:hAnsi="Arial"/>
          <w:sz w:val="19"/>
          <w:szCs w:val="19"/>
          <w:color w:val="auto"/>
        </w:rPr>
        <w:t>other similar awards, shares of Class B Common Stock were delivered to you in settlement of such award, the Company may</w:t>
      </w:r>
    </w:p>
    <w:p>
      <w:pPr>
        <w:spacing w:after="0" w:line="232" w:lineRule="auto"/>
        <w:rPr>
          <w:sz w:val="20"/>
          <w:szCs w:val="20"/>
          <w:color w:val="auto"/>
        </w:rPr>
      </w:pPr>
      <w:r>
        <w:rPr>
          <w:rFonts w:ascii="Arial" w:cs="Arial" w:eastAsia="Arial" w:hAnsi="Arial"/>
          <w:sz w:val="19"/>
          <w:szCs w:val="19"/>
          <w:color w:val="auto"/>
        </w:rPr>
        <w:t>require you, and you agree to return the shares of Class B Common Stock, or if such shares were sold by you, return any proceeds realized on the sale of such shares).</w:t>
      </w:r>
    </w:p>
    <w:p>
      <w:pPr>
        <w:spacing w:after="0" w:line="156" w:lineRule="exact"/>
        <w:rPr>
          <w:sz w:val="20"/>
          <w:szCs w:val="20"/>
          <w:color w:val="auto"/>
        </w:rPr>
      </w:pPr>
    </w:p>
    <w:p>
      <w:pPr>
        <w:jc w:val="both"/>
        <w:ind w:firstLine="1278"/>
        <w:spacing w:after="0" w:line="223" w:lineRule="auto"/>
        <w:tabs>
          <w:tab w:leader="none" w:pos="1907"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Mediation</w:t>
      </w:r>
      <w:r>
        <w:rPr>
          <w:rFonts w:ascii="Arial" w:cs="Arial" w:eastAsia="Arial" w:hAnsi="Arial"/>
          <w:sz w:val="19"/>
          <w:szCs w:val="19"/>
          <w:color w:val="auto"/>
        </w:rPr>
        <w:t>. Prior to the commencement of any legal proceeding relating to your employment, you and the Company agree to attempt to mediate the dispute using a professional mediator from JAMS, The Resolution Experts (“JAMS”) or the International Institute for Conflict Prevention and Resolution (“</w:t>
      </w:r>
      <w:r>
        <w:rPr>
          <w:rFonts w:ascii="Arial" w:cs="Arial" w:eastAsia="Arial" w:hAnsi="Arial"/>
          <w:sz w:val="19"/>
          <w:szCs w:val="19"/>
          <w:u w:val="single" w:color="auto"/>
          <w:color w:val="auto"/>
        </w:rPr>
        <w:t>CPR</w:t>
      </w:r>
      <w:r>
        <w:rPr>
          <w:rFonts w:ascii="Arial" w:cs="Arial" w:eastAsia="Arial" w:hAnsi="Arial"/>
          <w:sz w:val="19"/>
          <w:szCs w:val="19"/>
          <w:color w:val="auto"/>
        </w:rPr>
        <w:t>”). Within a period of 30 days after a written request for mediation by either you or the Company, the parties agree to convene with the mediator, for at least one session to attempt to resolve the matter. In no event will mediation delay commencement of any legal proceeding for more than 30 days absent agreement of the parties or prevent a bona fide application by either party to a court of competent jurisdiction for emergency relief. The fees of the mediator and of JAMS or CPR, as the case may be, shall be borne by the Company.</w:t>
      </w:r>
    </w:p>
    <w:p>
      <w:pPr>
        <w:spacing w:after="0" w:line="156" w:lineRule="exact"/>
        <w:rPr>
          <w:sz w:val="20"/>
          <w:szCs w:val="20"/>
          <w:color w:val="auto"/>
        </w:rPr>
      </w:pPr>
    </w:p>
    <w:p>
      <w:pPr>
        <w:ind w:left="1900" w:hanging="384"/>
        <w:spacing w:after="0"/>
        <w:tabs>
          <w:tab w:leader="none" w:pos="1900" w:val="left"/>
        </w:tabs>
        <w:numPr>
          <w:ilvl w:val="1"/>
          <w:numId w:val="122"/>
        </w:numPr>
        <w:rPr>
          <w:rFonts w:ascii="Arial" w:cs="Arial" w:eastAsia="Arial" w:hAnsi="Arial"/>
          <w:sz w:val="19"/>
          <w:szCs w:val="19"/>
          <w:color w:val="auto"/>
        </w:rPr>
      </w:pPr>
      <w:r>
        <w:rPr>
          <w:rFonts w:ascii="Arial" w:cs="Arial" w:eastAsia="Arial" w:hAnsi="Arial"/>
          <w:sz w:val="19"/>
          <w:szCs w:val="19"/>
          <w:u w:val="single" w:color="auto"/>
          <w:color w:val="auto"/>
        </w:rPr>
        <w:t>Additional Representations and Acknowledgments.</w:t>
      </w:r>
    </w:p>
    <w:p>
      <w:pPr>
        <w:spacing w:after="0" w:line="179" w:lineRule="exact"/>
        <w:rPr>
          <w:rFonts w:ascii="Arial" w:cs="Arial" w:eastAsia="Arial" w:hAnsi="Arial"/>
          <w:sz w:val="19"/>
          <w:szCs w:val="19"/>
          <w:color w:val="auto"/>
        </w:rPr>
      </w:pPr>
    </w:p>
    <w:p>
      <w:pPr>
        <w:jc w:val="both"/>
        <w:ind w:firstLine="1278"/>
        <w:spacing w:after="0"/>
        <w:tabs>
          <w:tab w:leader="none" w:pos="1907"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No Acceptance of Payments</w:t>
      </w:r>
      <w:r>
        <w:rPr>
          <w:rFonts w:ascii="Arial" w:cs="Arial" w:eastAsia="Arial" w:hAnsi="Arial"/>
          <w:sz w:val="19"/>
          <w:szCs w:val="19"/>
          <w:color w:val="auto"/>
        </w:rPr>
        <w:t>. You represent that you have not accepted or given nor shall you accept or give, directly or indirectly, any money, services or other valuable consideration from or to anyone other than the Company for the inclusion of any matter as part of any film, television, internet or other programming produced, distributed and/or developed by the Company.</w:t>
      </w:r>
    </w:p>
    <w:p>
      <w:pPr>
        <w:spacing w:after="0" w:line="338" w:lineRule="exact"/>
        <w:rPr>
          <w:rFonts w:ascii="Arial" w:cs="Arial" w:eastAsia="Arial" w:hAnsi="Arial"/>
          <w:sz w:val="19"/>
          <w:szCs w:val="19"/>
          <w:color w:val="auto"/>
        </w:rPr>
      </w:pPr>
    </w:p>
    <w:p>
      <w:pPr>
        <w:jc w:val="both"/>
        <w:ind w:firstLine="1278"/>
        <w:spacing w:after="0" w:line="223" w:lineRule="auto"/>
        <w:tabs>
          <w:tab w:leader="none" w:pos="1907"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Company Policies</w:t>
      </w:r>
      <w:r>
        <w:rPr>
          <w:rFonts w:ascii="Arial" w:cs="Arial" w:eastAsia="Arial" w:hAnsi="Arial"/>
          <w:sz w:val="19"/>
          <w:szCs w:val="19"/>
          <w:color w:val="auto"/>
        </w:rPr>
        <w:t>. You recognize that the Company is an equal opportunity employer. You agree that you shall comply with the Company’s employment practices and policies, as they may be amended from time to time, and with all applicable federal, state and local laws prohibiting discrimination on any basis. In addition, you agree that you shall comply with any code of conduct, business and ethics policies adopted and communicated by the Company from time to time and the Company’s other policies and procedures, as they may be amended from time to time, and provide the certifications and conflict of interest disclosures required by such policies.</w:t>
      </w:r>
    </w:p>
    <w:p>
      <w:pPr>
        <w:spacing w:after="0" w:line="159" w:lineRule="exact"/>
        <w:rPr>
          <w:rFonts w:ascii="Arial" w:cs="Arial" w:eastAsia="Arial" w:hAnsi="Arial"/>
          <w:sz w:val="19"/>
          <w:szCs w:val="19"/>
          <w:color w:val="auto"/>
        </w:rPr>
      </w:pPr>
    </w:p>
    <w:p>
      <w:pPr>
        <w:jc w:val="both"/>
        <w:ind w:firstLine="1516"/>
        <w:spacing w:after="0" w:line="230" w:lineRule="auto"/>
        <w:tabs>
          <w:tab w:leader="none" w:pos="1900" w:val="left"/>
        </w:tabs>
        <w:numPr>
          <w:ilvl w:val="1"/>
          <w:numId w:val="123"/>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Notices under this Agreement must be given in writing, by personal delivery, regular mail or receipted email, at the parties’ respective addresses shown on this Agreement (or any other address designated in writing by either party), with a copy, in the case of the Company, to the attention of the Company’s General Counsel. Any notice given by regular mail shall be deemed to have been given three (3) days following such mailing.</w:t>
      </w:r>
    </w:p>
    <w:p>
      <w:pPr>
        <w:spacing w:after="0" w:line="142" w:lineRule="exact"/>
        <w:rPr>
          <w:rFonts w:ascii="Arial" w:cs="Arial" w:eastAsia="Arial" w:hAnsi="Arial"/>
          <w:sz w:val="19"/>
          <w:szCs w:val="19"/>
          <w:color w:val="auto"/>
        </w:rPr>
      </w:pPr>
    </w:p>
    <w:p>
      <w:pPr>
        <w:jc w:val="both"/>
        <w:ind w:firstLine="1516"/>
        <w:spacing w:after="0" w:line="239" w:lineRule="auto"/>
        <w:tabs>
          <w:tab w:leader="none" w:pos="1900" w:val="left"/>
        </w:tabs>
        <w:numPr>
          <w:ilvl w:val="1"/>
          <w:numId w:val="123"/>
        </w:numPr>
        <w:rPr>
          <w:rFonts w:ascii="Arial" w:cs="Arial" w:eastAsia="Arial" w:hAnsi="Arial"/>
          <w:sz w:val="19"/>
          <w:szCs w:val="19"/>
          <w:color w:val="auto"/>
        </w:rPr>
      </w:pPr>
      <w:r>
        <w:rPr>
          <w:rFonts w:ascii="Arial" w:cs="Arial" w:eastAsia="Arial" w:hAnsi="Arial"/>
          <w:sz w:val="19"/>
          <w:szCs w:val="19"/>
          <w:u w:val="single" w:color="auto"/>
          <w:color w:val="auto"/>
        </w:rPr>
        <w:t>Binding Effect; Assignment</w:t>
      </w:r>
      <w:r>
        <w:rPr>
          <w:rFonts w:ascii="Arial" w:cs="Arial" w:eastAsia="Arial" w:hAnsi="Arial"/>
          <w:sz w:val="19"/>
          <w:szCs w:val="19"/>
          <w:color w:val="auto"/>
        </w:rPr>
        <w:t>. This Agreement and rights and obligations of the Company hereunder shall not be assigned by the Company, provided that the Company may assign this Agreement to any subsidiary or affiliated company of or any successor in interest to</w:t>
      </w:r>
    </w:p>
    <w:p>
      <w:pPr>
        <w:sectPr>
          <w:pgSz w:w="11900" w:h="16838" w:orient="portrait"/>
          <w:cols w:equalWidth="0" w:num="1">
            <w:col w:w="11240"/>
          </w:cols>
          <w:pgMar w:left="320" w:top="595" w:right="339" w:bottom="1440" w:gutter="0" w:footer="0" w:header="0"/>
        </w:sectPr>
      </w:pPr>
    </w:p>
    <w:bookmarkStart w:id="172" w:name="page173"/>
    <w:bookmarkEnd w:id="172"/>
    <w:p>
      <w:pPr>
        <w:spacing w:after="0"/>
        <w:rPr>
          <w:sz w:val="20"/>
          <w:szCs w:val="20"/>
          <w:color w:val="auto"/>
        </w:rPr>
      </w:pPr>
      <w:r>
        <w:rPr>
          <w:rFonts w:ascii="Arial" w:cs="Arial" w:eastAsia="Arial" w:hAnsi="Arial"/>
          <w:sz w:val="19"/>
          <w:szCs w:val="19"/>
          <w:color w:val="auto"/>
        </w:rPr>
        <w:t>Mr. Chris McCarthy</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As of January 1, 2023</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Page 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9"/>
          <w:szCs w:val="19"/>
          <w:color w:val="auto"/>
        </w:rPr>
        <w:t>the Company provided that such assignee assumes all of the obligations of the Company hereunder. This Agreement is for the</w:t>
      </w:r>
    </w:p>
    <w:p>
      <w:pPr>
        <w:spacing w:after="0" w:line="232" w:lineRule="auto"/>
        <w:rPr>
          <w:sz w:val="20"/>
          <w:szCs w:val="20"/>
          <w:color w:val="auto"/>
        </w:rPr>
      </w:pPr>
      <w:r>
        <w:rPr>
          <w:rFonts w:ascii="Arial" w:cs="Arial" w:eastAsia="Arial" w:hAnsi="Arial"/>
          <w:sz w:val="19"/>
          <w:szCs w:val="19"/>
          <w:color w:val="auto"/>
        </w:rPr>
        <w:t>performance of personal services by you and may not be assigned by you, except that the rights specified in paragraph 13 shall pass upon your death to your designated beneficiary (or, if there is no such beneficiary, your estate).</w:t>
      </w:r>
    </w:p>
    <w:p>
      <w:pPr>
        <w:spacing w:after="0" w:line="154" w:lineRule="exact"/>
        <w:rPr>
          <w:sz w:val="20"/>
          <w:szCs w:val="20"/>
          <w:color w:val="auto"/>
        </w:rPr>
      </w:pPr>
    </w:p>
    <w:p>
      <w:pPr>
        <w:jc w:val="both"/>
        <w:ind w:firstLine="1516"/>
        <w:spacing w:after="0"/>
        <w:tabs>
          <w:tab w:leader="none" w:pos="1900" w:val="left"/>
        </w:tabs>
        <w:numPr>
          <w:ilvl w:val="0"/>
          <w:numId w:val="124"/>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GOVERNING LAW AND FORUM</w:t>
      </w:r>
      <w:r>
        <w:rPr>
          <w:rFonts w:ascii="Arial" w:cs="Arial" w:eastAsia="Arial" w:hAnsi="Arial"/>
          <w:sz w:val="19"/>
          <w:szCs w:val="19"/>
          <w:b w:val="1"/>
          <w:bCs w:val="1"/>
          <w:color w:val="auto"/>
        </w:rPr>
        <w:t>. You acknowledge that this agreement has been executed, in whole or in part, in New York. Accordingly, you agree that this Agreement and all matters or issues arising out of or relating to your employment with the Company shall be governed by the laws of the State of New York applicable to contracts entered into and performed entirely therein. Any action to enforce or otherwise relating to this Agreement and the rights and obligations hereunder shall be brought solely in the state or federal courts located in the City of New York, Borough of Manhattan.</w:t>
      </w:r>
    </w:p>
    <w:p>
      <w:pPr>
        <w:spacing w:after="0" w:line="287" w:lineRule="exact"/>
        <w:rPr>
          <w:rFonts w:ascii="Arial" w:cs="Arial" w:eastAsia="Arial" w:hAnsi="Arial"/>
          <w:sz w:val="19"/>
          <w:szCs w:val="19"/>
          <w:color w:val="auto"/>
        </w:rPr>
      </w:pPr>
    </w:p>
    <w:p>
      <w:pPr>
        <w:jc w:val="both"/>
        <w:ind w:firstLine="1516"/>
        <w:spacing w:after="0"/>
        <w:tabs>
          <w:tab w:leader="none" w:pos="1900"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No Implied Contract</w:t>
      </w:r>
      <w:r>
        <w:rPr>
          <w:rFonts w:ascii="Arial" w:cs="Arial" w:eastAsia="Arial" w:hAnsi="Arial"/>
          <w:sz w:val="19"/>
          <w:szCs w:val="19"/>
          <w:color w:val="auto"/>
        </w:rPr>
        <w:t>. Nothing contained in this Agreement shall be construed to impose any obligation on the Company or you to renew this Agreement or any portion hereof or on the Company to establish or maintain any benefit, welfare or compensation plan or program or to prevent the modification or termination of any benefit, welfare or compensation plan or program or any action or inaction with respect to any such benefit, welfare or compensation plan or program. The parties intend to be bound only upon full execution of a written agreement by both parties and no negotiation, exchange of draft, partial performance or tender of an agreement (including any extension or renewal of this Agreement) executed by one party shall be deemed to imply an agreement or the renewal or extension of any agreement relating to your employment with the Company. Neither the continuation of employment nor any other conduct shall be deemed to imply a continuing agreement upon the expiration of the Contract Period.</w:t>
      </w:r>
    </w:p>
    <w:p>
      <w:pPr>
        <w:spacing w:after="0" w:line="213" w:lineRule="exact"/>
        <w:rPr>
          <w:rFonts w:ascii="Arial" w:cs="Arial" w:eastAsia="Arial" w:hAnsi="Arial"/>
          <w:sz w:val="19"/>
          <w:szCs w:val="19"/>
          <w:color w:val="auto"/>
        </w:rPr>
      </w:pPr>
    </w:p>
    <w:p>
      <w:pPr>
        <w:ind w:firstLine="1516"/>
        <w:spacing w:after="0" w:line="244" w:lineRule="auto"/>
        <w:tabs>
          <w:tab w:leader="none" w:pos="1900"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In the event any provision or part of this Agreement is found to be invalid or unenforceable, only that particular provision or part so found, and not the entire Agreement, shall be inoperative.</w:t>
      </w:r>
    </w:p>
    <w:p>
      <w:pPr>
        <w:spacing w:after="0" w:line="151" w:lineRule="exact"/>
        <w:rPr>
          <w:rFonts w:ascii="Arial" w:cs="Arial" w:eastAsia="Arial" w:hAnsi="Arial"/>
          <w:sz w:val="19"/>
          <w:szCs w:val="19"/>
          <w:color w:val="auto"/>
        </w:rPr>
      </w:pPr>
    </w:p>
    <w:p>
      <w:pPr>
        <w:jc w:val="both"/>
        <w:ind w:firstLine="1516"/>
        <w:spacing w:after="0" w:line="234" w:lineRule="auto"/>
        <w:tabs>
          <w:tab w:leader="none" w:pos="1900"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Entire Understanding</w:t>
      </w:r>
      <w:r>
        <w:rPr>
          <w:rFonts w:ascii="Arial" w:cs="Arial" w:eastAsia="Arial" w:hAnsi="Arial"/>
          <w:sz w:val="19"/>
          <w:szCs w:val="19"/>
          <w:color w:val="auto"/>
        </w:rPr>
        <w:t>. This Agreement contains the entire understanding of the parties hereto relating to the subject matter contained in this Agreement, and</w:t>
      </w:r>
      <w:r>
        <w:rPr>
          <w:rFonts w:ascii="Arial" w:cs="Arial" w:eastAsia="Arial" w:hAnsi="Arial"/>
          <w:sz w:val="19"/>
          <w:szCs w:val="19"/>
          <w:b w:val="1"/>
          <w:bCs w:val="1"/>
          <w:color w:val="auto"/>
        </w:rPr>
        <w:t>,</w:t>
      </w:r>
      <w:r>
        <w:rPr>
          <w:rFonts w:ascii="Arial" w:cs="Arial" w:eastAsia="Arial" w:hAnsi="Arial"/>
          <w:sz w:val="19"/>
          <w:szCs w:val="19"/>
          <w:color w:val="auto"/>
        </w:rPr>
        <w:t xml:space="preserve"> except as otherwise provided herein</w:t>
      </w:r>
      <w:r>
        <w:rPr>
          <w:rFonts w:ascii="Arial" w:cs="Arial" w:eastAsia="Arial" w:hAnsi="Arial"/>
          <w:sz w:val="19"/>
          <w:szCs w:val="19"/>
          <w:b w:val="1"/>
          <w:bCs w:val="1"/>
          <w:color w:val="auto"/>
        </w:rPr>
        <w:t>,</w:t>
      </w:r>
      <w:r>
        <w:rPr>
          <w:rFonts w:ascii="Arial" w:cs="Arial" w:eastAsia="Arial" w:hAnsi="Arial"/>
          <w:sz w:val="19"/>
          <w:szCs w:val="19"/>
          <w:color w:val="auto"/>
        </w:rPr>
        <w:t xml:space="preserve"> can be modified only by a writing signed by both parties.</w:t>
      </w:r>
    </w:p>
    <w:p>
      <w:pPr>
        <w:spacing w:after="0" w:line="155" w:lineRule="exact"/>
        <w:rPr>
          <w:rFonts w:ascii="Arial" w:cs="Arial" w:eastAsia="Arial" w:hAnsi="Arial"/>
          <w:sz w:val="19"/>
          <w:szCs w:val="19"/>
          <w:color w:val="auto"/>
        </w:rPr>
      </w:pPr>
    </w:p>
    <w:p>
      <w:pPr>
        <w:ind w:firstLine="1516"/>
        <w:spacing w:after="0" w:line="259" w:lineRule="auto"/>
        <w:tabs>
          <w:tab w:leader="none" w:pos="1900"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Supersedes Prior Agreements</w:t>
      </w:r>
      <w:r>
        <w:rPr>
          <w:rFonts w:ascii="Arial" w:cs="Arial" w:eastAsia="Arial" w:hAnsi="Arial"/>
          <w:sz w:val="19"/>
          <w:szCs w:val="19"/>
          <w:color w:val="auto"/>
        </w:rPr>
        <w:t>. With respect to the period covered by the Contract Period, this Agreement supersedes and cancels all prior agreements relating to your employment with the Company.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[REMAINDER OF PAGE INTENTIONALLY LEFT BLANK]</w:t>
      </w:r>
    </w:p>
    <w:p>
      <w:pPr>
        <w:sectPr>
          <w:pgSz w:w="11900" w:h="16838" w:orient="portrait"/>
          <w:cols w:equalWidth="0" w:num="1">
            <w:col w:w="11240"/>
          </w:cols>
          <w:pgMar w:left="320" w:top="595" w:right="339" w:bottom="1440" w:gutter="0" w:footer="0" w:header="0"/>
        </w:sectPr>
      </w:pPr>
    </w:p>
    <w:bookmarkStart w:id="173" w:name="page174"/>
    <w:bookmarkEnd w:id="173"/>
    <w:p>
      <w:pPr>
        <w:spacing w:after="0"/>
        <w:rPr>
          <w:sz w:val="20"/>
          <w:szCs w:val="20"/>
          <w:color w:val="auto"/>
        </w:rPr>
      </w:pPr>
      <w:r>
        <w:rPr>
          <w:rFonts w:ascii="Arial" w:cs="Arial" w:eastAsia="Arial" w:hAnsi="Arial"/>
          <w:sz w:val="19"/>
          <w:szCs w:val="19"/>
          <w:color w:val="auto"/>
        </w:rPr>
        <w:t>Mr. Chris McCarthy</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As of January 1, 2023</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Page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Please confirm your understanding of the Agreement by signing and returning this Agreement. This document shall</w:t>
      </w:r>
    </w:p>
    <w:p>
      <w:pPr>
        <w:jc w:val="both"/>
        <w:spacing w:after="0" w:line="232" w:lineRule="auto"/>
        <w:rPr>
          <w:sz w:val="20"/>
          <w:szCs w:val="20"/>
          <w:color w:val="auto"/>
        </w:rPr>
      </w:pPr>
      <w:r>
        <w:rPr>
          <w:rFonts w:ascii="Arial" w:cs="Arial" w:eastAsia="Arial" w:hAnsi="Arial"/>
          <w:sz w:val="19"/>
          <w:szCs w:val="19"/>
          <w:color w:val="auto"/>
        </w:rPr>
        <w:t>constitute a binding agreement between us only after it also has been executed by the Company and a fully executed copy has been returned to you.</w:t>
      </w:r>
    </w:p>
    <w:p>
      <w:pPr>
        <w:spacing w:after="0" w:line="222" w:lineRule="exact"/>
        <w:rPr>
          <w:sz w:val="20"/>
          <w:szCs w:val="20"/>
          <w:color w:val="auto"/>
        </w:rPr>
      </w:pPr>
    </w:p>
    <w:p>
      <w:pPr>
        <w:ind w:left="5380"/>
        <w:spacing w:after="0"/>
        <w:rPr>
          <w:sz w:val="20"/>
          <w:szCs w:val="20"/>
          <w:color w:val="auto"/>
        </w:rPr>
      </w:pPr>
      <w:r>
        <w:rPr>
          <w:rFonts w:ascii="Arial" w:cs="Arial" w:eastAsia="Arial" w:hAnsi="Arial"/>
          <w:sz w:val="19"/>
          <w:szCs w:val="19"/>
          <w:color w:val="auto"/>
        </w:rPr>
        <w:t>Very truly yours,</w:t>
      </w:r>
    </w:p>
    <w:p>
      <w:pPr>
        <w:spacing w:after="0" w:line="310" w:lineRule="exact"/>
        <w:rPr>
          <w:sz w:val="20"/>
          <w:szCs w:val="20"/>
          <w:color w:val="auto"/>
        </w:rPr>
      </w:pPr>
    </w:p>
    <w:p>
      <w:pPr>
        <w:ind w:left="5380"/>
        <w:spacing w:after="0"/>
        <w:rPr>
          <w:sz w:val="20"/>
          <w:szCs w:val="20"/>
          <w:color w:val="auto"/>
        </w:rPr>
      </w:pPr>
      <w:r>
        <w:rPr>
          <w:rFonts w:ascii="Arial" w:cs="Arial" w:eastAsia="Arial" w:hAnsi="Arial"/>
          <w:sz w:val="19"/>
          <w:szCs w:val="19"/>
          <w:b w:val="1"/>
          <w:bCs w:val="1"/>
          <w:color w:val="auto"/>
        </w:rPr>
        <w:t>PARAMOUNT GLOBAL,</w:t>
      </w:r>
    </w:p>
    <w:p>
      <w:pPr>
        <w:spacing w:after="0" w:line="247" w:lineRule="exact"/>
        <w:rPr>
          <w:sz w:val="20"/>
          <w:szCs w:val="20"/>
          <w:color w:val="auto"/>
        </w:rPr>
      </w:pPr>
    </w:p>
    <w:p>
      <w:pPr>
        <w:ind w:left="5380"/>
        <w:spacing w:after="0"/>
        <w:tabs>
          <w:tab w:leader="none" w:pos="5920" w:val="left"/>
        </w:tabs>
        <w:rPr>
          <w:sz w:val="20"/>
          <w:szCs w:val="20"/>
          <w:color w:val="auto"/>
        </w:rPr>
      </w:pPr>
      <w:r>
        <w:rPr>
          <w:rFonts w:ascii="Arial" w:cs="Arial" w:eastAsia="Arial" w:hAnsi="Arial"/>
          <w:sz w:val="19"/>
          <w:szCs w:val="19"/>
          <w:color w:val="auto"/>
        </w:rPr>
        <w:t>By:</w:t>
        <w:tab/>
        <w:t>/s/ Nancy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3731260</wp:posOffset>
            </wp:positionH>
            <wp:positionV relativeFrom="paragraph">
              <wp:posOffset>26670</wp:posOffset>
            </wp:positionV>
            <wp:extent cx="340741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1">
                      <a:extLst>
                        <a:ext uri="{28A0092B-C50C-407E-A947-70E740481C1C}"/>
                      </a:extLst>
                    </a:blip>
                    <a:srcRect/>
                    <a:stretch>
                      <a:fillRect/>
                    </a:stretch>
                  </pic:blipFill>
                  <pic:spPr bwMode="auto">
                    <a:xfrm>
                      <a:off x="0" y="0"/>
                      <a:ext cx="3407410" cy="8255"/>
                    </a:xfrm>
                    <a:prstGeom prst="rect">
                      <a:avLst/>
                    </a:prstGeom>
                    <a:noFill/>
                  </pic:spPr>
                </pic:pic>
              </a:graphicData>
            </a:graphic>
          </wp:anchor>
        </w:drawing>
      </w:r>
    </w:p>
    <w:p>
      <w:pPr>
        <w:spacing w:after="0" w:line="40" w:lineRule="exact"/>
        <w:rPr>
          <w:sz w:val="20"/>
          <w:szCs w:val="20"/>
          <w:color w:val="auto"/>
        </w:rPr>
      </w:pPr>
    </w:p>
    <w:p>
      <w:pPr>
        <w:ind w:left="5900"/>
        <w:spacing w:after="0"/>
        <w:rPr>
          <w:sz w:val="20"/>
          <w:szCs w:val="20"/>
          <w:color w:val="auto"/>
        </w:rPr>
      </w:pPr>
      <w:r>
        <w:rPr>
          <w:rFonts w:ascii="Arial" w:cs="Arial" w:eastAsia="Arial" w:hAnsi="Arial"/>
          <w:sz w:val="19"/>
          <w:szCs w:val="19"/>
          <w:color w:val="auto"/>
        </w:rPr>
        <w:t>Nancy Phillips</w:t>
      </w:r>
    </w:p>
    <w:p>
      <w:pPr>
        <w:spacing w:after="0" w:line="60" w:lineRule="exact"/>
        <w:rPr>
          <w:sz w:val="20"/>
          <w:szCs w:val="20"/>
          <w:color w:val="auto"/>
        </w:rPr>
      </w:pPr>
    </w:p>
    <w:p>
      <w:pPr>
        <w:ind w:left="5900"/>
        <w:spacing w:after="0"/>
        <w:rPr>
          <w:sz w:val="20"/>
          <w:szCs w:val="20"/>
          <w:color w:val="auto"/>
        </w:rPr>
      </w:pPr>
      <w:r>
        <w:rPr>
          <w:rFonts w:ascii="Arial" w:cs="Arial" w:eastAsia="Arial" w:hAnsi="Arial"/>
          <w:sz w:val="19"/>
          <w:szCs w:val="19"/>
          <w:color w:val="auto"/>
        </w:rPr>
        <w:t>Executive Vice President,</w:t>
      </w:r>
    </w:p>
    <w:p>
      <w:pPr>
        <w:spacing w:after="0" w:line="47" w:lineRule="exact"/>
        <w:rPr>
          <w:sz w:val="20"/>
          <w:szCs w:val="20"/>
          <w:color w:val="auto"/>
        </w:rPr>
      </w:pPr>
    </w:p>
    <w:p>
      <w:pPr>
        <w:ind w:left="5900"/>
        <w:spacing w:after="0"/>
        <w:rPr>
          <w:sz w:val="20"/>
          <w:szCs w:val="20"/>
          <w:color w:val="auto"/>
        </w:rPr>
      </w:pPr>
      <w:r>
        <w:rPr>
          <w:rFonts w:ascii="Arial" w:cs="Arial" w:eastAsia="Arial" w:hAnsi="Arial"/>
          <w:sz w:val="19"/>
          <w:szCs w:val="19"/>
          <w:color w:val="auto"/>
        </w:rPr>
        <w:t>Chief People Officer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ACCEPTED AND AGREED:</w:t>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9"/>
          <w:szCs w:val="19"/>
          <w:color w:val="auto"/>
        </w:rPr>
        <w:t>/s/ Chris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26670</wp:posOffset>
            </wp:positionV>
            <wp:extent cx="223774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2">
                      <a:extLst>
                        <a:ext uri="{28A0092B-C50C-407E-A947-70E740481C1C}"/>
                      </a:extLst>
                    </a:blip>
                    <a:srcRect/>
                    <a:stretch>
                      <a:fillRect/>
                    </a:stretch>
                  </pic:blipFill>
                  <pic:spPr bwMode="auto">
                    <a:xfrm>
                      <a:off x="0" y="0"/>
                      <a:ext cx="2237740" cy="825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9"/>
          <w:szCs w:val="19"/>
          <w:color w:val="auto"/>
        </w:rPr>
        <w:t>Chris McCarthy</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9"/>
          <w:szCs w:val="19"/>
          <w:color w:val="auto"/>
        </w:rPr>
        <w:t>Dated: Feb 13, 2023</w:t>
      </w:r>
    </w:p>
    <w:p>
      <w:pPr>
        <w:sectPr>
          <w:pgSz w:w="11900" w:h="16838" w:orient="portrait"/>
          <w:cols w:equalWidth="0" w:num="1">
            <w:col w:w="11240"/>
          </w:cols>
          <w:pgMar w:left="320" w:top="595" w:right="3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9"/>
          <w:szCs w:val="19"/>
          <w:b w:val="1"/>
          <w:bCs w:val="1"/>
          <w:u w:val="single" w:color="auto"/>
          <w:color w:val="auto"/>
        </w:rPr>
        <w:t>Appendix A</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[Insert name and home address</w:t>
      </w:r>
    </w:p>
    <w:p>
      <w:pPr>
        <w:spacing w:after="0"/>
        <w:rPr>
          <w:sz w:val="20"/>
          <w:szCs w:val="20"/>
          <w:color w:val="auto"/>
        </w:rPr>
      </w:pPr>
      <w:r>
        <w:rPr>
          <w:rFonts w:ascii="Arial" w:cs="Arial" w:eastAsia="Arial" w:hAnsi="Arial"/>
          <w:sz w:val="19"/>
          <w:szCs w:val="19"/>
          <w:color w:val="auto"/>
        </w:rPr>
        <w:t>except for executives whose agreements may become public,</w:t>
      </w: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color w:val="auto"/>
        </w:rPr>
        <w:t>in which case you should use their office address]</w:t>
      </w:r>
    </w:p>
    <w:p>
      <w:pPr>
        <w:spacing w:after="0" w:line="200" w:lineRule="exact"/>
        <w:rPr>
          <w:sz w:val="20"/>
          <w:szCs w:val="20"/>
          <w:color w:val="auto"/>
        </w:rPr>
      </w:pPr>
    </w:p>
    <w:p>
      <w:pPr>
        <w:spacing w:after="0" w:line="240" w:lineRule="exact"/>
        <w:rPr>
          <w:sz w:val="20"/>
          <w:szCs w:val="20"/>
          <w:color w:val="auto"/>
        </w:rPr>
      </w:pPr>
    </w:p>
    <w:p>
      <w:pPr>
        <w:ind w:firstLine="636"/>
        <w:spacing w:after="0" w:line="299" w:lineRule="auto"/>
        <w:rPr>
          <w:sz w:val="20"/>
          <w:szCs w:val="20"/>
          <w:color w:val="auto"/>
        </w:rPr>
      </w:pPr>
      <w:r>
        <w:rPr>
          <w:rFonts w:ascii="Arial" w:cs="Arial" w:eastAsia="Arial" w:hAnsi="Arial"/>
          <w:sz w:val="19"/>
          <w:szCs w:val="19"/>
          <w:color w:val="auto"/>
        </w:rPr>
        <w:t>This General Release of all Claims (this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by [insert executive’s name] (the “</w:t>
      </w:r>
      <w:r>
        <w:rPr>
          <w:rFonts w:ascii="Arial" w:cs="Arial" w:eastAsia="Arial" w:hAnsi="Arial"/>
          <w:sz w:val="19"/>
          <w:szCs w:val="19"/>
          <w:u w:val="single" w:color="auto"/>
          <w:color w:val="auto"/>
        </w:rPr>
        <w:t>Executive</w:t>
      </w:r>
      <w:r>
        <w:rPr>
          <w:rFonts w:ascii="Arial" w:cs="Arial" w:eastAsia="Arial" w:hAnsi="Arial"/>
          <w:sz w:val="19"/>
          <w:szCs w:val="19"/>
          <w:color w:val="auto"/>
        </w:rPr>
        <w:t>”) and [insert name of employer] (the “</w:t>
      </w:r>
      <w:r>
        <w:rPr>
          <w:rFonts w:ascii="Arial" w:cs="Arial" w:eastAsia="Arial" w:hAnsi="Arial"/>
          <w:sz w:val="19"/>
          <w:szCs w:val="19"/>
          <w:u w:val="single" w:color="auto"/>
          <w:color w:val="auto"/>
        </w:rPr>
        <w:t>Company</w:t>
      </w:r>
      <w:r>
        <w:rPr>
          <w:rFonts w:ascii="Arial" w:cs="Arial" w:eastAsia="Arial" w:hAnsi="Arial"/>
          <w:sz w:val="19"/>
          <w:szCs w:val="19"/>
          <w:color w:val="auto"/>
        </w:rPr>
        <w:t>”), effective as of _____________________.</w:t>
      </w:r>
      <w:r>
        <w:rPr>
          <w:rFonts w:ascii="Arial" w:cs="Arial" w:eastAsia="Arial" w:hAnsi="Arial"/>
          <w:sz w:val="25"/>
          <w:szCs w:val="25"/>
          <w:color w:val="auto"/>
          <w:vertAlign w:val="superscript"/>
        </w:rPr>
        <w:t>1</w:t>
      </w:r>
    </w:p>
    <w:p>
      <w:pPr>
        <w:spacing w:after="0" w:line="59" w:lineRule="exact"/>
        <w:rPr>
          <w:sz w:val="20"/>
          <w:szCs w:val="20"/>
          <w:color w:val="auto"/>
        </w:rPr>
      </w:pPr>
    </w:p>
    <w:p>
      <w:pPr>
        <w:ind w:firstLine="636"/>
        <w:spacing w:after="0" w:line="288" w:lineRule="auto"/>
        <w:rPr>
          <w:sz w:val="20"/>
          <w:szCs w:val="20"/>
          <w:color w:val="auto"/>
        </w:rPr>
      </w:pPr>
      <w:r>
        <w:rPr>
          <w:rFonts w:ascii="Arial" w:cs="Arial" w:eastAsia="Arial" w:hAnsi="Arial"/>
          <w:sz w:val="19"/>
          <w:szCs w:val="19"/>
          <w:color w:val="auto"/>
        </w:rPr>
        <w:t>In consideration of the promises set forth in the letter agreement between the Executive and the Company, dated [insert date] (the “</w:t>
      </w:r>
      <w:r>
        <w:rPr>
          <w:rFonts w:ascii="Arial" w:cs="Arial" w:eastAsia="Arial" w:hAnsi="Arial"/>
          <w:sz w:val="19"/>
          <w:szCs w:val="19"/>
          <w:u w:val="single" w:color="auto"/>
          <w:color w:val="auto"/>
        </w:rPr>
        <w:t>Employment Agreement</w:t>
      </w:r>
      <w:r>
        <w:rPr>
          <w:rFonts w:ascii="Arial" w:cs="Arial" w:eastAsia="Arial" w:hAnsi="Arial"/>
          <w:sz w:val="19"/>
          <w:szCs w:val="19"/>
          <w:color w:val="auto"/>
        </w:rPr>
        <w:t>”), the Executive and the Company agree as follows:</w:t>
      </w:r>
    </w:p>
    <w:p>
      <w:pPr>
        <w:spacing w:after="0" w:line="138" w:lineRule="exact"/>
        <w:rPr>
          <w:sz w:val="20"/>
          <w:szCs w:val="20"/>
          <w:color w:val="auto"/>
        </w:rPr>
      </w:pPr>
    </w:p>
    <w:p>
      <w:pPr>
        <w:ind w:firstLine="1510"/>
        <w:spacing w:after="0" w:line="220" w:lineRule="auto"/>
        <w:rPr>
          <w:sz w:val="20"/>
          <w:szCs w:val="20"/>
          <w:color w:val="auto"/>
        </w:rPr>
      </w:pPr>
      <w:r>
        <w:rPr>
          <w:rFonts w:ascii="Arial" w:cs="Arial" w:eastAsia="Arial" w:hAnsi="Arial"/>
          <w:sz w:val="19"/>
          <w:szCs w:val="19"/>
          <w:color w:val="auto"/>
        </w:rPr>
        <w:t xml:space="preserve">1. </w:t>
      </w:r>
      <w:r>
        <w:rPr>
          <w:rFonts w:ascii="Arial" w:cs="Arial" w:eastAsia="Arial" w:hAnsi="Arial"/>
          <w:sz w:val="19"/>
          <w:szCs w:val="19"/>
          <w:u w:val="single" w:color="auto"/>
          <w:color w:val="auto"/>
        </w:rPr>
        <w:t>Return of Property</w:t>
      </w:r>
      <w:r>
        <w:rPr>
          <w:rFonts w:ascii="Arial" w:cs="Arial" w:eastAsia="Arial" w:hAnsi="Arial"/>
          <w:sz w:val="19"/>
          <w:szCs w:val="19"/>
          <w:color w:val="auto"/>
        </w:rPr>
        <w:t>. All Company files, access keys and codes, desk keys, ID badges, computers, records, manuals, electronic devices, computer programs, papers, electronically stored information or documents, telephones and credit</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cards, and any other property of the Company in the Executive’s possession must be returned no later than the date of the Executive’s termination from the Company.</w:t>
      </w:r>
    </w:p>
    <w:p>
      <w:pPr>
        <w:spacing w:after="0" w:line="143" w:lineRule="exact"/>
        <w:rPr>
          <w:sz w:val="20"/>
          <w:szCs w:val="20"/>
          <w:color w:val="auto"/>
        </w:rPr>
      </w:pPr>
    </w:p>
    <w:p>
      <w:pPr>
        <w:ind w:left="1520"/>
        <w:spacing w:after="0"/>
        <w:tabs>
          <w:tab w:leader="none" w:pos="1880" w:val="left"/>
        </w:tabs>
        <w:rPr>
          <w:sz w:val="20"/>
          <w:szCs w:val="20"/>
          <w:color w:val="auto"/>
        </w:rPr>
      </w:pPr>
      <w:r>
        <w:rPr>
          <w:rFonts w:ascii="Arial" w:cs="Arial" w:eastAsia="Arial" w:hAnsi="Arial"/>
          <w:sz w:val="19"/>
          <w:szCs w:val="19"/>
          <w:color w:val="auto"/>
        </w:rPr>
        <w:t>2.</w:t>
      </w:r>
      <w:r>
        <w:rPr>
          <w:sz w:val="20"/>
          <w:szCs w:val="20"/>
          <w:color w:val="auto"/>
        </w:rPr>
        <w:tab/>
      </w:r>
      <w:r>
        <w:rPr>
          <w:rFonts w:ascii="Arial" w:cs="Arial" w:eastAsia="Arial" w:hAnsi="Arial"/>
          <w:sz w:val="19"/>
          <w:szCs w:val="19"/>
          <w:u w:val="single" w:color="auto"/>
          <w:color w:val="auto"/>
        </w:rPr>
        <w:t>General Release and Waiver of Claims</w:t>
      </w:r>
      <w:r>
        <w:rPr>
          <w:rFonts w:ascii="Arial" w:cs="Arial" w:eastAsia="Arial" w:hAnsi="Arial"/>
          <w:sz w:val="19"/>
          <w:szCs w:val="19"/>
          <w:color w:val="auto"/>
        </w:rPr>
        <w:t>.</w:t>
      </w:r>
    </w:p>
    <w:p>
      <w:pPr>
        <w:spacing w:after="0" w:line="191"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u w:val="single" w:color="auto"/>
          <w:color w:val="auto"/>
        </w:rPr>
        <w:t>Release</w:t>
      </w:r>
      <w:r>
        <w:rPr>
          <w:rFonts w:ascii="Arial" w:cs="Arial" w:eastAsia="Arial" w:hAnsi="Arial"/>
          <w:sz w:val="19"/>
          <w:szCs w:val="19"/>
          <w:color w:val="auto"/>
        </w:rPr>
        <w:t>. In consideration of the payments and benefits provided to the Executive under the Employment</w:t>
      </w:r>
    </w:p>
    <w:p>
      <w:pPr>
        <w:spacing w:after="0" w:line="211" w:lineRule="auto"/>
        <w:rPr>
          <w:sz w:val="20"/>
          <w:szCs w:val="20"/>
          <w:color w:val="auto"/>
        </w:rPr>
      </w:pPr>
      <w:r>
        <w:rPr>
          <w:rFonts w:ascii="Arial" w:cs="Arial" w:eastAsia="Arial" w:hAnsi="Arial"/>
          <w:sz w:val="19"/>
          <w:szCs w:val="19"/>
          <w:color w:val="auto"/>
        </w:rPr>
        <w:t>Agreement and after consultation with counsel, the Executive and each of the Executive’s respective heirs, executors, administrators, representatives, agents, insurers, successors and assigns (collectively, the “</w:t>
      </w:r>
      <w:r>
        <w:rPr>
          <w:rFonts w:ascii="Arial" w:cs="Arial" w:eastAsia="Arial" w:hAnsi="Arial"/>
          <w:sz w:val="19"/>
          <w:szCs w:val="19"/>
          <w:u w:val="single" w:color="auto"/>
          <w:color w:val="auto"/>
        </w:rPr>
        <w:t>Releasors</w:t>
      </w:r>
      <w:r>
        <w:rPr>
          <w:rFonts w:ascii="Arial" w:cs="Arial" w:eastAsia="Arial" w:hAnsi="Arial"/>
          <w:sz w:val="19"/>
          <w:szCs w:val="19"/>
          <w:color w:val="auto"/>
        </w:rPr>
        <w:t>”) hereby irrevocably and</w:t>
      </w:r>
    </w:p>
    <w:p>
      <w:pPr>
        <w:spacing w:after="0" w:line="218" w:lineRule="auto"/>
        <w:rPr>
          <w:sz w:val="20"/>
          <w:szCs w:val="20"/>
          <w:color w:val="auto"/>
        </w:rPr>
      </w:pPr>
      <w:r>
        <w:rPr>
          <w:rFonts w:ascii="Arial" w:cs="Arial" w:eastAsia="Arial" w:hAnsi="Arial"/>
          <w:sz w:val="19"/>
          <w:szCs w:val="19"/>
          <w:color w:val="auto"/>
        </w:rPr>
        <w:t>unconditionally release and forever discharge the Company, its subsidiaries and affiliates and each of their respective officers,</w:t>
      </w:r>
    </w:p>
    <w:p>
      <w:pPr>
        <w:spacing w:after="0" w:line="211" w:lineRule="auto"/>
        <w:rPr>
          <w:sz w:val="20"/>
          <w:szCs w:val="20"/>
          <w:color w:val="auto"/>
        </w:rPr>
      </w:pPr>
      <w:r>
        <w:rPr>
          <w:rFonts w:ascii="Arial" w:cs="Arial" w:eastAsia="Arial" w:hAnsi="Arial"/>
          <w:sz w:val="19"/>
          <w:szCs w:val="19"/>
          <w:color w:val="auto"/>
        </w:rPr>
        <w:t>employees, directors, shareholders and agents (“</w:t>
      </w:r>
      <w:r>
        <w:rPr>
          <w:rFonts w:ascii="Arial" w:cs="Arial" w:eastAsia="Arial" w:hAnsi="Arial"/>
          <w:sz w:val="19"/>
          <w:szCs w:val="19"/>
          <w:u w:val="single" w:color="auto"/>
          <w:color w:val="auto"/>
        </w:rPr>
        <w:t>Releasees</w:t>
      </w:r>
      <w:r>
        <w:rPr>
          <w:rFonts w:ascii="Arial" w:cs="Arial" w:eastAsia="Arial" w:hAnsi="Arial"/>
          <w:sz w:val="19"/>
          <w:szCs w:val="19"/>
          <w:color w:val="auto"/>
        </w:rPr>
        <w:t>”) from any and all claims, actions, causes of action, rights, judgments, obligations, damages, demands, accountings or liabilities of whatever kind or character (collectively, “</w:t>
      </w:r>
      <w:r>
        <w:rPr>
          <w:rFonts w:ascii="Arial" w:cs="Arial" w:eastAsia="Arial" w:hAnsi="Arial"/>
          <w:sz w:val="19"/>
          <w:szCs w:val="19"/>
          <w:u w:val="single" w:color="auto"/>
          <w:color w:val="auto"/>
        </w:rPr>
        <w:t>Claims</w:t>
      </w:r>
      <w:r>
        <w:rPr>
          <w:rFonts w:ascii="Arial" w:cs="Arial" w:eastAsia="Arial" w:hAnsi="Arial"/>
          <w:sz w:val="19"/>
          <w:szCs w:val="19"/>
          <w:color w:val="auto"/>
        </w:rPr>
        <w:t>”), including, without</w:t>
      </w:r>
    </w:p>
    <w:p>
      <w:pPr>
        <w:spacing w:after="0" w:line="218" w:lineRule="auto"/>
        <w:rPr>
          <w:sz w:val="20"/>
          <w:szCs w:val="20"/>
          <w:color w:val="auto"/>
        </w:rPr>
      </w:pPr>
      <w:r>
        <w:rPr>
          <w:rFonts w:ascii="Arial" w:cs="Arial" w:eastAsia="Arial" w:hAnsi="Arial"/>
          <w:sz w:val="19"/>
          <w:szCs w:val="19"/>
          <w:color w:val="auto"/>
        </w:rPr>
        <w:t>limitation, any Claims under any federal, state, local or foreign law, that the Releasors may have, or in the future may possess,</w:t>
      </w:r>
    </w:p>
    <w:p>
      <w:pPr>
        <w:jc w:val="both"/>
        <w:spacing w:after="0" w:line="211" w:lineRule="auto"/>
        <w:rPr>
          <w:sz w:val="20"/>
          <w:szCs w:val="20"/>
          <w:color w:val="auto"/>
        </w:rPr>
      </w:pPr>
      <w:r>
        <w:rPr>
          <w:rFonts w:ascii="Arial" w:cs="Arial" w:eastAsia="Arial" w:hAnsi="Arial"/>
          <w:sz w:val="19"/>
          <w:szCs w:val="19"/>
          <w:color w:val="auto"/>
        </w:rPr>
        <w:t>arising out of (i) the Executive’s employment relationship with and service as an employee, officer or director of the Company or any subsidiaries or affiliated companies and the termination of such relationship or service, and (ii) any event, condition,</w:t>
      </w:r>
    </w:p>
    <w:p>
      <w:pPr>
        <w:spacing w:after="0" w:line="218" w:lineRule="auto"/>
        <w:rPr>
          <w:sz w:val="20"/>
          <w:szCs w:val="20"/>
          <w:color w:val="auto"/>
        </w:rPr>
      </w:pPr>
      <w:r>
        <w:rPr>
          <w:rFonts w:ascii="Arial" w:cs="Arial" w:eastAsia="Arial" w:hAnsi="Arial"/>
          <w:sz w:val="19"/>
          <w:szCs w:val="19"/>
          <w:color w:val="auto"/>
        </w:rPr>
        <w:t>circumstance or obligation that occurred, existed or arose on or prior to the date hereof and relates to your employment with the</w:t>
      </w:r>
    </w:p>
    <w:p>
      <w:pPr>
        <w:spacing w:after="0" w:line="211" w:lineRule="auto"/>
        <w:rPr>
          <w:sz w:val="20"/>
          <w:szCs w:val="20"/>
          <w:color w:val="auto"/>
        </w:rPr>
      </w:pPr>
      <w:r>
        <w:rPr>
          <w:rFonts w:ascii="Arial" w:cs="Arial" w:eastAsia="Arial" w:hAnsi="Arial"/>
          <w:sz w:val="19"/>
          <w:szCs w:val="19"/>
          <w:color w:val="auto"/>
        </w:rPr>
        <w:t>Company; provided, however, that the Executive does not release, discharge or waive any rights to (i) payments and benefits provided under the Employment Agreement that are contingent upon the execution by the Executive of this Agreement or</w:t>
      </w:r>
    </w:p>
    <w:p>
      <w:pPr>
        <w:spacing w:after="0" w:line="218" w:lineRule="auto"/>
        <w:rPr>
          <w:sz w:val="20"/>
          <w:szCs w:val="20"/>
          <w:color w:val="auto"/>
        </w:rPr>
      </w:pPr>
      <w:r>
        <w:rPr>
          <w:rFonts w:ascii="Arial" w:cs="Arial" w:eastAsia="Arial" w:hAnsi="Arial"/>
          <w:sz w:val="19"/>
          <w:szCs w:val="19"/>
          <w:color w:val="auto"/>
        </w:rPr>
        <w:t>otherwise expressly survive termination thereof and (ii) any indemnification rights the Executive may have in accordance with the</w:t>
      </w:r>
    </w:p>
    <w:p>
      <w:pPr>
        <w:spacing w:after="0" w:line="232" w:lineRule="auto"/>
        <w:rPr>
          <w:sz w:val="20"/>
          <w:szCs w:val="20"/>
          <w:color w:val="auto"/>
        </w:rPr>
      </w:pPr>
      <w:r>
        <w:rPr>
          <w:rFonts w:ascii="Arial" w:cs="Arial" w:eastAsia="Arial" w:hAnsi="Arial"/>
          <w:sz w:val="19"/>
          <w:szCs w:val="19"/>
          <w:color w:val="auto"/>
        </w:rPr>
        <w:t>Company’s governance instruments or under any director and officer liability insurance maintained by the Company with respect to liabilities arising as a result of the Executive’s service as an officer and employee of the Company.</w:t>
      </w:r>
    </w:p>
    <w:p>
      <w:pPr>
        <w:spacing w:after="0" w:line="154"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u w:val="single" w:color="auto"/>
          <w:color w:val="auto"/>
        </w:rPr>
        <w:t>Specific Release of ADEA Claims</w:t>
      </w:r>
      <w:r>
        <w:rPr>
          <w:rFonts w:ascii="Arial" w:cs="Arial" w:eastAsia="Arial" w:hAnsi="Arial"/>
          <w:sz w:val="19"/>
          <w:szCs w:val="19"/>
          <w:color w:val="auto"/>
        </w:rPr>
        <w:t>. In further consideration of the payments and benefits provided to the</w:t>
      </w:r>
    </w:p>
    <w:p>
      <w:pPr>
        <w:ind w:right="20"/>
        <w:spacing w:after="0" w:line="232" w:lineRule="auto"/>
        <w:rPr>
          <w:sz w:val="20"/>
          <w:szCs w:val="20"/>
          <w:color w:val="auto"/>
        </w:rPr>
      </w:pPr>
      <w:r>
        <w:rPr>
          <w:rFonts w:ascii="Arial" w:cs="Arial" w:eastAsia="Arial" w:hAnsi="Arial"/>
          <w:sz w:val="19"/>
          <w:szCs w:val="19"/>
          <w:color w:val="auto"/>
        </w:rPr>
        <w:t>Executive under the Employment Agreement, the Releasors hereby unconditionally release and forever discharge the Releasees from any and all Claims that the Releasors may have as of the date the Executive signs this Agreement arising under the Federal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356870</wp:posOffset>
            </wp:positionV>
            <wp:extent cx="161544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3">
                      <a:extLst>
                        <a:ext uri="{28A0092B-C50C-407E-A947-70E740481C1C}"/>
                      </a:extLst>
                    </a:blip>
                    <a:srcRect/>
                    <a:stretch>
                      <a:fillRect/>
                    </a:stretch>
                  </pic:blipFill>
                  <pic:spPr bwMode="auto">
                    <a:xfrm>
                      <a:off x="0" y="0"/>
                      <a:ext cx="1615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 xml:space="preserve">1 </w:t>
      </w:r>
      <w:r>
        <w:rPr>
          <w:rFonts w:ascii="Times New Roman" w:cs="Times New Roman" w:eastAsia="Times New Roman" w:hAnsi="Times New Roman"/>
          <w:sz w:val="17"/>
          <w:szCs w:val="17"/>
          <w:color w:val="auto"/>
        </w:rPr>
        <w:t>This date should coincide with termination of employment and should not be filled in at the time of the signing of the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A-1</w:t>
      </w:r>
    </w:p>
    <w:p>
      <w:pPr>
        <w:sectPr>
          <w:pgSz w:w="11900" w:h="16838" w:orient="portrait"/>
          <w:cols w:equalWidth="0" w:num="1">
            <w:col w:w="11240"/>
          </w:cols>
          <w:pgMar w:left="320" w:top="1388" w:right="339" w:bottom="1440" w:gutter="0" w:footer="0" w:header="0"/>
        </w:sectPr>
      </w:pPr>
    </w:p>
    <w:bookmarkStart w:id="175" w:name="page176"/>
    <w:bookmarkEnd w:id="175"/>
    <w:p>
      <w:pPr>
        <w:spacing w:after="0" w:line="121" w:lineRule="exact"/>
        <w:rPr>
          <w:sz w:val="20"/>
          <w:szCs w:val="20"/>
          <w:color w:val="auto"/>
        </w:rPr>
      </w:pPr>
    </w:p>
    <w:p>
      <w:pPr>
        <w:spacing w:after="0"/>
        <w:rPr>
          <w:sz w:val="20"/>
          <w:szCs w:val="20"/>
          <w:color w:val="auto"/>
        </w:rPr>
      </w:pPr>
      <w:r>
        <w:rPr>
          <w:rFonts w:ascii="Arial" w:cs="Arial" w:eastAsia="Arial" w:hAnsi="Arial"/>
          <w:sz w:val="19"/>
          <w:szCs w:val="19"/>
          <w:color w:val="auto"/>
        </w:rPr>
        <w:t>Age Discrimination in Employment Act of 1967, as amended, including the Older Workers Benefit Protection Act of 1990</w:t>
      </w:r>
    </w:p>
    <w:p>
      <w:pPr>
        <w:jc w:val="both"/>
        <w:spacing w:after="0" w:line="211" w:lineRule="auto"/>
        <w:rPr>
          <w:sz w:val="20"/>
          <w:szCs w:val="20"/>
          <w:color w:val="auto"/>
        </w:rPr>
      </w:pPr>
      <w:r>
        <w:rPr>
          <w:rFonts w:ascii="Arial" w:cs="Arial" w:eastAsia="Arial" w:hAnsi="Arial"/>
          <w:sz w:val="19"/>
          <w:szCs w:val="19"/>
          <w:color w:val="auto"/>
        </w:rPr>
        <w:t>(“OWBPA”), and the applicable rules and regulations promulgated thereunder (“</w:t>
      </w:r>
      <w:r>
        <w:rPr>
          <w:rFonts w:ascii="Arial" w:cs="Arial" w:eastAsia="Arial" w:hAnsi="Arial"/>
          <w:sz w:val="19"/>
          <w:szCs w:val="19"/>
          <w:u w:val="single" w:color="auto"/>
          <w:color w:val="auto"/>
        </w:rPr>
        <w:t>ADEA</w:t>
      </w:r>
      <w:r>
        <w:rPr>
          <w:rFonts w:ascii="Arial" w:cs="Arial" w:eastAsia="Arial" w:hAnsi="Arial"/>
          <w:sz w:val="19"/>
          <w:szCs w:val="19"/>
          <w:color w:val="auto"/>
        </w:rPr>
        <w:t>”). By signing this Agreement, the Executive hereby acknowledges and confirms the following: (i) the Executive was advised by the Company in connection with [his] [her]</w:t>
      </w:r>
    </w:p>
    <w:p>
      <w:pPr>
        <w:spacing w:after="0" w:line="218" w:lineRule="auto"/>
        <w:rPr>
          <w:sz w:val="20"/>
          <w:szCs w:val="20"/>
          <w:color w:val="auto"/>
        </w:rPr>
      </w:pPr>
      <w:r>
        <w:rPr>
          <w:rFonts w:ascii="Arial" w:cs="Arial" w:eastAsia="Arial" w:hAnsi="Arial"/>
          <w:sz w:val="19"/>
          <w:szCs w:val="19"/>
          <w:color w:val="auto"/>
        </w:rPr>
        <w:t>termination to consult with an attorney of [his] [her] choice prior to signing this Agreement and to have such attorney explain to the</w:t>
      </w:r>
    </w:p>
    <w:p>
      <w:pPr>
        <w:spacing w:after="0" w:line="211" w:lineRule="auto"/>
        <w:rPr>
          <w:sz w:val="20"/>
          <w:szCs w:val="20"/>
          <w:color w:val="auto"/>
        </w:rPr>
      </w:pPr>
      <w:r>
        <w:rPr>
          <w:rFonts w:ascii="Arial" w:cs="Arial" w:eastAsia="Arial" w:hAnsi="Arial"/>
          <w:sz w:val="19"/>
          <w:szCs w:val="19"/>
          <w:color w:val="auto"/>
        </w:rPr>
        <w:t>Executive the terms of this Agreement, including, without limitation, the terms relating to the Executive’s release of claims arising under ADEA, and the Executive has in fact consulted with an attorney; (ii) the Executive was given a period of not fewer than 21</w:t>
      </w:r>
    </w:p>
    <w:p>
      <w:pPr>
        <w:spacing w:after="0" w:line="218" w:lineRule="auto"/>
        <w:rPr>
          <w:sz w:val="20"/>
          <w:szCs w:val="20"/>
          <w:color w:val="auto"/>
        </w:rPr>
      </w:pPr>
      <w:r>
        <w:rPr>
          <w:rFonts w:ascii="Arial" w:cs="Arial" w:eastAsia="Arial" w:hAnsi="Arial"/>
          <w:sz w:val="19"/>
          <w:szCs w:val="19"/>
          <w:color w:val="auto"/>
        </w:rPr>
        <w:t>days to consider the terms of this Agreement and to consult with an attorney of [his] [her] choosing with respect thereto; (iii) the</w:t>
      </w:r>
    </w:p>
    <w:p>
      <w:pPr>
        <w:spacing w:after="0" w:line="211" w:lineRule="auto"/>
        <w:rPr>
          <w:sz w:val="20"/>
          <w:szCs w:val="20"/>
          <w:color w:val="auto"/>
        </w:rPr>
      </w:pPr>
      <w:r>
        <w:rPr>
          <w:rFonts w:ascii="Arial" w:cs="Arial" w:eastAsia="Arial" w:hAnsi="Arial"/>
          <w:sz w:val="19"/>
          <w:szCs w:val="19"/>
          <w:color w:val="auto"/>
        </w:rPr>
        <w:t>Executive knowingly and voluntarily accepts the terms of this Agreement; and (iv) the Executive is providing this release and discharge only in exchange for consideration in addition to anything of value to which the Executive is already entitled. The</w:t>
      </w:r>
    </w:p>
    <w:p>
      <w:pPr>
        <w:spacing w:after="0" w:line="218" w:lineRule="auto"/>
        <w:rPr>
          <w:sz w:val="20"/>
          <w:szCs w:val="20"/>
          <w:color w:val="auto"/>
        </w:rPr>
      </w:pPr>
      <w:r>
        <w:rPr>
          <w:rFonts w:ascii="Arial" w:cs="Arial" w:eastAsia="Arial" w:hAnsi="Arial"/>
          <w:sz w:val="19"/>
          <w:szCs w:val="19"/>
          <w:color w:val="auto"/>
        </w:rPr>
        <w:t>Executive also understands that [he] [she] has seven (7) days following the date on which [he] [she] signs this Agreement within</w:t>
      </w:r>
    </w:p>
    <w:p>
      <w:pPr>
        <w:spacing w:after="0" w:line="211" w:lineRule="auto"/>
        <w:rPr>
          <w:sz w:val="20"/>
          <w:szCs w:val="20"/>
          <w:color w:val="auto"/>
        </w:rPr>
      </w:pPr>
      <w:r>
        <w:rPr>
          <w:rFonts w:ascii="Arial" w:cs="Arial" w:eastAsia="Arial" w:hAnsi="Arial"/>
          <w:sz w:val="19"/>
          <w:szCs w:val="19"/>
          <w:color w:val="auto"/>
        </w:rPr>
        <w:t>which to revoke the release contained in this paragraph 2(b), by providing the Company a written notice of [his] [her] revocation of the release and waiver contained in this paragraph 2(b); provided, however, that if the Executive exercises [his] [her] right to</w:t>
      </w:r>
    </w:p>
    <w:p>
      <w:pPr>
        <w:spacing w:after="0" w:line="218" w:lineRule="auto"/>
        <w:rPr>
          <w:sz w:val="20"/>
          <w:szCs w:val="20"/>
          <w:color w:val="auto"/>
        </w:rPr>
      </w:pPr>
      <w:r>
        <w:rPr>
          <w:rFonts w:ascii="Arial" w:cs="Arial" w:eastAsia="Arial" w:hAnsi="Arial"/>
          <w:sz w:val="19"/>
          <w:szCs w:val="19"/>
          <w:color w:val="auto"/>
        </w:rPr>
        <w:t>revoke the release contained in this paragraph 2(b), the Executive shall not be entitled to any amounts paid to [him] [her] under the</w:t>
      </w:r>
    </w:p>
    <w:p>
      <w:pPr>
        <w:spacing w:after="0" w:line="211" w:lineRule="auto"/>
        <w:rPr>
          <w:sz w:val="20"/>
          <w:szCs w:val="20"/>
          <w:color w:val="auto"/>
        </w:rPr>
      </w:pPr>
      <w:r>
        <w:rPr>
          <w:rFonts w:ascii="Arial" w:cs="Arial" w:eastAsia="Arial" w:hAnsi="Arial"/>
          <w:sz w:val="19"/>
          <w:szCs w:val="19"/>
          <w:color w:val="auto"/>
        </w:rPr>
        <w:t>termination provisions of the Employment Agreement and the Company may reclaim any such amounts paid to [him] [her] and may terminate any benefits and payments that are subsequently due under the Employment Agreement, except as prohibited by the</w:t>
      </w:r>
    </w:p>
    <w:p>
      <w:pPr>
        <w:spacing w:after="0"/>
        <w:rPr>
          <w:sz w:val="20"/>
          <w:szCs w:val="20"/>
          <w:color w:val="auto"/>
        </w:rPr>
      </w:pPr>
      <w:r>
        <w:rPr>
          <w:rFonts w:ascii="Arial" w:cs="Arial" w:eastAsia="Arial" w:hAnsi="Arial"/>
          <w:sz w:val="19"/>
          <w:szCs w:val="19"/>
          <w:color w:val="auto"/>
        </w:rPr>
        <w:t>ADEA and OWBPA.</w:t>
      </w:r>
    </w:p>
    <w:p>
      <w:pPr>
        <w:spacing w:after="0" w:line="174" w:lineRule="exact"/>
        <w:rPr>
          <w:sz w:val="20"/>
          <w:szCs w:val="20"/>
          <w:color w:val="auto"/>
        </w:rPr>
      </w:pPr>
    </w:p>
    <w:p>
      <w:pPr>
        <w:jc w:val="both"/>
        <w:ind w:firstLine="1278"/>
        <w:spacing w:after="0" w:line="234" w:lineRule="auto"/>
        <w:tabs>
          <w:tab w:leader="none" w:pos="1896" w:val="left"/>
        </w:tabs>
        <w:numPr>
          <w:ilvl w:val="0"/>
          <w:numId w:val="125"/>
        </w:numPr>
        <w:rPr>
          <w:rFonts w:ascii="Arial" w:cs="Arial" w:eastAsia="Arial" w:hAnsi="Arial"/>
          <w:sz w:val="19"/>
          <w:szCs w:val="19"/>
          <w:color w:val="auto"/>
        </w:rPr>
      </w:pPr>
      <w:r>
        <w:rPr>
          <w:rFonts w:ascii="Arial" w:cs="Arial" w:eastAsia="Arial" w:hAnsi="Arial"/>
          <w:sz w:val="19"/>
          <w:szCs w:val="19"/>
          <w:u w:val="single" w:color="auto"/>
          <w:color w:val="auto"/>
        </w:rPr>
        <w:t>No Assignment</w:t>
      </w:r>
      <w:r>
        <w:rPr>
          <w:rFonts w:ascii="Arial" w:cs="Arial" w:eastAsia="Arial" w:hAnsi="Arial"/>
          <w:sz w:val="19"/>
          <w:szCs w:val="19"/>
          <w:color w:val="auto"/>
        </w:rPr>
        <w:t>. The Executive represents and warrants that [he] [she] has not assigned any of the Claims being released under this Agreement. The Company may assign this Agreement, in whole or in part, to any affiliated company or subsidiary of, or any successor in interest to, the Company.</w:t>
      </w:r>
    </w:p>
    <w:p>
      <w:pPr>
        <w:spacing w:after="0" w:line="142" w:lineRule="exact"/>
        <w:rPr>
          <w:rFonts w:ascii="Arial" w:cs="Arial" w:eastAsia="Arial" w:hAnsi="Arial"/>
          <w:sz w:val="19"/>
          <w:szCs w:val="19"/>
          <w:color w:val="auto"/>
        </w:rPr>
      </w:pPr>
    </w:p>
    <w:p>
      <w:pPr>
        <w:jc w:val="both"/>
        <w:ind w:firstLine="1516"/>
        <w:spacing w:after="0" w:line="220" w:lineRule="auto"/>
        <w:tabs>
          <w:tab w:leader="none" w:pos="1898" w:val="left"/>
        </w:tabs>
        <w:numPr>
          <w:ilvl w:val="1"/>
          <w:numId w:val="125"/>
        </w:numPr>
        <w:rPr>
          <w:rFonts w:ascii="Arial" w:cs="Arial" w:eastAsia="Arial" w:hAnsi="Arial"/>
          <w:sz w:val="19"/>
          <w:szCs w:val="19"/>
          <w:color w:val="auto"/>
        </w:rPr>
      </w:pPr>
      <w:r>
        <w:rPr>
          <w:rFonts w:ascii="Arial" w:cs="Arial" w:eastAsia="Arial" w:hAnsi="Arial"/>
          <w:sz w:val="19"/>
          <w:szCs w:val="19"/>
          <w:u w:val="single" w:color="auto"/>
          <w:color w:val="auto"/>
        </w:rPr>
        <w:t>Proceedings</w:t>
      </w:r>
      <w:r>
        <w:rPr>
          <w:rFonts w:ascii="Arial" w:cs="Arial" w:eastAsia="Arial" w:hAnsi="Arial"/>
          <w:sz w:val="19"/>
          <w:szCs w:val="19"/>
          <w:color w:val="auto"/>
        </w:rPr>
        <w:t>. The Executive has not filed, and agrees not to initiate or cause to be initiated on [his] [her] behalf, any complaint, charge, claim or proceeding against the Releasees before any local, state or federal agency, court or other body relating to [his] [her] employment or the termination of [his] [her] employment, other than with respect to the obligations of the Company to the Executive under the Employment Agreement (each, individually, a “Proceeding”), and agrees not to participate voluntarily in any Proceeding. Notwithstanding the foregoing, the prohibitions in this paragraph 3 shall not apply to the Executive’s right to file a charge with the Equal Employment Opportunity Commission (“EEOC”) or similar local or state agency, or participate in an investigation conducted by such agency. The Executive waives any right [he][she] may have to benefit in any manner from any relief (whether monetary or otherwise) (i) arising out of any Proceeding and/or (ii) in connection with any claim pursued by any administrative agency, including but not limited to the EEOC, on the Executive’s behalf and, in the event the Executive is awarded money, compensation or benefits, the Executive shall immediately remit such award to the Company.</w:t>
      </w:r>
    </w:p>
    <w:p>
      <w:pPr>
        <w:spacing w:after="0" w:line="156" w:lineRule="exact"/>
        <w:rPr>
          <w:rFonts w:ascii="Arial" w:cs="Arial" w:eastAsia="Arial" w:hAnsi="Arial"/>
          <w:sz w:val="19"/>
          <w:szCs w:val="19"/>
          <w:color w:val="auto"/>
        </w:rPr>
      </w:pPr>
    </w:p>
    <w:p>
      <w:pPr>
        <w:jc w:val="both"/>
        <w:ind w:firstLine="1516"/>
        <w:spacing w:after="0" w:line="223" w:lineRule="auto"/>
        <w:tabs>
          <w:tab w:leader="none" w:pos="1898" w:val="left"/>
        </w:tabs>
        <w:numPr>
          <w:ilvl w:val="1"/>
          <w:numId w:val="125"/>
        </w:numPr>
        <w:rPr>
          <w:rFonts w:ascii="Arial" w:cs="Arial" w:eastAsia="Arial" w:hAnsi="Arial"/>
          <w:sz w:val="19"/>
          <w:szCs w:val="19"/>
          <w:color w:val="auto"/>
        </w:rPr>
      </w:pPr>
      <w:r>
        <w:rPr>
          <w:rFonts w:ascii="Arial" w:cs="Arial" w:eastAsia="Arial" w:hAnsi="Arial"/>
          <w:sz w:val="19"/>
          <w:szCs w:val="19"/>
          <w:u w:val="single" w:color="auto"/>
          <w:color w:val="auto"/>
        </w:rPr>
        <w:t>Remedies</w:t>
      </w:r>
      <w:r>
        <w:rPr>
          <w:rFonts w:ascii="Arial" w:cs="Arial" w:eastAsia="Arial" w:hAnsi="Arial"/>
          <w:sz w:val="19"/>
          <w:szCs w:val="19"/>
          <w:color w:val="auto"/>
        </w:rPr>
        <w:t>. In the event the Executive initiates or voluntarily participates in any Proceeding in violation of this Agreement, or if [he] [she] fails to abide by any of the terms of this Agreement or [his] [her] post-termination obligations contained in the Employment Agreement, the Company may, in addition to any other remedies it may have, reclaim any amounts paid to [him] [her] under the termination provisions of the Employment Agreement and terminate any benefits or payments that are subsequently due under the Employment Agreement, except as prohibited by the ADEA and OWBPA, without waiving the release granted herein. The Executive acknowledges and agrees that the remedy at law available to the Company for breach of any of [his] [her] post-termination obligations under the Employment Agreement or [his] [her]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A-2</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21" w:lineRule="exact"/>
        <w:rPr>
          <w:sz w:val="20"/>
          <w:szCs w:val="20"/>
          <w:color w:val="auto"/>
        </w:rPr>
      </w:pPr>
    </w:p>
    <w:p>
      <w:pPr>
        <w:spacing w:after="0"/>
        <w:rPr>
          <w:sz w:val="20"/>
          <w:szCs w:val="20"/>
          <w:color w:val="auto"/>
        </w:rPr>
      </w:pPr>
      <w:r>
        <w:rPr>
          <w:rFonts w:ascii="Arial" w:cs="Arial" w:eastAsia="Arial" w:hAnsi="Arial"/>
          <w:sz w:val="19"/>
          <w:szCs w:val="19"/>
          <w:color w:val="auto"/>
        </w:rPr>
        <w:t>obligations under paragraphs 2 and 3 herein would be inadequate and that damages flowing from such a breach may not readily</w:t>
      </w:r>
    </w:p>
    <w:p>
      <w:pPr>
        <w:jc w:val="both"/>
        <w:spacing w:after="0" w:line="211" w:lineRule="auto"/>
        <w:rPr>
          <w:sz w:val="20"/>
          <w:szCs w:val="20"/>
          <w:color w:val="auto"/>
        </w:rPr>
      </w:pPr>
      <w:r>
        <w:rPr>
          <w:rFonts w:ascii="Arial" w:cs="Arial" w:eastAsia="Arial" w:hAnsi="Arial"/>
          <w:sz w:val="19"/>
          <w:szCs w:val="19"/>
          <w:color w:val="auto"/>
        </w:rPr>
        <w:t>be susceptible to being measured in monetary terms. Accordingly, the Executive acknowledges, consents and agrees that, in addition to any other rights or remedies that the Company may have at law or in equity or as may otherwise be set forth in the</w:t>
      </w:r>
    </w:p>
    <w:p>
      <w:pPr>
        <w:spacing w:after="0" w:line="218" w:lineRule="auto"/>
        <w:rPr>
          <w:sz w:val="20"/>
          <w:szCs w:val="20"/>
          <w:color w:val="auto"/>
        </w:rPr>
      </w:pPr>
      <w:r>
        <w:rPr>
          <w:rFonts w:ascii="Arial" w:cs="Arial" w:eastAsia="Arial" w:hAnsi="Arial"/>
          <w:sz w:val="19"/>
          <w:szCs w:val="19"/>
          <w:color w:val="auto"/>
        </w:rPr>
        <w:t>Employment Agreement, the Company shall be entitled to seek a temporary restraining order or a preliminary or permanent</w:t>
      </w:r>
    </w:p>
    <w:p>
      <w:pPr>
        <w:jc w:val="both"/>
        <w:spacing w:after="0" w:line="211" w:lineRule="auto"/>
        <w:rPr>
          <w:sz w:val="20"/>
          <w:szCs w:val="20"/>
          <w:color w:val="auto"/>
        </w:rPr>
      </w:pPr>
      <w:r>
        <w:rPr>
          <w:rFonts w:ascii="Arial" w:cs="Arial" w:eastAsia="Arial" w:hAnsi="Arial"/>
          <w:sz w:val="19"/>
          <w:szCs w:val="19"/>
          <w:color w:val="auto"/>
        </w:rPr>
        <w:t>injunction, or both, without bond or other security, restraining the Executive from breaching [his] [her] post-termination obligations under the Employment Agreement or [his] [her] obligations under paragraphs 2 and 3 herein. Such injunctive relief in any court</w:t>
      </w:r>
    </w:p>
    <w:p>
      <w:pPr>
        <w:spacing w:after="0"/>
        <w:rPr>
          <w:sz w:val="20"/>
          <w:szCs w:val="20"/>
          <w:color w:val="auto"/>
        </w:rPr>
      </w:pPr>
      <w:r>
        <w:rPr>
          <w:rFonts w:ascii="Arial" w:cs="Arial" w:eastAsia="Arial" w:hAnsi="Arial"/>
          <w:sz w:val="19"/>
          <w:szCs w:val="19"/>
          <w:color w:val="auto"/>
        </w:rPr>
        <w:t>shall be available to the Company, in lieu of, or prior to or pending determination in, any arbitration proceeding.</w:t>
      </w:r>
    </w:p>
    <w:p>
      <w:pPr>
        <w:spacing w:after="0" w:line="188" w:lineRule="exact"/>
        <w:rPr>
          <w:sz w:val="20"/>
          <w:szCs w:val="20"/>
          <w:color w:val="auto"/>
        </w:rPr>
      </w:pPr>
    </w:p>
    <w:p>
      <w:pPr>
        <w:jc w:val="both"/>
        <w:ind w:firstLine="636"/>
        <w:spacing w:after="0" w:line="286" w:lineRule="auto"/>
        <w:rPr>
          <w:sz w:val="20"/>
          <w:szCs w:val="20"/>
          <w:color w:val="auto"/>
        </w:rPr>
      </w:pPr>
      <w:r>
        <w:rPr>
          <w:rFonts w:ascii="Arial" w:cs="Arial" w:eastAsia="Arial" w:hAnsi="Arial"/>
          <w:sz w:val="19"/>
          <w:szCs w:val="19"/>
          <w:color w:val="auto"/>
        </w:rPr>
        <w:t>The Executive understands that by entering into this Agreement [he] [she] shall be limiting the availability of certain remedies that [he] [she] may have against the Company and limiting also [his] [her] ability to pursue certain claims against the Company.</w:t>
      </w:r>
    </w:p>
    <w:p>
      <w:pPr>
        <w:spacing w:after="0" w:line="367" w:lineRule="exact"/>
        <w:rPr>
          <w:sz w:val="20"/>
          <w:szCs w:val="20"/>
          <w:color w:val="auto"/>
        </w:rPr>
      </w:pPr>
    </w:p>
    <w:p>
      <w:pPr>
        <w:ind w:firstLine="1516"/>
        <w:spacing w:after="0" w:line="259" w:lineRule="auto"/>
        <w:tabs>
          <w:tab w:leader="none" w:pos="1898"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Severability Clause</w:t>
      </w:r>
      <w:r>
        <w:rPr>
          <w:rFonts w:ascii="Arial" w:cs="Arial" w:eastAsia="Arial" w:hAnsi="Arial"/>
          <w:sz w:val="19"/>
          <w:szCs w:val="19"/>
          <w:color w:val="auto"/>
        </w:rPr>
        <w:t>. In the event any provision or part of this Agreement is found to be invalid or unenforceable, only that particular provision or part so found, and not the entire Agreement, shall be inoperative.</w:t>
      </w:r>
    </w:p>
    <w:p>
      <w:pPr>
        <w:spacing w:after="0" w:line="137" w:lineRule="exact"/>
        <w:rPr>
          <w:rFonts w:ascii="Arial" w:cs="Arial" w:eastAsia="Arial" w:hAnsi="Arial"/>
          <w:sz w:val="19"/>
          <w:szCs w:val="19"/>
          <w:color w:val="auto"/>
        </w:rPr>
      </w:pPr>
    </w:p>
    <w:p>
      <w:pPr>
        <w:ind w:firstLine="1516"/>
        <w:spacing w:after="0" w:line="244" w:lineRule="auto"/>
        <w:tabs>
          <w:tab w:leader="none" w:pos="1898"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0C0C0C"/>
        </w:rPr>
        <w:t>Nonadmission</w:t>
      </w:r>
      <w:r>
        <w:rPr>
          <w:rFonts w:ascii="Arial" w:cs="Arial" w:eastAsia="Arial" w:hAnsi="Arial"/>
          <w:sz w:val="19"/>
          <w:szCs w:val="19"/>
          <w:color w:val="0C0C0C"/>
        </w:rPr>
        <w:t xml:space="preserve">. Nothing contained in this Agreement shall </w:t>
      </w:r>
      <w:r>
        <w:rPr>
          <w:rFonts w:ascii="Arial" w:cs="Arial" w:eastAsia="Arial" w:hAnsi="Arial"/>
          <w:sz w:val="19"/>
          <w:szCs w:val="19"/>
          <w:color w:val="000000"/>
        </w:rPr>
        <w:t>be deemed or construed as an admission of</w:t>
      </w:r>
      <w:r>
        <w:rPr>
          <w:rFonts w:ascii="Arial" w:cs="Arial" w:eastAsia="Arial" w:hAnsi="Arial"/>
          <w:sz w:val="19"/>
          <w:szCs w:val="19"/>
          <w:color w:val="0C0C0C"/>
        </w:rPr>
        <w:t xml:space="preserve"> </w:t>
      </w:r>
      <w:r>
        <w:rPr>
          <w:rFonts w:ascii="Arial" w:cs="Arial" w:eastAsia="Arial" w:hAnsi="Arial"/>
          <w:sz w:val="19"/>
          <w:szCs w:val="19"/>
          <w:color w:val="000000"/>
        </w:rPr>
        <w:t>wrongdoing or liability on the part of the Company.</w:t>
      </w:r>
    </w:p>
    <w:p>
      <w:pPr>
        <w:spacing w:after="0" w:line="151" w:lineRule="exact"/>
        <w:rPr>
          <w:rFonts w:ascii="Arial" w:cs="Arial" w:eastAsia="Arial" w:hAnsi="Arial"/>
          <w:sz w:val="19"/>
          <w:szCs w:val="19"/>
          <w:color w:val="auto"/>
        </w:rPr>
      </w:pPr>
    </w:p>
    <w:p>
      <w:pPr>
        <w:jc w:val="both"/>
        <w:ind w:firstLine="1516"/>
        <w:spacing w:after="0"/>
        <w:tabs>
          <w:tab w:leader="none" w:pos="1898"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GOVERNING LAW AND FORUM</w:t>
      </w:r>
      <w:r>
        <w:rPr>
          <w:rFonts w:ascii="Arial" w:cs="Arial" w:eastAsia="Arial" w:hAnsi="Arial"/>
          <w:sz w:val="19"/>
          <w:szCs w:val="19"/>
          <w:color w:val="auto"/>
        </w:rPr>
        <w:t>. The Executive acknowledges that this Agreement has been executed, in whole or in part, in New York. Accordingly, the Executive agrees that this Agreement and all matters or issues arising out of or relating to the Executive’s employment with the Company shall be governed by the laws of the State of New York applicable to contracts entered into and performed entirely therein. Any action to enforce or otherwise relating to this Agreement and the rights and obligations hereunder shall be brought solely in the state or federal courts located in the City of New York, Borough of Manhattan.</w:t>
      </w:r>
    </w:p>
    <w:p>
      <w:pPr>
        <w:spacing w:after="0" w:line="285" w:lineRule="exact"/>
        <w:rPr>
          <w:rFonts w:ascii="Arial" w:cs="Arial" w:eastAsia="Arial" w:hAnsi="Arial"/>
          <w:sz w:val="19"/>
          <w:szCs w:val="19"/>
          <w:color w:val="auto"/>
        </w:rPr>
      </w:pPr>
    </w:p>
    <w:p>
      <w:pPr>
        <w:jc w:val="both"/>
        <w:ind w:firstLine="1516"/>
        <w:spacing w:after="0" w:line="230" w:lineRule="auto"/>
        <w:tabs>
          <w:tab w:leader="none" w:pos="1898"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Notices under this Agreement must be given in writing, by personal delivery, regular mail or receipted email, at the parties’ respective addresses shown on this Agreement (or any other address designated in writing by either party), with a copy, in the case of the Company, to the attention of the Company’s General Counsel. Any notice given by regular mail shall be deemed to have been given three (3) days following such mailing.</w:t>
      </w:r>
    </w:p>
    <w:p>
      <w:pPr>
        <w:spacing w:after="0" w:line="167" w:lineRule="exact"/>
        <w:rPr>
          <w:sz w:val="20"/>
          <w:szCs w:val="20"/>
          <w:color w:val="auto"/>
        </w:rPr>
      </w:pPr>
    </w:p>
    <w:p>
      <w:pPr>
        <w:jc w:val="both"/>
        <w:ind w:firstLine="636"/>
        <w:spacing w:after="0" w:line="270" w:lineRule="auto"/>
        <w:rPr>
          <w:sz w:val="20"/>
          <w:szCs w:val="20"/>
          <w:color w:val="auto"/>
        </w:rPr>
      </w:pPr>
      <w:r>
        <w:rPr>
          <w:rFonts w:ascii="Arial" w:cs="Arial" w:eastAsia="Arial" w:hAnsi="Arial"/>
          <w:sz w:val="19"/>
          <w:szCs w:val="19"/>
          <w:b w:val="1"/>
          <w:bCs w:val="1"/>
          <w:color w:val="auto"/>
        </w:rPr>
        <w:t>THE EXECUTIVE ACKNOWLEDGES THAT [HE] [SHE] HAS READ THIS AGREEMENT AND THAT [HE] [SHE] FULLY KNOWS, UNDERSTANDS AND APPRECIATES ITS CONTENTS, AND THAT [HE] [SHE] HEREBY EXECUTES THE SAME AND MAKES THIS AGREEMENT AND THE RELEASE AND AGREEMENTS PROVIDED FOR HEREIN VOLUNTARILY AND OF [HIS] [HER] OWN FREE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A-3</w:t>
      </w:r>
    </w:p>
    <w:p>
      <w:pPr>
        <w:sectPr>
          <w:pgSz w:w="11900" w:h="16838" w:orient="portrait"/>
          <w:cols w:equalWidth="0" w:num="1">
            <w:col w:w="11240"/>
          </w:cols>
          <w:pgMar w:left="320" w:top="1440" w:right="339" w:bottom="1440" w:gutter="0" w:footer="0" w:header="0"/>
        </w:sectPr>
      </w:pPr>
    </w:p>
    <w:bookmarkStart w:id="177" w:name="page178"/>
    <w:bookmarkEnd w:id="177"/>
    <w:p>
      <w:pPr>
        <w:spacing w:after="0"/>
        <w:rPr>
          <w:sz w:val="20"/>
          <w:szCs w:val="20"/>
          <w:color w:val="auto"/>
        </w:rPr>
      </w:pPr>
      <w:r>
        <w:rPr>
          <w:rFonts w:ascii="Arial" w:cs="Arial" w:eastAsia="Arial" w:hAnsi="Arial"/>
          <w:sz w:val="19"/>
          <w:szCs w:val="19"/>
          <w:color w:val="auto"/>
        </w:rPr>
        <w:t>IN WITNESS WHEREOF, the parties have executed this Agreement as of the date first set forth above.</w:t>
      </w:r>
    </w:p>
    <w:p>
      <w:pPr>
        <w:sectPr>
          <w:pgSz w:w="11900" w:h="16838" w:orient="portrait"/>
          <w:cols w:equalWidth="0" w:num="1">
            <w:col w:w="9499"/>
          </w:cols>
          <w:pgMar w:left="960" w:top="754" w:right="1440" w:bottom="1440" w:gutter="0" w:footer="0" w:header="0"/>
        </w:sectPr>
      </w:pPr>
    </w:p>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19"/>
          <w:szCs w:val="19"/>
          <w:b w:val="1"/>
          <w:bCs w:val="1"/>
          <w:color w:val="auto"/>
        </w:rPr>
        <w:t>[INSERT NAME OF EMPLOYER]</w:t>
      </w:r>
    </w:p>
    <w:p>
      <w:pPr>
        <w:spacing w:after="0" w:line="200" w:lineRule="exact"/>
        <w:rPr>
          <w:sz w:val="20"/>
          <w:szCs w:val="20"/>
          <w:color w:val="auto"/>
        </w:rPr>
      </w:pPr>
    </w:p>
    <w:p>
      <w:pPr>
        <w:spacing w:after="0" w:line="326" w:lineRule="exact"/>
        <w:rPr>
          <w:sz w:val="20"/>
          <w:szCs w:val="20"/>
          <w:color w:val="auto"/>
        </w:rPr>
      </w:pPr>
    </w:p>
    <w:p>
      <w:pPr>
        <w:ind w:left="320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2256155</wp:posOffset>
            </wp:positionH>
            <wp:positionV relativeFrom="paragraph">
              <wp:posOffset>26670</wp:posOffset>
            </wp:positionV>
            <wp:extent cx="25495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4">
                      <a:extLst>
                        <a:ext uri="{28A0092B-C50C-407E-A947-70E740481C1C}"/>
                      </a:extLst>
                    </a:blip>
                    <a:srcRect/>
                    <a:stretch>
                      <a:fillRect/>
                    </a:stretch>
                  </pic:blipFill>
                  <pic:spPr bwMode="auto">
                    <a:xfrm>
                      <a:off x="0" y="0"/>
                      <a:ext cx="2549525" cy="8255"/>
                    </a:xfrm>
                    <a:prstGeom prst="rect">
                      <a:avLst/>
                    </a:prstGeom>
                    <a:noFill/>
                  </pic:spPr>
                </pic:pic>
              </a:graphicData>
            </a:graphic>
          </wp:anchor>
        </w:drawing>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9"/>
          <w:szCs w:val="19"/>
          <w:color w:val="auto"/>
        </w:rPr>
        <w:t>[Insert name of Company representative]</w:t>
      </w:r>
    </w:p>
    <w:p>
      <w:pPr>
        <w:spacing w:after="0" w:line="37" w:lineRule="exact"/>
        <w:rPr>
          <w:sz w:val="20"/>
          <w:szCs w:val="20"/>
          <w:color w:val="auto"/>
        </w:rPr>
      </w:pPr>
    </w:p>
    <w:p>
      <w:pPr>
        <w:ind w:left="3580"/>
        <w:spacing w:after="0"/>
        <w:rPr>
          <w:sz w:val="20"/>
          <w:szCs w:val="20"/>
          <w:color w:val="auto"/>
        </w:rPr>
      </w:pPr>
      <w:r>
        <w:rPr>
          <w:rFonts w:ascii="Arial" w:cs="Arial" w:eastAsia="Arial" w:hAnsi="Arial"/>
          <w:sz w:val="19"/>
          <w:szCs w:val="19"/>
          <w:color w:val="auto"/>
        </w:rPr>
        <w:t>Insert title of Company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00"/>
        <w:spacing w:after="0"/>
        <w:rPr>
          <w:sz w:val="20"/>
          <w:szCs w:val="20"/>
          <w:color w:val="auto"/>
        </w:rPr>
      </w:pPr>
      <w:r>
        <w:rPr>
          <w:rFonts w:ascii="Arial" w:cs="Arial" w:eastAsia="Arial" w:hAnsi="Arial"/>
          <w:sz w:val="19"/>
          <w:szCs w:val="19"/>
          <w:b w:val="1"/>
          <w:bCs w:val="1"/>
          <w:color w:val="auto"/>
        </w:rPr>
        <w:t>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364490</wp:posOffset>
            </wp:positionV>
            <wp:extent cx="278511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5">
                      <a:extLst>
                        <a:ext uri="{28A0092B-C50C-407E-A947-70E740481C1C}"/>
                      </a:extLst>
                    </a:blip>
                    <a:srcRect/>
                    <a:stretch>
                      <a:fillRect/>
                    </a:stretch>
                  </pic:blipFill>
                  <pic:spPr bwMode="auto">
                    <a:xfrm>
                      <a:off x="0" y="0"/>
                      <a:ext cx="2785110" cy="825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3200"/>
        <w:spacing w:after="0"/>
        <w:rPr>
          <w:sz w:val="20"/>
          <w:szCs w:val="20"/>
          <w:color w:val="auto"/>
        </w:rPr>
      </w:pPr>
      <w:r>
        <w:rPr>
          <w:rFonts w:ascii="Arial" w:cs="Arial" w:eastAsia="Arial" w:hAnsi="Arial"/>
          <w:sz w:val="19"/>
          <w:szCs w:val="19"/>
          <w:color w:val="auto"/>
        </w:rPr>
        <w:t>[Insert name of Executive]</w:t>
      </w:r>
    </w:p>
    <w:p>
      <w:pPr>
        <w:spacing w:after="0" w:line="298" w:lineRule="exact"/>
        <w:rPr>
          <w:sz w:val="20"/>
          <w:szCs w:val="20"/>
          <w:color w:val="auto"/>
        </w:rPr>
      </w:pPr>
    </w:p>
    <w:p>
      <w:pPr>
        <w:ind w:left="3200"/>
        <w:spacing w:after="0"/>
        <w:rPr>
          <w:sz w:val="20"/>
          <w:szCs w:val="20"/>
          <w:color w:val="auto"/>
        </w:rPr>
      </w:pPr>
      <w:r>
        <w:rPr>
          <w:rFonts w:ascii="Arial" w:cs="Arial" w:eastAsia="Arial" w:hAnsi="Arial"/>
          <w:sz w:val="19"/>
          <w:szCs w:val="19"/>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2416175</wp:posOffset>
            </wp:positionH>
            <wp:positionV relativeFrom="paragraph">
              <wp:posOffset>26670</wp:posOffset>
            </wp:positionV>
            <wp:extent cx="238950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6">
                      <a:extLst>
                        <a:ext uri="{28A0092B-C50C-407E-A947-70E740481C1C}"/>
                      </a:extLst>
                    </a:blip>
                    <a:srcRect/>
                    <a:stretch>
                      <a:fillRect/>
                    </a:stretch>
                  </pic:blipFill>
                  <pic:spPr bwMode="auto">
                    <a:xfrm>
                      <a:off x="0" y="0"/>
                      <a:ext cx="23895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1"/>
          <w:szCs w:val="21"/>
          <w:color w:val="auto"/>
        </w:rPr>
        <w:t>A-4</w:t>
      </w:r>
    </w:p>
    <w:p>
      <w:pPr>
        <w:sectPr>
          <w:pgSz w:w="11900" w:h="16838" w:orient="portrait"/>
          <w:cols w:equalWidth="0" w:num="1">
            <w:col w:w="9499"/>
          </w:cols>
          <w:pgMar w:left="960" w:top="754" w:right="1440" w:bottom="1440" w:gutter="0" w:footer="0" w:header="0"/>
          <w:type w:val="continuous"/>
        </w:sectPr>
      </w:pPr>
    </w:p>
    <w:bookmarkStart w:id="178" w:name="page179"/>
    <w:bookmarkEnd w:id="178"/>
    <w:p>
      <w:pPr>
        <w:jc w:val="right"/>
        <w:spacing w:after="0"/>
        <w:rPr>
          <w:sz w:val="20"/>
          <w:szCs w:val="20"/>
          <w:color w:val="auto"/>
        </w:rPr>
      </w:pPr>
      <w:r>
        <w:rPr>
          <w:rFonts w:ascii="Times New Roman" w:cs="Times New Roman" w:eastAsia="Times New Roman" w:hAnsi="Times New Roman"/>
          <w:sz w:val="19"/>
          <w:szCs w:val="19"/>
          <w:b w:val="1"/>
          <w:bCs w:val="1"/>
          <w:color w:val="auto"/>
        </w:rPr>
        <w:t>Exhibit 10(cc)</w:t>
      </w:r>
    </w:p>
    <w:p>
      <w:pPr>
        <w:spacing w:after="0" w:line="200" w:lineRule="exact"/>
        <w:rPr>
          <w:sz w:val="20"/>
          <w:szCs w:val="20"/>
          <w:color w:val="auto"/>
        </w:rPr>
      </w:pPr>
    </w:p>
    <w:p>
      <w:pPr>
        <w:spacing w:after="0" w:line="302" w:lineRule="exact"/>
        <w:rPr>
          <w:sz w:val="20"/>
          <w:szCs w:val="20"/>
          <w:color w:val="auto"/>
        </w:rPr>
      </w:pPr>
    </w:p>
    <w:p>
      <w:pPr>
        <w:ind w:left="6180"/>
        <w:spacing w:after="0"/>
        <w:rPr>
          <w:sz w:val="20"/>
          <w:szCs w:val="20"/>
          <w:color w:val="auto"/>
        </w:rPr>
      </w:pPr>
      <w:r>
        <w:rPr>
          <w:rFonts w:ascii="Arial" w:cs="Arial" w:eastAsia="Arial" w:hAnsi="Arial"/>
          <w:sz w:val="19"/>
          <w:szCs w:val="19"/>
          <w:color w:val="auto"/>
        </w:rPr>
        <w:t>June 7, 2024</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Chris McCarthy</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[address on file]</w:t>
      </w: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Dear Chris:</w:t>
      </w:r>
    </w:p>
    <w:p>
      <w:pPr>
        <w:spacing w:after="0" w:line="179" w:lineRule="exact"/>
        <w:rPr>
          <w:sz w:val="20"/>
          <w:szCs w:val="20"/>
          <w:color w:val="auto"/>
        </w:rPr>
      </w:pPr>
    </w:p>
    <w:p>
      <w:pPr>
        <w:jc w:val="both"/>
        <w:ind w:right="100" w:firstLine="636"/>
        <w:spacing w:after="0" w:line="275" w:lineRule="auto"/>
        <w:rPr>
          <w:sz w:val="20"/>
          <w:szCs w:val="20"/>
          <w:color w:val="auto"/>
        </w:rPr>
      </w:pPr>
      <w:r>
        <w:rPr>
          <w:rFonts w:ascii="Arial" w:cs="Arial" w:eastAsia="Arial" w:hAnsi="Arial"/>
          <w:sz w:val="19"/>
          <w:szCs w:val="19"/>
          <w:color w:val="auto"/>
        </w:rPr>
        <w:t>Reference is made to that certain employment agreement between you and the Company dated as of January 1, 2023 (your “</w:t>
      </w:r>
      <w:r>
        <w:rPr>
          <w:rFonts w:ascii="Arial" w:cs="Arial" w:eastAsia="Arial" w:hAnsi="Arial"/>
          <w:sz w:val="19"/>
          <w:szCs w:val="19"/>
          <w:u w:val="single" w:color="auto"/>
          <w:color w:val="auto"/>
        </w:rPr>
        <w:t>Employment Agreement</w:t>
      </w:r>
      <w:r>
        <w:rPr>
          <w:rFonts w:ascii="Arial" w:cs="Arial" w:eastAsia="Arial" w:hAnsi="Arial"/>
          <w:sz w:val="19"/>
          <w:szCs w:val="19"/>
          <w:color w:val="auto"/>
        </w:rPr>
        <w:t>”). All defined terms used but not defined herein shall have the meanings set forth in your Employment Agreement, as applicable.</w:t>
      </w:r>
    </w:p>
    <w:p>
      <w:pPr>
        <w:spacing w:after="0" w:line="9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This letter, when fully executed below, amends your Employment Agreement as follows:</w:t>
      </w:r>
    </w:p>
    <w:p>
      <w:pPr>
        <w:spacing w:after="0" w:line="179" w:lineRule="exact"/>
        <w:rPr>
          <w:sz w:val="20"/>
          <w:szCs w:val="20"/>
          <w:color w:val="auto"/>
        </w:rPr>
      </w:pPr>
    </w:p>
    <w:p>
      <w:pPr>
        <w:ind w:left="960" w:right="520" w:hanging="322"/>
        <w:spacing w:after="0" w:line="275" w:lineRule="auto"/>
        <w:tabs>
          <w:tab w:leader="none" w:pos="95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Paragraph 2 of the Employment Agreement shall be amended to reflect that, beginning May 1, 2024, you are a member of the Company’s Office of the CEO in addition to your duties as President and Chief Executive Officer, Showtime/MTV Entertainment Studios and Paramount Media Networks.</w:t>
      </w:r>
    </w:p>
    <w:p>
      <w:pPr>
        <w:spacing w:after="0" w:line="110" w:lineRule="exact"/>
        <w:rPr>
          <w:rFonts w:ascii="Arial" w:cs="Arial" w:eastAsia="Arial" w:hAnsi="Arial"/>
          <w:sz w:val="19"/>
          <w:szCs w:val="19"/>
          <w:color w:val="auto"/>
        </w:rPr>
      </w:pPr>
    </w:p>
    <w:p>
      <w:pPr>
        <w:ind w:left="960" w:right="280" w:hanging="322"/>
        <w:spacing w:after="0" w:line="275" w:lineRule="auto"/>
        <w:tabs>
          <w:tab w:leader="none" w:pos="95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Paragraph 3(b) shall be amended to provide that, for the period of time during which you serve as a member of the Company’s Office of the CEO, your STIP target shall increase to 225% of your Salary. The increased target is in effect beginning May 1, 2024 through the date on which you are relieved of your duties with the Office of the CEO.</w:t>
      </w:r>
    </w:p>
    <w:p>
      <w:pPr>
        <w:spacing w:after="0" w:line="110" w:lineRule="exact"/>
        <w:rPr>
          <w:sz w:val="20"/>
          <w:szCs w:val="20"/>
          <w:color w:val="auto"/>
        </w:rPr>
      </w:pPr>
    </w:p>
    <w:p>
      <w:pPr>
        <w:jc w:val="both"/>
        <w:ind w:right="120" w:firstLine="636"/>
        <w:spacing w:after="0" w:line="288" w:lineRule="auto"/>
        <w:rPr>
          <w:sz w:val="20"/>
          <w:szCs w:val="20"/>
          <w:color w:val="auto"/>
        </w:rPr>
      </w:pPr>
      <w:r>
        <w:rPr>
          <w:rFonts w:ascii="Arial" w:cs="Arial" w:eastAsia="Arial" w:hAnsi="Arial"/>
          <w:sz w:val="19"/>
          <w:szCs w:val="19"/>
          <w:color w:val="auto"/>
        </w:rPr>
        <w:t>Except as herein amended, all other terms and conditions of your Employment Agreement shall remain the same and your Employment Agreement as herein amended shall remain in full force and effect.</w:t>
      </w:r>
    </w:p>
    <w:p>
      <w:pPr>
        <w:spacing w:after="0" w:line="98" w:lineRule="exact"/>
        <w:rPr>
          <w:sz w:val="20"/>
          <w:szCs w:val="20"/>
          <w:color w:val="auto"/>
        </w:rPr>
      </w:pPr>
    </w:p>
    <w:p>
      <w:pPr>
        <w:jc w:val="both"/>
        <w:ind w:right="100" w:firstLine="636"/>
        <w:spacing w:after="0" w:line="275" w:lineRule="auto"/>
        <w:rPr>
          <w:sz w:val="20"/>
          <w:szCs w:val="20"/>
          <w:color w:val="auto"/>
        </w:rPr>
      </w:pPr>
      <w:r>
        <w:rPr>
          <w:rFonts w:ascii="Arial" w:cs="Arial" w:eastAsia="Arial" w:hAnsi="Arial"/>
          <w:sz w:val="19"/>
          <w:szCs w:val="19"/>
          <w:color w:val="auto"/>
        </w:rPr>
        <w:t>If the foregoing correctly sets forth our understanding, please sign and return this letter. This document shall constitute a binding agreement between us only after it also has been executed by the Company and a fully executed copy has been returned to you.</w:t>
      </w:r>
    </w:p>
    <w:p>
      <w:pPr>
        <w:spacing w:after="0" w:line="200" w:lineRule="exact"/>
        <w:rPr>
          <w:sz w:val="20"/>
          <w:szCs w:val="20"/>
          <w:color w:val="auto"/>
        </w:rPr>
      </w:pPr>
    </w:p>
    <w:p>
      <w:pPr>
        <w:spacing w:after="0" w:line="202" w:lineRule="exact"/>
        <w:rPr>
          <w:sz w:val="20"/>
          <w:szCs w:val="20"/>
          <w:color w:val="auto"/>
        </w:rPr>
      </w:pPr>
    </w:p>
    <w:p>
      <w:pPr>
        <w:ind w:left="6360"/>
        <w:spacing w:after="0"/>
        <w:rPr>
          <w:sz w:val="20"/>
          <w:szCs w:val="20"/>
          <w:color w:val="auto"/>
        </w:rPr>
      </w:pPr>
      <w:r>
        <w:rPr>
          <w:rFonts w:ascii="Arial" w:cs="Arial" w:eastAsia="Arial" w:hAnsi="Arial"/>
          <w:sz w:val="19"/>
          <w:szCs w:val="19"/>
          <w:color w:val="auto"/>
        </w:rPr>
        <w:t>Very truly yours,</w:t>
      </w:r>
    </w:p>
    <w:p>
      <w:pPr>
        <w:spacing w:after="0" w:line="310" w:lineRule="exact"/>
        <w:rPr>
          <w:sz w:val="20"/>
          <w:szCs w:val="20"/>
          <w:color w:val="auto"/>
        </w:rPr>
      </w:pPr>
    </w:p>
    <w:p>
      <w:pPr>
        <w:ind w:left="6360"/>
        <w:spacing w:after="0"/>
        <w:rPr>
          <w:sz w:val="20"/>
          <w:szCs w:val="20"/>
          <w:color w:val="auto"/>
        </w:rPr>
      </w:pPr>
      <w:r>
        <w:rPr>
          <w:rFonts w:ascii="Arial" w:cs="Arial" w:eastAsia="Arial" w:hAnsi="Arial"/>
          <w:sz w:val="19"/>
          <w:szCs w:val="19"/>
          <w:b w:val="1"/>
          <w:bCs w:val="1"/>
          <w:color w:val="auto"/>
        </w:rPr>
        <w:t>PARAMOUNT GLOBAL</w:t>
      </w:r>
    </w:p>
    <w:p>
      <w:pPr>
        <w:spacing w:after="0" w:line="247" w:lineRule="exact"/>
        <w:rPr>
          <w:sz w:val="20"/>
          <w:szCs w:val="20"/>
          <w:color w:val="auto"/>
        </w:rPr>
      </w:pPr>
    </w:p>
    <w:p>
      <w:pPr>
        <w:ind w:left="6360"/>
        <w:spacing w:after="0"/>
        <w:tabs>
          <w:tab w:leader="none" w:pos="6800" w:val="left"/>
        </w:tabs>
        <w:rPr>
          <w:sz w:val="20"/>
          <w:szCs w:val="20"/>
          <w:color w:val="auto"/>
        </w:rPr>
      </w:pPr>
      <w:r>
        <w:rPr>
          <w:rFonts w:ascii="Arial" w:cs="Arial" w:eastAsia="Arial" w:hAnsi="Arial"/>
          <w:sz w:val="19"/>
          <w:szCs w:val="19"/>
          <w:color w:val="auto"/>
        </w:rPr>
        <w:t>By:</w:t>
        <w:tab/>
        <w:t>/s/ Nancy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4290060</wp:posOffset>
            </wp:positionH>
            <wp:positionV relativeFrom="paragraph">
              <wp:posOffset>26670</wp:posOffset>
            </wp:positionV>
            <wp:extent cx="273431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7">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40" w:lineRule="exact"/>
        <w:rPr>
          <w:sz w:val="20"/>
          <w:szCs w:val="20"/>
          <w:color w:val="auto"/>
        </w:rPr>
      </w:pPr>
    </w:p>
    <w:p>
      <w:pPr>
        <w:ind w:left="6780"/>
        <w:spacing w:after="0"/>
        <w:tabs>
          <w:tab w:leader="none" w:pos="7500" w:val="left"/>
        </w:tabs>
        <w:rPr>
          <w:sz w:val="20"/>
          <w:szCs w:val="20"/>
          <w:color w:val="auto"/>
        </w:rPr>
      </w:pPr>
      <w:r>
        <w:rPr>
          <w:rFonts w:ascii="Arial" w:cs="Arial" w:eastAsia="Arial" w:hAnsi="Arial"/>
          <w:sz w:val="19"/>
          <w:szCs w:val="19"/>
          <w:color w:val="auto"/>
        </w:rPr>
        <w:t>Name:</w:t>
        <w:tab/>
        <w:t>Nancy Phillips</w:t>
      </w:r>
    </w:p>
    <w:p>
      <w:pPr>
        <w:spacing w:after="0" w:line="64" w:lineRule="exact"/>
        <w:rPr>
          <w:sz w:val="20"/>
          <w:szCs w:val="20"/>
          <w:color w:val="auto"/>
        </w:rPr>
      </w:pPr>
    </w:p>
    <w:p>
      <w:pPr>
        <w:ind w:left="6780"/>
        <w:spacing w:after="0"/>
        <w:tabs>
          <w:tab w:leader="none" w:pos="75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color w:val="auto"/>
        </w:rPr>
        <w:t>Executive Vice President,</w:t>
      </w:r>
    </w:p>
    <w:p>
      <w:pPr>
        <w:spacing w:after="0" w:line="42" w:lineRule="exact"/>
        <w:rPr>
          <w:sz w:val="20"/>
          <w:szCs w:val="20"/>
          <w:color w:val="auto"/>
        </w:rPr>
      </w:pPr>
    </w:p>
    <w:p>
      <w:pPr>
        <w:ind w:left="7520"/>
        <w:spacing w:after="0"/>
        <w:rPr>
          <w:sz w:val="20"/>
          <w:szCs w:val="20"/>
          <w:color w:val="auto"/>
        </w:rPr>
      </w:pPr>
      <w:r>
        <w:rPr>
          <w:rFonts w:ascii="Arial" w:cs="Arial" w:eastAsia="Arial" w:hAnsi="Arial"/>
          <w:sz w:val="19"/>
          <w:szCs w:val="19"/>
          <w:color w:val="auto"/>
        </w:rPr>
        <w:t>Chief People Officer</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ACCEPTED AND AGREED:</w:t>
      </w:r>
    </w:p>
    <w:p>
      <w:pPr>
        <w:spacing w:after="0" w:line="300" w:lineRule="exact"/>
        <w:rPr>
          <w:sz w:val="20"/>
          <w:szCs w:val="20"/>
          <w:color w:val="auto"/>
        </w:rPr>
      </w:pPr>
    </w:p>
    <w:p>
      <w:pPr>
        <w:spacing w:after="0"/>
        <w:rPr>
          <w:sz w:val="20"/>
          <w:szCs w:val="20"/>
          <w:color w:val="auto"/>
        </w:rPr>
      </w:pPr>
      <w:r>
        <w:rPr>
          <w:rFonts w:ascii="Arial" w:cs="Arial" w:eastAsia="Arial" w:hAnsi="Arial"/>
          <w:sz w:val="19"/>
          <w:szCs w:val="19"/>
          <w:color w:val="auto"/>
        </w:rPr>
        <w:t>/s/ Chris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26670</wp:posOffset>
            </wp:positionV>
            <wp:extent cx="213677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8">
                      <a:extLst>
                        <a:ext uri="{28A0092B-C50C-407E-A947-70E740481C1C}"/>
                      </a:extLst>
                    </a:blip>
                    <a:srcRect/>
                    <a:stretch>
                      <a:fillRect/>
                    </a:stretch>
                  </pic:blipFill>
                  <pic:spPr bwMode="auto">
                    <a:xfrm>
                      <a:off x="0" y="0"/>
                      <a:ext cx="2136775" cy="825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Chris McCarthy</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Dated: Jun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287020</wp:posOffset>
            </wp:positionV>
            <wp:extent cx="790575" cy="5721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9">
                      <a:extLst>
                        <a:ext uri="{28A0092B-C50C-407E-A947-70E740481C1C}"/>
                      </a:extLst>
                    </a:blip>
                    <a:srcRect/>
                    <a:stretch>
                      <a:fillRect/>
                    </a:stretch>
                  </pic:blipFill>
                  <pic:spPr bwMode="auto">
                    <a:xfrm>
                      <a:off x="0" y="0"/>
                      <a:ext cx="790575" cy="572135"/>
                    </a:xfrm>
                    <a:prstGeom prst="rect">
                      <a:avLst/>
                    </a:prstGeom>
                    <a:noFill/>
                  </pic:spPr>
                </pic:pic>
              </a:graphicData>
            </a:graphic>
          </wp:anchor>
        </w:drawing>
      </w:r>
    </w:p>
    <w:p>
      <w:pPr>
        <w:sectPr>
          <w:pgSz w:w="11900" w:h="16838" w:orient="portrait"/>
          <w:cols w:equalWidth="0" w:num="1">
            <w:col w:w="11060"/>
          </w:cols>
          <w:pgMar w:left="500" w:top="100"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9"/>
          <w:szCs w:val="19"/>
          <w:b w:val="1"/>
          <w:bCs w:val="1"/>
          <w:color w:val="auto"/>
        </w:rPr>
        <w:t>Exhibit 10(dd)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1"/>
          <w:szCs w:val="21"/>
          <w:color w:val="auto"/>
        </w:rPr>
        <w:t>as of October 8, 2024</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Chris McCarthy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 last address on file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with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Dear Chris:</w:t>
      </w:r>
    </w:p>
    <w:p>
      <w:pPr>
        <w:spacing w:after="0" w:line="222" w:lineRule="exact"/>
        <w:rPr>
          <w:sz w:val="20"/>
          <w:szCs w:val="20"/>
          <w:color w:val="auto"/>
        </w:rPr>
      </w:pPr>
    </w:p>
    <w:p>
      <w:pPr>
        <w:jc w:val="both"/>
        <w:ind w:right="100" w:firstLine="636"/>
        <w:spacing w:after="0" w:line="262" w:lineRule="auto"/>
        <w:rPr>
          <w:sz w:val="20"/>
          <w:szCs w:val="20"/>
          <w:color w:val="auto"/>
        </w:rPr>
      </w:pPr>
      <w:r>
        <w:rPr>
          <w:rFonts w:ascii="Times New Roman" w:cs="Times New Roman" w:eastAsia="Times New Roman" w:hAnsi="Times New Roman"/>
          <w:sz w:val="21"/>
          <w:szCs w:val="21"/>
          <w:color w:val="auto"/>
        </w:rPr>
        <w:t>Reference is made to that certain employment agreement between you and Paramount Global (the “Company”), dated as of January 1, 2023 and subsequently amended effective June 7, 2024 (your “Employment Agreement”). All defined terms used without being defined herein shall have the meanings ascribed to them in your Employment Agreement. This letter, when fully executed below, further amends your Employment Agreement, effective on the date shown above unless otherwise provided herein, as set forth below (the “Amendment”).</w:t>
      </w:r>
    </w:p>
    <w:p>
      <w:pPr>
        <w:spacing w:after="0" w:line="166" w:lineRule="exact"/>
        <w:rPr>
          <w:sz w:val="20"/>
          <w:szCs w:val="20"/>
          <w:color w:val="auto"/>
        </w:rPr>
      </w:pPr>
    </w:p>
    <w:p>
      <w:pPr>
        <w:jc w:val="both"/>
        <w:ind w:right="100" w:firstLine="639"/>
        <w:spacing w:after="0" w:line="274" w:lineRule="auto"/>
        <w:tabs>
          <w:tab w:leader="none" w:pos="875"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terms of the amendment to your Employment Agreement, dated June 7, 2024, shall no longer be of any force or effect. The Company hereby acknowledges that you have served as a member of the Office of the Chief Executive Officer of the Company and have performed duties consistent with that office since May 1, 2024.</w:t>
      </w:r>
    </w:p>
    <w:p>
      <w:pPr>
        <w:spacing w:after="0" w:line="153" w:lineRule="exact"/>
        <w:rPr>
          <w:rFonts w:ascii="Times New Roman" w:cs="Times New Roman" w:eastAsia="Times New Roman" w:hAnsi="Times New Roman"/>
          <w:sz w:val="21"/>
          <w:szCs w:val="21"/>
          <w:color w:val="auto"/>
        </w:rPr>
      </w:pPr>
    </w:p>
    <w:p>
      <w:pPr>
        <w:ind w:left="880" w:hanging="241"/>
        <w:spacing w:after="0"/>
        <w:tabs>
          <w:tab w:leader="none" w:pos="880"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Paragraph 2 of your Employment Agreement is hereby amended by adding the following new paragraph to the end</w:t>
      </w:r>
    </w:p>
    <w:p>
      <w:pPr>
        <w:spacing w:after="0" w:line="34"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thereof:</w:t>
      </w:r>
    </w:p>
    <w:p>
      <w:pPr>
        <w:spacing w:after="0" w:line="198" w:lineRule="exact"/>
        <w:rPr>
          <w:sz w:val="20"/>
          <w:szCs w:val="20"/>
          <w:color w:val="auto"/>
        </w:rPr>
      </w:pPr>
    </w:p>
    <w:p>
      <w:pPr>
        <w:jc w:val="both"/>
        <w:ind w:left="640" w:right="740"/>
        <w:spacing w:after="0" w:line="258" w:lineRule="auto"/>
        <w:rPr>
          <w:sz w:val="20"/>
          <w:szCs w:val="20"/>
          <w:color w:val="auto"/>
        </w:rPr>
      </w:pPr>
      <w:r>
        <w:rPr>
          <w:rFonts w:ascii="Times New Roman" w:cs="Times New Roman" w:eastAsia="Times New Roman" w:hAnsi="Times New Roman"/>
          <w:sz w:val="21"/>
          <w:szCs w:val="21"/>
          <w:color w:val="auto"/>
        </w:rPr>
        <w:t>“In addition to your duties, authorities and responsibilities as President and Chief Executive Officer, Showtime/MTV Entertainment Studios and Paramount Media Networks and Chief Content Officer, Unscripted Entertainment and Adult Animation, Paramount+, you shall also serve as a Co-Chief Executive Officer of the Company and, together with one or more of your other colleagues serving as Co-Chief Executive Officers of the Company, shall perform all duties reasonable and consistent with such office as are customary for Chief Executive Officers of a public company comparable to Paramount and as may be assigned to you from time to time by the Board of Directors of the Company (the “Board”), and you shall report directly to the Board (either collectively or to any one or more individual members of the Board).”</w:t>
      </w:r>
    </w:p>
    <w:p>
      <w:pPr>
        <w:spacing w:after="0" w:line="176" w:lineRule="exact"/>
        <w:rPr>
          <w:sz w:val="20"/>
          <w:szCs w:val="20"/>
          <w:color w:val="auto"/>
        </w:rPr>
      </w:pPr>
    </w:p>
    <w:p>
      <w:pPr>
        <w:jc w:val="both"/>
        <w:ind w:right="100" w:firstLine="639"/>
        <w:spacing w:after="0" w:line="267" w:lineRule="auto"/>
        <w:tabs>
          <w:tab w:leader="none" w:pos="875"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Effective as of May 1, 2024, paragraph 3(b)(ii) of your Employment Agreement is hereby amended to increase your Target Bonus to 225% of your Salary. For purposes of clarity and avoidance of doubt, your Target Bonus for the 2024 fiscal year will be “blended” to reflect your Target Bonus in effect prior to and on and after May 1, 2024.</w:t>
      </w:r>
    </w:p>
    <w:p>
      <w:pPr>
        <w:spacing w:after="0" w:line="161" w:lineRule="exact"/>
        <w:rPr>
          <w:rFonts w:ascii="Times New Roman" w:cs="Times New Roman" w:eastAsia="Times New Roman" w:hAnsi="Times New Roman"/>
          <w:sz w:val="21"/>
          <w:szCs w:val="21"/>
          <w:color w:val="auto"/>
        </w:rPr>
      </w:pPr>
    </w:p>
    <w:p>
      <w:pPr>
        <w:ind w:right="100" w:firstLine="639"/>
        <w:spacing w:after="0" w:line="285" w:lineRule="auto"/>
        <w:tabs>
          <w:tab w:leader="none" w:pos="875"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Paragraph 11(a)(ii) of your Employment Agreement shall be amended to modify clauses (i) and (ii) in their entirety to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570230</wp:posOffset>
            </wp:positionV>
            <wp:extent cx="732155" cy="5302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0">
                      <a:extLst>
                        <a:ext uri="{28A0092B-C50C-407E-A947-70E740481C1C}"/>
                      </a:extLst>
                    </a:blip>
                    <a:srcRect/>
                    <a:stretch>
                      <a:fillRect/>
                    </a:stretch>
                  </pic:blipFill>
                  <pic:spPr bwMode="auto">
                    <a:xfrm>
                      <a:off x="0" y="0"/>
                      <a:ext cx="732155" cy="530225"/>
                    </a:xfrm>
                    <a:prstGeom prst="rect">
                      <a:avLst/>
                    </a:prstGeom>
                    <a:noFill/>
                  </pic:spPr>
                </pic:pic>
              </a:graphicData>
            </a:graphic>
          </wp:anchor>
        </w:drawing>
      </w:r>
    </w:p>
    <w:p>
      <w:pPr>
        <w:sectPr>
          <w:pgSz w:w="11900" w:h="16838" w:orient="portrait"/>
          <w:cols w:equalWidth="0" w:num="1">
            <w:col w:w="10840"/>
          </w:cols>
          <w:pgMar w:left="720" w:top="100"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21"/>
          <w:szCs w:val="21"/>
          <w:color w:val="auto"/>
        </w:rPr>
        <w:t>Chris McCarthy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 of October 8, 2024</w:t>
      </w:r>
    </w:p>
    <w:p>
      <w:pPr>
        <w:spacing w:after="0"/>
        <w:rPr>
          <w:sz w:val="20"/>
          <w:szCs w:val="20"/>
          <w:color w:val="auto"/>
        </w:rPr>
      </w:pPr>
      <w:r>
        <w:rPr>
          <w:rFonts w:ascii="Times New Roman" w:cs="Times New Roman" w:eastAsia="Times New Roman" w:hAnsi="Times New Roman"/>
          <w:sz w:val="21"/>
          <w:szCs w:val="21"/>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000" w:right="640"/>
        <w:spacing w:after="0" w:line="273" w:lineRule="auto"/>
        <w:rPr>
          <w:sz w:val="20"/>
          <w:szCs w:val="20"/>
          <w:color w:val="auto"/>
        </w:rPr>
      </w:pPr>
      <w:r>
        <w:rPr>
          <w:rFonts w:ascii="Times New Roman" w:cs="Times New Roman" w:eastAsia="Times New Roman" w:hAnsi="Times New Roman"/>
          <w:sz w:val="19"/>
          <w:szCs w:val="19"/>
          <w:color w:val="auto"/>
        </w:rPr>
        <w:t>“(i) the assignment to you of duties or responsibilities substantially inconsistent with your position(s) or duties, including as Co-Chief Executive Officer of the Company; (ii) the withdrawal of material portions of your duties, authority or responsibilities, including as Co-Chief Executive Officer of the Company;”</w:t>
      </w:r>
    </w:p>
    <w:p>
      <w:pPr>
        <w:spacing w:after="0" w:line="164" w:lineRule="exact"/>
        <w:rPr>
          <w:sz w:val="20"/>
          <w:szCs w:val="20"/>
          <w:color w:val="auto"/>
        </w:rPr>
      </w:pPr>
    </w:p>
    <w:p>
      <w:pPr>
        <w:ind w:left="360" w:firstLine="639"/>
        <w:spacing w:after="0" w:line="298" w:lineRule="auto"/>
        <w:tabs>
          <w:tab w:leader="none" w:pos="1235"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Paragraph 11(a)(ii) of your Employment Agreement is hereby further amended to add the following sentence to the end thereof:</w:t>
      </w:r>
    </w:p>
    <w:p>
      <w:pPr>
        <w:spacing w:after="0" w:line="129" w:lineRule="exact"/>
        <w:rPr>
          <w:sz w:val="20"/>
          <w:szCs w:val="20"/>
          <w:color w:val="auto"/>
        </w:rPr>
      </w:pPr>
    </w:p>
    <w:p>
      <w:pPr>
        <w:jc w:val="both"/>
        <w:ind w:left="1000" w:right="640"/>
        <w:spacing w:after="0" w:line="267" w:lineRule="auto"/>
        <w:rPr>
          <w:sz w:val="20"/>
          <w:szCs w:val="20"/>
          <w:color w:val="auto"/>
        </w:rPr>
      </w:pPr>
      <w:r>
        <w:rPr>
          <w:rFonts w:ascii="Times New Roman" w:cs="Times New Roman" w:eastAsia="Times New Roman" w:hAnsi="Times New Roman"/>
          <w:sz w:val="21"/>
          <w:szCs w:val="21"/>
          <w:color w:val="auto"/>
        </w:rPr>
        <w:t>“Notwithstanding the provisions of paragraph 11(a)(i) above, the parties acknowledge and agree that the actions or events described in clauses (i) and (ii) of the preceding sentence are incapable of cure such that the last sentence of paragraph 11(a)(i) shall not be applicable in either such circumstance.”</w:t>
      </w:r>
    </w:p>
    <w:p>
      <w:pPr>
        <w:spacing w:after="0" w:line="161" w:lineRule="exact"/>
        <w:rPr>
          <w:sz w:val="20"/>
          <w:szCs w:val="20"/>
          <w:color w:val="auto"/>
        </w:rPr>
      </w:pPr>
    </w:p>
    <w:p>
      <w:pPr>
        <w:jc w:val="both"/>
        <w:ind w:left="360" w:firstLine="639"/>
        <w:spacing w:after="0" w:line="266" w:lineRule="auto"/>
        <w:tabs>
          <w:tab w:leader="none" w:pos="1235"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clarity and avoidance of doubt, the termination payments and benefits described in paragraph 11(c) of your Employment Agreement and in any other severance plan or program applicable to you (including the Paramount Global Executive Change in Control Severance Protection Plan) shall be determined based on your Target Bonus as amended herein.</w:t>
      </w:r>
    </w:p>
    <w:p>
      <w:pPr>
        <w:spacing w:after="0" w:line="161" w:lineRule="exact"/>
        <w:rPr>
          <w:rFonts w:ascii="Times New Roman" w:cs="Times New Roman" w:eastAsia="Times New Roman" w:hAnsi="Times New Roman"/>
          <w:sz w:val="21"/>
          <w:szCs w:val="21"/>
          <w:color w:val="auto"/>
        </w:rPr>
      </w:pPr>
    </w:p>
    <w:p>
      <w:pPr>
        <w:ind w:left="360" w:right="20" w:firstLine="639"/>
        <w:spacing w:after="0" w:line="285" w:lineRule="auto"/>
        <w:tabs>
          <w:tab w:leader="none" w:pos="1235"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provided herein, your acceptance of the arrangements described in this Amendment shall in no way constitute a waiver of any rights you may have under your Employment Agreement.</w:t>
      </w:r>
    </w:p>
    <w:p>
      <w:pPr>
        <w:spacing w:after="0" w:line="141" w:lineRule="exact"/>
        <w:rPr>
          <w:rFonts w:ascii="Times New Roman" w:cs="Times New Roman" w:eastAsia="Times New Roman" w:hAnsi="Times New Roman"/>
          <w:sz w:val="21"/>
          <w:szCs w:val="21"/>
          <w:color w:val="auto"/>
        </w:rPr>
      </w:pPr>
    </w:p>
    <w:p>
      <w:pPr>
        <w:jc w:val="both"/>
        <w:ind w:left="380" w:firstLine="627"/>
        <w:spacing w:after="0" w:line="262" w:lineRule="auto"/>
        <w:tabs>
          <w:tab w:leader="none" w:pos="1241"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may be executed in one or more counterparts, including by facsimile, and all counterparts shall constitute one fully executed agreement. The signature of any party to any counterpart shall be deemed a signature to, and may be appended to, any other counterpart. Additionally, the parties agree that this Amendment may be electronically signed, and that electronic signatures appearing on this letter are the same as handwritten signatures for the purposes of validity, enforcement, and admissibility.</w:t>
      </w:r>
    </w:p>
    <w:p>
      <w:pPr>
        <w:spacing w:after="0" w:line="165" w:lineRule="exact"/>
        <w:rPr>
          <w:rFonts w:ascii="Times New Roman" w:cs="Times New Roman" w:eastAsia="Times New Roman" w:hAnsi="Times New Roman"/>
          <w:sz w:val="21"/>
          <w:szCs w:val="21"/>
          <w:color w:val="auto"/>
        </w:rPr>
      </w:pPr>
    </w:p>
    <w:p>
      <w:pPr>
        <w:ind w:left="380" w:firstLine="627"/>
        <w:spacing w:after="0" w:line="298" w:lineRule="auto"/>
        <w:tabs>
          <w:tab w:leader="none" w:pos="1241"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herein amended, all other terms and conditions of your Employment Agreement shall remain the same and your Employment Agreement as herein amended shall remain in full force and effect.</w:t>
      </w:r>
    </w:p>
    <w:p>
      <w:pPr>
        <w:spacing w:after="0" w:line="1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[REMAINDER OF PAGE INTENTIONALLY LEFT BLANK]</w:t>
      </w:r>
    </w:p>
    <w:p>
      <w:pPr>
        <w:sectPr>
          <w:pgSz w:w="11900" w:h="16838" w:orient="portrait"/>
          <w:cols w:equalWidth="0" w:num="1">
            <w:col w:w="11100"/>
          </w:cols>
          <w:pgMar w:left="360" w:top="192" w:right="439" w:bottom="1440" w:gutter="0" w:footer="0" w:header="0"/>
        </w:sectPr>
      </w:pPr>
    </w:p>
    <w:bookmarkStart w:id="181" w:name="page182"/>
    <w:bookmarkEnd w:id="181"/>
    <w:p>
      <w:pPr>
        <w:ind w:left="20"/>
        <w:spacing w:after="0"/>
        <w:rPr>
          <w:sz w:val="20"/>
          <w:szCs w:val="20"/>
          <w:color w:val="auto"/>
        </w:rPr>
      </w:pPr>
      <w:r>
        <w:rPr>
          <w:rFonts w:ascii="Times New Roman" w:cs="Times New Roman" w:eastAsia="Times New Roman" w:hAnsi="Times New Roman"/>
          <w:sz w:val="21"/>
          <w:szCs w:val="21"/>
          <w:color w:val="auto"/>
        </w:rPr>
        <w:t>Chris McCarthy</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as of October 8, 2024</w:t>
      </w:r>
    </w:p>
    <w:p>
      <w:pPr>
        <w:ind w:left="20"/>
        <w:spacing w:after="0"/>
        <w:rPr>
          <w:sz w:val="20"/>
          <w:szCs w:val="20"/>
          <w:color w:val="auto"/>
        </w:rPr>
      </w:pPr>
      <w:r>
        <w:rPr>
          <w:rFonts w:ascii="Times New Roman" w:cs="Times New Roman" w:eastAsia="Times New Roman" w:hAnsi="Times New Roman"/>
          <w:sz w:val="21"/>
          <w:szCs w:val="21"/>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400" w:firstLine="636"/>
        <w:spacing w:after="0" w:line="267" w:lineRule="auto"/>
        <w:rPr>
          <w:sz w:val="20"/>
          <w:szCs w:val="20"/>
          <w:color w:val="auto"/>
        </w:rPr>
      </w:pPr>
      <w:r>
        <w:rPr>
          <w:rFonts w:ascii="Times New Roman" w:cs="Times New Roman" w:eastAsia="Times New Roman" w:hAnsi="Times New Roman"/>
          <w:sz w:val="21"/>
          <w:szCs w:val="21"/>
          <w:color w:val="auto"/>
        </w:rPr>
        <w:t>If the foregoing correctly sets forth our understanding, please sign and return this letter. This document shall constitute a binding agreement between us only after it also has been executed by the Company and a fully executed copy has been returned to you.</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Very truly yours,</w:t>
      </w:r>
    </w:p>
    <w:p>
      <w:pPr>
        <w:spacing w:after="0" w:line="2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b w:val="1"/>
          <w:bCs w:val="1"/>
          <w:color w:val="auto"/>
        </w:rPr>
        <w:t>PARAMOUNT GLOBAL</w:t>
      </w:r>
    </w:p>
    <w:p>
      <w:pPr>
        <w:spacing w:after="0" w:line="240" w:lineRule="exact"/>
        <w:rPr>
          <w:sz w:val="20"/>
          <w:szCs w:val="20"/>
          <w:color w:val="auto"/>
        </w:rPr>
      </w:pPr>
    </w:p>
    <w:p>
      <w:pPr>
        <w:ind w:left="5640"/>
        <w:spacing w:after="0"/>
        <w:tabs>
          <w:tab w:leader="none" w:pos="6140" w:val="left"/>
        </w:tabs>
        <w:rPr>
          <w:sz w:val="20"/>
          <w:szCs w:val="20"/>
          <w:color w:val="auto"/>
        </w:rPr>
      </w:pPr>
      <w:r>
        <w:rPr>
          <w:rFonts w:ascii="Times New Roman" w:cs="Times New Roman" w:eastAsia="Times New Roman" w:hAnsi="Times New Roman"/>
          <w:sz w:val="21"/>
          <w:szCs w:val="21"/>
          <w:color w:val="auto"/>
        </w:rPr>
        <w:t>By:</w:t>
        <w:tab/>
        <w:t>/s/ Nancy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24130</wp:posOffset>
            </wp:positionV>
            <wp:extent cx="27514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1">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4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21"/>
          <w:szCs w:val="21"/>
          <w:color w:val="auto"/>
        </w:rPr>
        <w:t>Nancy Phillips</w:t>
      </w:r>
    </w:p>
    <w:p>
      <w:pPr>
        <w:spacing w:after="0" w:line="3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21"/>
          <w:szCs w:val="21"/>
          <w:color w:val="auto"/>
        </w:rPr>
        <w:t>EVP, Chief People Officer</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ACCEPTED AND AGREED: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Chris McCarthy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Chris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-152400</wp:posOffset>
            </wp:positionV>
            <wp:extent cx="235585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2">
                      <a:extLst>
                        <a:ext uri="{28A0092B-C50C-407E-A947-70E740481C1C}"/>
                      </a:extLst>
                    </a:blip>
                    <a:srcRect/>
                    <a:stretch>
                      <a:fillRect/>
                    </a:stretch>
                  </pic:blipFill>
                  <pic:spPr bwMode="auto">
                    <a:xfrm>
                      <a:off x="0" y="0"/>
                      <a:ext cx="2355850" cy="82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10/10/2024</w:t>
      </w:r>
    </w:p>
    <w:p>
      <w:pPr>
        <w:sectPr>
          <w:pgSz w:w="11900" w:h="16838" w:orient="portrait"/>
          <w:cols w:equalWidth="0" w:num="1">
            <w:col w:w="11120"/>
          </w:cols>
          <w:pgMar w:left="340" w:top="192" w:right="4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9"/>
          <w:szCs w:val="19"/>
          <w:b w:val="1"/>
          <w:bCs w:val="1"/>
          <w:color w:val="auto"/>
        </w:rPr>
        <w:t>Exhibit 10(gg)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12700</wp:posOffset>
            </wp:positionV>
            <wp:extent cx="6865620" cy="16154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3">
                      <a:extLst>
                        <a:ext uri="{28A0092B-C50C-407E-A947-70E740481C1C}"/>
                      </a:extLst>
                    </a:blip>
                    <a:srcRect/>
                    <a:stretch>
                      <a:fillRect/>
                    </a:stretch>
                  </pic:blipFill>
                  <pic:spPr bwMode="auto">
                    <a:xfrm>
                      <a:off x="0" y="0"/>
                      <a:ext cx="6865620" cy="1615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960"/>
        <w:spacing w:after="0"/>
        <w:rPr>
          <w:sz w:val="20"/>
          <w:szCs w:val="20"/>
          <w:color w:val="auto"/>
        </w:rPr>
      </w:pPr>
      <w:r>
        <w:rPr>
          <w:rFonts w:ascii="Arial" w:cs="Arial" w:eastAsia="Arial" w:hAnsi="Arial"/>
          <w:sz w:val="19"/>
          <w:szCs w:val="19"/>
          <w:color w:val="auto"/>
        </w:rPr>
        <w:t>As of December 15, 2023</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color w:val="auto"/>
        </w:rPr>
        <w:t>Brian Robbins</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[address on file]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Dear Brian:</w:t>
      </w:r>
    </w:p>
    <w:p>
      <w:pPr>
        <w:spacing w:after="0" w:line="259" w:lineRule="exact"/>
        <w:rPr>
          <w:sz w:val="20"/>
          <w:szCs w:val="20"/>
          <w:color w:val="auto"/>
        </w:rPr>
      </w:pPr>
    </w:p>
    <w:p>
      <w:pPr>
        <w:jc w:val="both"/>
        <w:ind w:firstLine="636"/>
        <w:spacing w:after="0" w:line="275" w:lineRule="auto"/>
        <w:rPr>
          <w:sz w:val="20"/>
          <w:szCs w:val="20"/>
          <w:color w:val="auto"/>
        </w:rPr>
      </w:pPr>
      <w:r>
        <w:rPr>
          <w:rFonts w:ascii="Arial" w:cs="Arial" w:eastAsia="Arial" w:hAnsi="Arial"/>
          <w:sz w:val="19"/>
          <w:szCs w:val="19"/>
          <w:color w:val="auto"/>
        </w:rPr>
        <w:t>Paramount Global (the “</w:t>
      </w:r>
      <w:r>
        <w:rPr>
          <w:rFonts w:ascii="Arial" w:cs="Arial" w:eastAsia="Arial" w:hAnsi="Arial"/>
          <w:sz w:val="19"/>
          <w:szCs w:val="19"/>
          <w:u w:val="single" w:color="auto"/>
          <w:color w:val="auto"/>
        </w:rPr>
        <w:t>Company</w:t>
      </w:r>
      <w:r>
        <w:rPr>
          <w:rFonts w:ascii="Arial" w:cs="Arial" w:eastAsia="Arial" w:hAnsi="Arial"/>
          <w:sz w:val="19"/>
          <w:szCs w:val="19"/>
          <w:color w:val="auto"/>
        </w:rPr>
        <w:t>”), agrees to employ you, and you accept such employment, on the terms and conditions set forth in this letter agreement (“</w:t>
      </w:r>
      <w:r>
        <w:rPr>
          <w:rFonts w:ascii="Arial" w:cs="Arial" w:eastAsia="Arial" w:hAnsi="Arial"/>
          <w:sz w:val="19"/>
          <w:szCs w:val="19"/>
          <w:u w:val="single" w:color="auto"/>
          <w:color w:val="auto"/>
        </w:rPr>
        <w:t>Agreement</w:t>
      </w:r>
      <w:r>
        <w:rPr>
          <w:rFonts w:ascii="Arial" w:cs="Arial" w:eastAsia="Arial" w:hAnsi="Arial"/>
          <w:sz w:val="19"/>
          <w:szCs w:val="19"/>
          <w:color w:val="auto"/>
        </w:rPr>
        <w:t>”). For purposes of this Agreement, “</w:t>
      </w:r>
      <w:r>
        <w:rPr>
          <w:rFonts w:ascii="Arial" w:cs="Arial" w:eastAsia="Arial" w:hAnsi="Arial"/>
          <w:sz w:val="19"/>
          <w:szCs w:val="19"/>
          <w:u w:val="single" w:color="auto"/>
          <w:color w:val="auto"/>
        </w:rPr>
        <w:t>Paramount</w:t>
      </w:r>
      <w:r>
        <w:rPr>
          <w:rFonts w:ascii="Arial" w:cs="Arial" w:eastAsia="Arial" w:hAnsi="Arial"/>
          <w:sz w:val="19"/>
          <w:szCs w:val="19"/>
          <w:color w:val="auto"/>
        </w:rPr>
        <w:t>” shall mean Paramount Global and its subsidiaries.</w:t>
      </w:r>
    </w:p>
    <w:p>
      <w:pPr>
        <w:spacing w:after="0" w:line="163" w:lineRule="exact"/>
        <w:rPr>
          <w:sz w:val="20"/>
          <w:szCs w:val="20"/>
          <w:color w:val="auto"/>
        </w:rPr>
      </w:pPr>
    </w:p>
    <w:p>
      <w:pPr>
        <w:jc w:val="both"/>
        <w:ind w:firstLine="1516"/>
        <w:spacing w:after="0" w:line="230" w:lineRule="auto"/>
        <w:tabs>
          <w:tab w:leader="none" w:pos="1898" w:val="left"/>
        </w:tabs>
        <w:numPr>
          <w:ilvl w:val="1"/>
          <w:numId w:val="132"/>
        </w:numPr>
        <w:rPr>
          <w:rFonts w:ascii="Arial" w:cs="Arial" w:eastAsia="Arial" w:hAnsi="Arial"/>
          <w:sz w:val="19"/>
          <w:szCs w:val="19"/>
          <w:color w:val="auto"/>
        </w:rPr>
      </w:pPr>
      <w:r>
        <w:rPr>
          <w:rFonts w:ascii="Arial" w:cs="Arial" w:eastAsia="Arial" w:hAnsi="Arial"/>
          <w:sz w:val="19"/>
          <w:szCs w:val="19"/>
          <w:u w:val="single" w:color="auto"/>
          <w:color w:val="auto"/>
        </w:rPr>
        <w:t>Contract Period</w:t>
      </w:r>
      <w:r>
        <w:rPr>
          <w:rFonts w:ascii="Arial" w:cs="Arial" w:eastAsia="Arial" w:hAnsi="Arial"/>
          <w:sz w:val="19"/>
          <w:szCs w:val="19"/>
          <w:color w:val="auto"/>
        </w:rPr>
        <w:t>. The term of your employment under this Agreement shall begin on December 15, 2023 (the “</w:t>
      </w:r>
      <w:r>
        <w:rPr>
          <w:rFonts w:ascii="Arial" w:cs="Arial" w:eastAsia="Arial" w:hAnsi="Arial"/>
          <w:sz w:val="19"/>
          <w:szCs w:val="19"/>
          <w:u w:val="single" w:color="auto"/>
          <w:color w:val="auto"/>
        </w:rPr>
        <w:t>Effective Date</w:t>
      </w:r>
      <w:r>
        <w:rPr>
          <w:rFonts w:ascii="Arial" w:cs="Arial" w:eastAsia="Arial" w:hAnsi="Arial"/>
          <w:sz w:val="19"/>
          <w:szCs w:val="19"/>
          <w:color w:val="auto"/>
        </w:rPr>
        <w:t>”) and, unless terminated earlier as set forth herein, shall continue through and December 14, 2027. The period from the Effective Date through December 14, 2027 is referred to as the “</w:t>
      </w:r>
      <w:r>
        <w:rPr>
          <w:rFonts w:ascii="Arial" w:cs="Arial" w:eastAsia="Arial" w:hAnsi="Arial"/>
          <w:sz w:val="19"/>
          <w:szCs w:val="19"/>
          <w:u w:val="single" w:color="auto"/>
          <w:color w:val="auto"/>
        </w:rPr>
        <w:t>Contract Period</w:t>
      </w:r>
      <w:r>
        <w:rPr>
          <w:rFonts w:ascii="Arial" w:cs="Arial" w:eastAsia="Arial" w:hAnsi="Arial"/>
          <w:sz w:val="19"/>
          <w:szCs w:val="19"/>
          <w:color w:val="auto"/>
        </w:rPr>
        <w:t>”, even if your employment terminates earlier for any reason.</w:t>
      </w:r>
    </w:p>
    <w:p>
      <w:pPr>
        <w:spacing w:after="0" w:line="156" w:lineRule="exact"/>
        <w:rPr>
          <w:rFonts w:ascii="Arial" w:cs="Arial" w:eastAsia="Arial" w:hAnsi="Arial"/>
          <w:sz w:val="19"/>
          <w:szCs w:val="19"/>
          <w:color w:val="auto"/>
        </w:rPr>
      </w:pPr>
    </w:p>
    <w:p>
      <w:pPr>
        <w:jc w:val="both"/>
        <w:ind w:firstLine="1516"/>
        <w:spacing w:after="0" w:line="223" w:lineRule="auto"/>
        <w:tabs>
          <w:tab w:leader="none" w:pos="1898" w:val="left"/>
        </w:tabs>
        <w:numPr>
          <w:ilvl w:val="1"/>
          <w:numId w:val="132"/>
        </w:numPr>
        <w:rPr>
          <w:rFonts w:ascii="Arial" w:cs="Arial" w:eastAsia="Arial" w:hAnsi="Arial"/>
          <w:sz w:val="19"/>
          <w:szCs w:val="19"/>
          <w:color w:val="auto"/>
        </w:rPr>
      </w:pPr>
      <w:r>
        <w:rPr>
          <w:rFonts w:ascii="Arial" w:cs="Arial" w:eastAsia="Arial" w:hAnsi="Arial"/>
          <w:sz w:val="19"/>
          <w:szCs w:val="19"/>
          <w:u w:val="single" w:color="auto"/>
          <w:color w:val="auto"/>
        </w:rPr>
        <w:t>Duties</w:t>
      </w:r>
      <w:r>
        <w:rPr>
          <w:rFonts w:ascii="Arial" w:cs="Arial" w:eastAsia="Arial" w:hAnsi="Arial"/>
          <w:sz w:val="19"/>
          <w:szCs w:val="19"/>
          <w:color w:val="auto"/>
        </w:rPr>
        <w:t>. You shall devote your entire business time, attention and energies to the business of the Company during your employment with the Company. You shall be President and Chief Executive Officer, Paramount Pictures and Nickelodeon Studios and Chief Content Officer, Kids and Family, Paramount+, and you shall perform all duties reasonable and consistent with such offices as may be assigned to you from time to time by the President and Chief Executive Officer, Paramount or other individual designated by the President and Chief Executive Officer, Paramount. Your principal place of business shall be in the greater Los Angeles metropolitan area.</w:t>
      </w:r>
    </w:p>
    <w:p>
      <w:pPr>
        <w:spacing w:after="0" w:line="159" w:lineRule="exact"/>
        <w:rPr>
          <w:rFonts w:ascii="Arial" w:cs="Arial" w:eastAsia="Arial" w:hAnsi="Arial"/>
          <w:sz w:val="19"/>
          <w:szCs w:val="19"/>
          <w:color w:val="auto"/>
        </w:rPr>
      </w:pPr>
    </w:p>
    <w:p>
      <w:pPr>
        <w:ind w:left="1900" w:hanging="384"/>
        <w:spacing w:after="0"/>
        <w:tabs>
          <w:tab w:leader="none" w:pos="1900" w:val="left"/>
        </w:tabs>
        <w:numPr>
          <w:ilvl w:val="1"/>
          <w:numId w:val="132"/>
        </w:numPr>
        <w:rPr>
          <w:rFonts w:ascii="Arial" w:cs="Arial" w:eastAsia="Arial" w:hAnsi="Arial"/>
          <w:sz w:val="19"/>
          <w:szCs w:val="19"/>
          <w:color w:val="auto"/>
        </w:rPr>
      </w:pPr>
      <w:r>
        <w:rPr>
          <w:rFonts w:ascii="Arial" w:cs="Arial" w:eastAsia="Arial" w:hAnsi="Arial"/>
          <w:sz w:val="19"/>
          <w:szCs w:val="19"/>
          <w:u w:val="single" w:color="auto"/>
          <w:color w:val="auto"/>
        </w:rPr>
        <w:t>Compensation</w:t>
      </w:r>
      <w:r>
        <w:rPr>
          <w:rFonts w:ascii="Arial" w:cs="Arial" w:eastAsia="Arial" w:hAnsi="Arial"/>
          <w:sz w:val="19"/>
          <w:szCs w:val="19"/>
          <w:color w:val="auto"/>
        </w:rPr>
        <w:t>.</w:t>
      </w:r>
    </w:p>
    <w:p>
      <w:pPr>
        <w:spacing w:after="0" w:line="192" w:lineRule="exact"/>
        <w:rPr>
          <w:rFonts w:ascii="Arial" w:cs="Arial" w:eastAsia="Arial" w:hAnsi="Arial"/>
          <w:sz w:val="19"/>
          <w:szCs w:val="19"/>
          <w:color w:val="auto"/>
        </w:rPr>
      </w:pPr>
    </w:p>
    <w:p>
      <w:pPr>
        <w:jc w:val="both"/>
        <w:ind w:firstLine="1278"/>
        <w:spacing w:after="0" w:line="225" w:lineRule="auto"/>
        <w:tabs>
          <w:tab w:leader="none" w:pos="1907" w:val="left"/>
        </w:tabs>
        <w:numPr>
          <w:ilvl w:val="0"/>
          <w:numId w:val="133"/>
        </w:numPr>
        <w:rPr>
          <w:rFonts w:ascii="Arial" w:cs="Arial" w:eastAsia="Arial" w:hAnsi="Arial"/>
          <w:sz w:val="19"/>
          <w:szCs w:val="19"/>
          <w:color w:val="auto"/>
        </w:rPr>
      </w:pPr>
      <w:r>
        <w:rPr>
          <w:rFonts w:ascii="Arial" w:cs="Arial" w:eastAsia="Arial" w:hAnsi="Arial"/>
          <w:sz w:val="19"/>
          <w:szCs w:val="19"/>
          <w:u w:val="single" w:color="auto"/>
          <w:color w:val="auto"/>
        </w:rPr>
        <w:t>Salary</w:t>
      </w:r>
      <w:r>
        <w:rPr>
          <w:rFonts w:ascii="Arial" w:cs="Arial" w:eastAsia="Arial" w:hAnsi="Arial"/>
          <w:sz w:val="19"/>
          <w:szCs w:val="19"/>
          <w:color w:val="auto"/>
        </w:rPr>
        <w:t>. The Company shall pay you base salary (as may be increased, “Salary”) at a rate of Two Million Seven Hundred Fifty Thousand Dollars ($2,750,000) per year for all of your services as an employee. Your Salary shall be subject to merit reviews, on or about an annual basis, while actively employed during the Contract Period and may, at that time, be increased but not decreased. Your Salary, less deductions and income and payroll tax withholding as may be required under applicable law, shall be payable in accordance with the Company’s ordinary payroll policy, but no less frequently than monthly.</w:t>
      </w:r>
    </w:p>
    <w:p>
      <w:pPr>
        <w:spacing w:after="0" w:line="155" w:lineRule="exact"/>
        <w:rPr>
          <w:rFonts w:ascii="Arial" w:cs="Arial" w:eastAsia="Arial" w:hAnsi="Arial"/>
          <w:sz w:val="19"/>
          <w:szCs w:val="19"/>
          <w:color w:val="auto"/>
        </w:rPr>
      </w:pPr>
    </w:p>
    <w:p>
      <w:pPr>
        <w:ind w:firstLine="1278"/>
        <w:spacing w:after="0" w:line="259" w:lineRule="auto"/>
        <w:tabs>
          <w:tab w:leader="none" w:pos="1907" w:val="left"/>
        </w:tabs>
        <w:numPr>
          <w:ilvl w:val="0"/>
          <w:numId w:val="133"/>
        </w:numPr>
        <w:rPr>
          <w:rFonts w:ascii="Arial" w:cs="Arial" w:eastAsia="Arial" w:hAnsi="Arial"/>
          <w:sz w:val="19"/>
          <w:szCs w:val="19"/>
          <w:color w:val="auto"/>
        </w:rPr>
      </w:pPr>
      <w:r>
        <w:rPr>
          <w:rFonts w:ascii="Arial" w:cs="Arial" w:eastAsia="Arial" w:hAnsi="Arial"/>
          <w:sz w:val="19"/>
          <w:szCs w:val="19"/>
          <w:u w:val="single" w:color="auto"/>
          <w:color w:val="auto"/>
        </w:rPr>
        <w:t>Bonus</w:t>
      </w:r>
      <w:r>
        <w:rPr>
          <w:rFonts w:ascii="Arial" w:cs="Arial" w:eastAsia="Arial" w:hAnsi="Arial"/>
          <w:sz w:val="19"/>
          <w:szCs w:val="19"/>
          <w:color w:val="auto"/>
        </w:rPr>
        <w:t>. You also shall be eligible to earn a bonus (“</w:t>
      </w:r>
      <w:r>
        <w:rPr>
          <w:rFonts w:ascii="Arial" w:cs="Arial" w:eastAsia="Arial" w:hAnsi="Arial"/>
          <w:sz w:val="19"/>
          <w:szCs w:val="19"/>
          <w:u w:val="single" w:color="auto"/>
          <w:color w:val="auto"/>
        </w:rPr>
        <w:t>Bonus</w:t>
      </w:r>
      <w:r>
        <w:rPr>
          <w:rFonts w:ascii="Arial" w:cs="Arial" w:eastAsia="Arial" w:hAnsi="Arial"/>
          <w:sz w:val="19"/>
          <w:szCs w:val="19"/>
          <w:color w:val="auto"/>
        </w:rPr>
        <w:t>”) or a Pro-Rated Bonus (as defined in paragraph 19(e)(ii)), as applicable, determined as set forth below and in paragraph 19(e)(ii).</w:t>
      </w:r>
    </w:p>
    <w:p>
      <w:pPr>
        <w:spacing w:after="0" w:line="125" w:lineRule="exact"/>
        <w:rPr>
          <w:sz w:val="20"/>
          <w:szCs w:val="20"/>
          <w:color w:val="auto"/>
        </w:rPr>
      </w:pPr>
    </w:p>
    <w:p>
      <w:pPr>
        <w:ind w:left="1920" w:hanging="642"/>
        <w:spacing w:after="0" w:line="259" w:lineRule="auto"/>
        <w:tabs>
          <w:tab w:leader="none" w:pos="1907" w:val="left"/>
        </w:tabs>
        <w:numPr>
          <w:ilvl w:val="0"/>
          <w:numId w:val="134"/>
        </w:numPr>
        <w:rPr>
          <w:rFonts w:ascii="Arial" w:cs="Arial" w:eastAsia="Arial" w:hAnsi="Arial"/>
          <w:sz w:val="19"/>
          <w:szCs w:val="19"/>
          <w:color w:val="auto"/>
        </w:rPr>
      </w:pPr>
      <w:r>
        <w:rPr>
          <w:rFonts w:ascii="Arial" w:cs="Arial" w:eastAsia="Arial" w:hAnsi="Arial"/>
          <w:sz w:val="19"/>
          <w:szCs w:val="19"/>
          <w:color w:val="auto"/>
        </w:rPr>
        <w:t>Your Bonus for each Company fiscal year, regardless of whether such fiscal year is a 12-month period or a shorter period of time,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160020</wp:posOffset>
            </wp:positionV>
            <wp:extent cx="6865620" cy="916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4">
                      <a:extLst>
                        <a:ext uri="{28A0092B-C50C-407E-A947-70E740481C1C}"/>
                      </a:extLst>
                    </a:blip>
                    <a:srcRect/>
                    <a:stretch>
                      <a:fillRect/>
                    </a:stretch>
                  </pic:blipFill>
                  <pic:spPr bwMode="auto">
                    <a:xfrm>
                      <a:off x="0" y="0"/>
                      <a:ext cx="6865620" cy="91694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83" w:name="page184"/>
    <w:bookmarkEnd w:id="183"/>
    <w:p>
      <w:pPr>
        <w:spacing w:after="0"/>
        <w:rPr>
          <w:sz w:val="20"/>
          <w:szCs w:val="20"/>
          <w:color w:val="auto"/>
        </w:rPr>
      </w:pPr>
      <w:r>
        <w:rPr>
          <w:rFonts w:ascii="Arial" w:cs="Arial" w:eastAsia="Arial" w:hAnsi="Arial"/>
          <w:sz w:val="19"/>
          <w:szCs w:val="19"/>
          <w:color w:val="auto"/>
        </w:rPr>
        <w:t>Brian Robbins</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As of December 15, 2023</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920"/>
        <w:spacing w:after="0" w:line="259" w:lineRule="auto"/>
        <w:rPr>
          <w:sz w:val="20"/>
          <w:szCs w:val="20"/>
          <w:color w:val="auto"/>
        </w:rPr>
      </w:pPr>
      <w:r>
        <w:rPr>
          <w:rFonts w:ascii="Arial" w:cs="Arial" w:eastAsia="Arial" w:hAnsi="Arial"/>
          <w:sz w:val="19"/>
          <w:szCs w:val="19"/>
          <w:color w:val="auto"/>
        </w:rPr>
        <w:t>determined in accordance with the Company’s annual bonus plan in effect from time to time, as determined by the Board or a Committee of the Board (the “</w:t>
      </w:r>
      <w:r>
        <w:rPr>
          <w:rFonts w:ascii="Arial" w:cs="Arial" w:eastAsia="Arial" w:hAnsi="Arial"/>
          <w:sz w:val="19"/>
          <w:szCs w:val="19"/>
          <w:u w:val="single" w:color="auto"/>
          <w:color w:val="auto"/>
        </w:rPr>
        <w:t>STIP</w:t>
      </w:r>
      <w:r>
        <w:rPr>
          <w:rFonts w:ascii="Arial" w:cs="Arial" w:eastAsia="Arial" w:hAnsi="Arial"/>
          <w:sz w:val="19"/>
          <w:szCs w:val="19"/>
          <w:color w:val="auto"/>
        </w:rPr>
        <w:t>”).</w:t>
      </w:r>
    </w:p>
    <w:p>
      <w:pPr>
        <w:spacing w:after="0" w:line="125" w:lineRule="exact"/>
        <w:rPr>
          <w:sz w:val="20"/>
          <w:szCs w:val="20"/>
          <w:color w:val="auto"/>
        </w:rPr>
      </w:pPr>
    </w:p>
    <w:p>
      <w:pPr>
        <w:jc w:val="both"/>
        <w:ind w:left="1920" w:hanging="642"/>
        <w:spacing w:after="0" w:line="230" w:lineRule="auto"/>
        <w:tabs>
          <w:tab w:leader="none" w:pos="1910" w:val="left"/>
        </w:tabs>
        <w:numPr>
          <w:ilvl w:val="0"/>
          <w:numId w:val="135"/>
        </w:numPr>
        <w:rPr>
          <w:rFonts w:ascii="Arial" w:cs="Arial" w:eastAsia="Arial" w:hAnsi="Arial"/>
          <w:sz w:val="19"/>
          <w:szCs w:val="19"/>
          <w:color w:val="auto"/>
        </w:rPr>
      </w:pPr>
      <w:r>
        <w:rPr>
          <w:rFonts w:ascii="Arial" w:cs="Arial" w:eastAsia="Arial" w:hAnsi="Arial"/>
          <w:sz w:val="19"/>
          <w:szCs w:val="19"/>
          <w:color w:val="auto"/>
        </w:rPr>
        <w:t>Your target Bonus for each Company fiscal year during the Contract Period shall be 125% of your Salary and shall be adjusted based on the Company’s performance (the “</w:t>
      </w:r>
      <w:r>
        <w:rPr>
          <w:rFonts w:ascii="Arial" w:cs="Arial" w:eastAsia="Arial" w:hAnsi="Arial"/>
          <w:sz w:val="19"/>
          <w:szCs w:val="19"/>
          <w:u w:val="single" w:color="auto"/>
          <w:color w:val="auto"/>
        </w:rPr>
        <w:t>Company Performance Factor</w:t>
      </w:r>
      <w:r>
        <w:rPr>
          <w:rFonts w:ascii="Arial" w:cs="Arial" w:eastAsia="Arial" w:hAnsi="Arial"/>
          <w:sz w:val="19"/>
          <w:szCs w:val="19"/>
          <w:color w:val="auto"/>
        </w:rPr>
        <w:t>”) and your individual performance (the “</w:t>
      </w:r>
      <w:r>
        <w:rPr>
          <w:rFonts w:ascii="Arial" w:cs="Arial" w:eastAsia="Arial" w:hAnsi="Arial"/>
          <w:sz w:val="19"/>
          <w:szCs w:val="19"/>
          <w:u w:val="single" w:color="auto"/>
          <w:color w:val="auto"/>
        </w:rPr>
        <w:t>Individual Performance Factor</w:t>
      </w:r>
      <w:r>
        <w:rPr>
          <w:rFonts w:ascii="Arial" w:cs="Arial" w:eastAsia="Arial" w:hAnsi="Arial"/>
          <w:sz w:val="19"/>
          <w:szCs w:val="19"/>
          <w:color w:val="auto"/>
        </w:rPr>
        <w:t>”), in each case as determined by the Company and as further provided in the STIP.</w:t>
      </w:r>
    </w:p>
    <w:p>
      <w:pPr>
        <w:spacing w:after="0" w:line="156" w:lineRule="exact"/>
        <w:rPr>
          <w:sz w:val="20"/>
          <w:szCs w:val="20"/>
          <w:color w:val="auto"/>
        </w:rPr>
      </w:pPr>
    </w:p>
    <w:p>
      <w:pPr>
        <w:jc w:val="both"/>
        <w:ind w:firstLine="1278"/>
        <w:spacing w:after="0" w:line="223" w:lineRule="auto"/>
        <w:tabs>
          <w:tab w:leader="none" w:pos="1896" w:val="left"/>
        </w:tabs>
        <w:numPr>
          <w:ilvl w:val="0"/>
          <w:numId w:val="136"/>
        </w:numPr>
        <w:rPr>
          <w:rFonts w:ascii="Arial" w:cs="Arial" w:eastAsia="Arial" w:hAnsi="Arial"/>
          <w:sz w:val="19"/>
          <w:szCs w:val="19"/>
          <w:color w:val="auto"/>
        </w:rPr>
      </w:pPr>
      <w:r>
        <w:rPr>
          <w:rFonts w:ascii="Arial" w:cs="Arial" w:eastAsia="Arial" w:hAnsi="Arial"/>
          <w:sz w:val="19"/>
          <w:szCs w:val="19"/>
          <w:u w:val="single" w:color="auto"/>
          <w:color w:val="auto"/>
        </w:rPr>
        <w:t>Long-Term Incentive Compensation</w:t>
      </w:r>
      <w:r>
        <w:rPr>
          <w:rFonts w:ascii="Arial" w:cs="Arial" w:eastAsia="Arial" w:hAnsi="Arial"/>
          <w:sz w:val="19"/>
          <w:szCs w:val="19"/>
          <w:color w:val="auto"/>
        </w:rPr>
        <w:t>. During your employment under this Agreement, you shall be eligible to participate in the Company’s equity incentive plan in effect from time to time, at a level appropriate to your position and individual performance as determined by the Board or a committee of the Board, in its discretion, based on a target value of Five Million One Hundred Thousand Dollars ($5,100,000) per annum. The annual design and actual grant date value of your award shall be determined and subject to modification (in a manner consistent with award principles applicable to similarly situated employees of the Company) by the Board or a committee of the Board.</w:t>
      </w:r>
    </w:p>
    <w:p>
      <w:pPr>
        <w:spacing w:after="0" w:line="159" w:lineRule="exact"/>
        <w:rPr>
          <w:rFonts w:ascii="Arial" w:cs="Arial" w:eastAsia="Arial" w:hAnsi="Arial"/>
          <w:sz w:val="19"/>
          <w:szCs w:val="19"/>
          <w:color w:val="auto"/>
        </w:rPr>
      </w:pPr>
    </w:p>
    <w:p>
      <w:pPr>
        <w:jc w:val="both"/>
        <w:ind w:firstLine="1278"/>
        <w:spacing w:after="0"/>
        <w:tabs>
          <w:tab w:leader="none" w:pos="1907" w:val="left"/>
        </w:tabs>
        <w:numPr>
          <w:ilvl w:val="0"/>
          <w:numId w:val="136"/>
        </w:numPr>
        <w:rPr>
          <w:rFonts w:ascii="Arial" w:cs="Arial" w:eastAsia="Arial" w:hAnsi="Arial"/>
          <w:sz w:val="19"/>
          <w:szCs w:val="19"/>
          <w:color w:val="auto"/>
        </w:rPr>
      </w:pPr>
      <w:r>
        <w:rPr>
          <w:rFonts w:ascii="Arial" w:cs="Arial" w:eastAsia="Arial" w:hAnsi="Arial"/>
          <w:sz w:val="19"/>
          <w:szCs w:val="19"/>
          <w:u w:val="single" w:color="auto"/>
          <w:color w:val="auto"/>
        </w:rPr>
        <w:t>Compensation During Short-Term Disability</w:t>
      </w:r>
      <w:r>
        <w:rPr>
          <w:rFonts w:ascii="Arial" w:cs="Arial" w:eastAsia="Arial" w:hAnsi="Arial"/>
          <w:sz w:val="19"/>
          <w:szCs w:val="19"/>
          <w:color w:val="auto"/>
        </w:rPr>
        <w:t>. Your compensation for any period that you are absent due to a short-term disability (“</w:t>
      </w:r>
      <w:r>
        <w:rPr>
          <w:rFonts w:ascii="Arial" w:cs="Arial" w:eastAsia="Arial" w:hAnsi="Arial"/>
          <w:sz w:val="19"/>
          <w:szCs w:val="19"/>
          <w:u w:val="single" w:color="auto"/>
          <w:color w:val="auto"/>
        </w:rPr>
        <w:t>STD</w:t>
      </w:r>
      <w:r>
        <w:rPr>
          <w:rFonts w:ascii="Arial" w:cs="Arial" w:eastAsia="Arial" w:hAnsi="Arial"/>
          <w:sz w:val="19"/>
          <w:szCs w:val="19"/>
          <w:color w:val="auto"/>
        </w:rPr>
        <w:t>”) and are receiving compensation under a STD plan sponsored or maintained by the Company shall be determined in accordance with the terms of such STD plan. The compensation provided to you under the applicable STD plan shall be in lieu of the Salary provided under this Agreement. Your participation in any other Company benefit plans or programs during the STD period shall be governed by the terms of the applicable plan or program documents, award agreements and certificates. Except as otherwise provided herein in Paragraph 3(d), the compensation terms contained herein in this Agreement shall continue to be in full force and effect during any period during the Contract Period that you are receiving compensation under a Paramount STD plan.</w:t>
      </w:r>
    </w:p>
    <w:p>
      <w:pPr>
        <w:spacing w:after="0" w:line="233" w:lineRule="exact"/>
        <w:rPr>
          <w:sz w:val="20"/>
          <w:szCs w:val="20"/>
          <w:color w:val="auto"/>
        </w:rPr>
      </w:pPr>
    </w:p>
    <w:p>
      <w:pPr>
        <w:ind w:left="1900" w:hanging="384"/>
        <w:spacing w:after="0"/>
        <w:tabs>
          <w:tab w:leader="none" w:pos="1900" w:val="left"/>
        </w:tabs>
        <w:numPr>
          <w:ilvl w:val="1"/>
          <w:numId w:val="137"/>
        </w:numPr>
        <w:rPr>
          <w:rFonts w:ascii="Arial" w:cs="Arial" w:eastAsia="Arial" w:hAnsi="Arial"/>
          <w:sz w:val="19"/>
          <w:szCs w:val="19"/>
          <w:color w:val="auto"/>
        </w:rPr>
      </w:pPr>
      <w:r>
        <w:rPr>
          <w:rFonts w:ascii="Arial" w:cs="Arial" w:eastAsia="Arial" w:hAnsi="Arial"/>
          <w:sz w:val="19"/>
          <w:szCs w:val="19"/>
          <w:u w:val="single" w:color="auto"/>
          <w:color w:val="auto"/>
        </w:rPr>
        <w:t>Benefits and Indemnification</w:t>
      </w:r>
      <w:r>
        <w:rPr>
          <w:rFonts w:ascii="Arial" w:cs="Arial" w:eastAsia="Arial" w:hAnsi="Arial"/>
          <w:sz w:val="19"/>
          <w:szCs w:val="19"/>
          <w:color w:val="auto"/>
        </w:rPr>
        <w:t>.</w:t>
      </w:r>
    </w:p>
    <w:p>
      <w:pPr>
        <w:spacing w:after="0" w:line="192" w:lineRule="exact"/>
        <w:rPr>
          <w:rFonts w:ascii="Arial" w:cs="Arial" w:eastAsia="Arial" w:hAnsi="Arial"/>
          <w:sz w:val="19"/>
          <w:szCs w:val="19"/>
          <w:color w:val="auto"/>
        </w:rPr>
      </w:pPr>
    </w:p>
    <w:p>
      <w:pPr>
        <w:jc w:val="both"/>
        <w:ind w:firstLine="1278"/>
        <w:spacing w:after="0" w:line="230" w:lineRule="auto"/>
        <w:tabs>
          <w:tab w:leader="none" w:pos="1907"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During your employment under this Agreement, you shall be eligible to participate in any vacation programs, medical and dental plans and life insurance plans, STD and long-term disability (“LTD”) plans, retirement and other employee benefit plans the Company may have, establish or maintain from time to time and for which you qualify pursuant to the terms of the applicable plan.</w:t>
      </w:r>
    </w:p>
    <w:p>
      <w:pPr>
        <w:spacing w:after="0" w:line="142" w:lineRule="exact"/>
        <w:rPr>
          <w:rFonts w:ascii="Arial" w:cs="Arial" w:eastAsia="Arial" w:hAnsi="Arial"/>
          <w:sz w:val="19"/>
          <w:szCs w:val="19"/>
          <w:color w:val="auto"/>
        </w:rPr>
      </w:pPr>
    </w:p>
    <w:p>
      <w:pPr>
        <w:jc w:val="both"/>
        <w:ind w:firstLine="1278"/>
        <w:spacing w:after="0" w:line="239" w:lineRule="auto"/>
        <w:tabs>
          <w:tab w:leader="none" w:pos="1907"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Life Insurance</w:t>
      </w:r>
      <w:r>
        <w:rPr>
          <w:rFonts w:ascii="Arial" w:cs="Arial" w:eastAsia="Arial" w:hAnsi="Arial"/>
          <w:sz w:val="19"/>
          <w:szCs w:val="19"/>
          <w:color w:val="auto"/>
        </w:rPr>
        <w:t>. The Company shall provide you with no less than Five Million Dollars ($5,000,000) of life insurance during the Contract Period. You shall have the right to assign he policy for such life insurance to your spouse and/or issue or to a trust or trusts primarily for the benefit of your spouse or issue.</w:t>
      </w:r>
    </w:p>
    <w:p>
      <w:pPr>
        <w:spacing w:after="0" w:line="142" w:lineRule="exact"/>
        <w:rPr>
          <w:rFonts w:ascii="Arial" w:cs="Arial" w:eastAsia="Arial" w:hAnsi="Arial"/>
          <w:sz w:val="19"/>
          <w:szCs w:val="19"/>
          <w:color w:val="auto"/>
        </w:rPr>
      </w:pPr>
    </w:p>
    <w:p>
      <w:pPr>
        <w:jc w:val="both"/>
        <w:ind w:firstLine="1278"/>
        <w:spacing w:after="0"/>
        <w:tabs>
          <w:tab w:leader="none" w:pos="1896"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The Company shall indemnify and hold you harmless, to the maximum extent permitted by law and by the Restated Certificate of Incorporation and/or the By-Laws of Paramount, against judgments, fines, amounts paid in settlement of and reasonable expenses incurred by you in connection with the defense of any action or proceeding (or any appeal therefrom) in which you are a party or in which you are asked to testify or produce documents or reasonably believe you may become a party, witness or otherwise subject to discovery by reason of your positions under this Agreement or by reason of your employment</w:t>
      </w:r>
    </w:p>
    <w:p>
      <w:pPr>
        <w:sectPr>
          <w:pgSz w:w="11900" w:h="16838" w:orient="portrait"/>
          <w:cols w:equalWidth="0" w:num="1">
            <w:col w:w="11240"/>
          </w:cols>
          <w:pgMar w:left="320" w:top="595" w:right="339" w:bottom="1440" w:gutter="0" w:footer="0" w:header="0"/>
        </w:sectPr>
      </w:pPr>
    </w:p>
    <w:bookmarkStart w:id="184" w:name="page185"/>
    <w:bookmarkEnd w:id="184"/>
    <w:p>
      <w:pPr>
        <w:spacing w:after="0"/>
        <w:rPr>
          <w:sz w:val="20"/>
          <w:szCs w:val="20"/>
          <w:color w:val="auto"/>
        </w:rPr>
      </w:pPr>
      <w:r>
        <w:rPr>
          <w:rFonts w:ascii="Arial" w:cs="Arial" w:eastAsia="Arial" w:hAnsi="Arial"/>
          <w:sz w:val="19"/>
          <w:szCs w:val="19"/>
          <w:color w:val="auto"/>
        </w:rPr>
        <w:t>Brian Robbins</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As of December 15, 2023</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prior to the Contract Period and any prior positions held by you with the Company for any acts or omissions made by you in good faith in the performance of any of your duties as an officer of the Company.</w:t>
      </w:r>
    </w:p>
    <w:p>
      <w:pPr>
        <w:spacing w:after="0" w:line="125" w:lineRule="exact"/>
        <w:rPr>
          <w:sz w:val="20"/>
          <w:szCs w:val="20"/>
          <w:color w:val="auto"/>
        </w:rPr>
      </w:pPr>
    </w:p>
    <w:p>
      <w:pPr>
        <w:jc w:val="both"/>
        <w:ind w:firstLine="1516"/>
        <w:spacing w:after="0" w:line="227" w:lineRule="auto"/>
        <w:tabs>
          <w:tab w:leader="none" w:pos="1898" w:val="left"/>
        </w:tabs>
        <w:numPr>
          <w:ilvl w:val="1"/>
          <w:numId w:val="139"/>
        </w:numPr>
        <w:rPr>
          <w:rFonts w:ascii="Arial" w:cs="Arial" w:eastAsia="Arial" w:hAnsi="Arial"/>
          <w:sz w:val="19"/>
          <w:szCs w:val="19"/>
          <w:color w:val="auto"/>
        </w:rPr>
      </w:pPr>
      <w:r>
        <w:rPr>
          <w:rFonts w:ascii="Arial" w:cs="Arial" w:eastAsia="Arial" w:hAnsi="Arial"/>
          <w:sz w:val="19"/>
          <w:szCs w:val="19"/>
          <w:u w:val="single" w:color="auto"/>
          <w:color w:val="auto"/>
        </w:rPr>
        <w:t>Business Expenses</w:t>
      </w:r>
      <w:r>
        <w:rPr>
          <w:rFonts w:ascii="Arial" w:cs="Arial" w:eastAsia="Arial" w:hAnsi="Arial"/>
          <w:sz w:val="19"/>
          <w:szCs w:val="19"/>
          <w:color w:val="auto"/>
        </w:rPr>
        <w:t>. During your employment under this Agreement, the Company shall reimburse you for such reasonable travel and other expenses, incurred in the performance of your duties in accordance with the Company’s policies, as are customarily reimbursed to Company executives at comparable levels, including first class air travel, if available. Upon the termination of your employment under this Agreement, you shall be entitled to reimbursement of business expenses in accordance with this Paragraph 5 that were incurred prior to the date of such termination.</w:t>
      </w:r>
    </w:p>
    <w:p>
      <w:pPr>
        <w:spacing w:after="0" w:line="159" w:lineRule="exact"/>
        <w:rPr>
          <w:rFonts w:ascii="Arial" w:cs="Arial" w:eastAsia="Arial" w:hAnsi="Arial"/>
          <w:sz w:val="19"/>
          <w:szCs w:val="19"/>
          <w:color w:val="auto"/>
        </w:rPr>
      </w:pPr>
    </w:p>
    <w:p>
      <w:pPr>
        <w:ind w:left="1900" w:hanging="384"/>
        <w:spacing w:after="0"/>
        <w:tabs>
          <w:tab w:leader="none" w:pos="1900" w:val="left"/>
        </w:tabs>
        <w:numPr>
          <w:ilvl w:val="1"/>
          <w:numId w:val="139"/>
        </w:numPr>
        <w:rPr>
          <w:rFonts w:ascii="Arial" w:cs="Arial" w:eastAsia="Arial" w:hAnsi="Arial"/>
          <w:sz w:val="19"/>
          <w:szCs w:val="19"/>
          <w:color w:val="auto"/>
        </w:rPr>
      </w:pPr>
      <w:r>
        <w:rPr>
          <w:rFonts w:ascii="Arial" w:cs="Arial" w:eastAsia="Arial" w:hAnsi="Arial"/>
          <w:sz w:val="19"/>
          <w:szCs w:val="19"/>
          <w:u w:val="single" w:color="auto"/>
          <w:color w:val="auto"/>
        </w:rPr>
        <w:t>Exclusivity and Non-Solicitation</w:t>
      </w:r>
      <w:r>
        <w:rPr>
          <w:rFonts w:ascii="Arial" w:cs="Arial" w:eastAsia="Arial" w:hAnsi="Arial"/>
          <w:sz w:val="19"/>
          <w:szCs w:val="19"/>
          <w:color w:val="auto"/>
        </w:rPr>
        <w:t>.</w:t>
      </w:r>
    </w:p>
    <w:p>
      <w:pPr>
        <w:spacing w:after="0" w:line="179" w:lineRule="exact"/>
        <w:rPr>
          <w:rFonts w:ascii="Arial" w:cs="Arial" w:eastAsia="Arial" w:hAnsi="Arial"/>
          <w:sz w:val="19"/>
          <w:szCs w:val="19"/>
          <w:color w:val="auto"/>
        </w:rPr>
      </w:pPr>
    </w:p>
    <w:p>
      <w:pPr>
        <w:jc w:val="both"/>
        <w:ind w:firstLine="1278"/>
        <w:spacing w:after="0" w:line="220" w:lineRule="auto"/>
        <w:tabs>
          <w:tab w:leader="none" w:pos="1907"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Exclusivity</w:t>
      </w:r>
      <w:r>
        <w:rPr>
          <w:rFonts w:ascii="Arial" w:cs="Arial" w:eastAsia="Arial" w:hAnsi="Arial"/>
          <w:sz w:val="19"/>
          <w:szCs w:val="19"/>
          <w:color w:val="auto"/>
        </w:rPr>
        <w:t>. Your employment with the Company is on an exclusive and full-time basis, and while you are employed by the Company, you shall not engage in any other business activity which is in conflict with your duties and obligations (including your commitment of time) to the Company. Accordingly, while you are employed by the Company, you shall not directly or indirectly engage in or participate as an owner, partner, holder or beneficiary of stock, stock options or other equity interest, officer, employee, director, manager, partner or agent of, or consultant for, any business competitive with any business of Paramount (“Competitive Activities”) without the prior written consent of Paramount. This provision shall not limit your right to own and have options or other rights to purchase not more than one percent (1%) of any of the debt or equity securities of any business organization that is then filing reports with the Securities and Exchange Commission pursuant to Section 13 or 15(d) of the Securities Exchange Act of 1934, as amended, unless such ownership constitutes a significant portion of your net worth.</w:t>
      </w:r>
    </w:p>
    <w:p>
      <w:pPr>
        <w:spacing w:after="0" w:line="158" w:lineRule="exact"/>
        <w:rPr>
          <w:rFonts w:ascii="Arial" w:cs="Arial" w:eastAsia="Arial" w:hAnsi="Arial"/>
          <w:sz w:val="19"/>
          <w:szCs w:val="19"/>
          <w:color w:val="auto"/>
        </w:rPr>
      </w:pPr>
    </w:p>
    <w:p>
      <w:pPr>
        <w:ind w:left="1920" w:hanging="642"/>
        <w:spacing w:after="0"/>
        <w:tabs>
          <w:tab w:leader="none" w:pos="1920"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Non-Solicitation</w:t>
      </w:r>
      <w:r>
        <w:rPr>
          <w:rFonts w:ascii="Arial" w:cs="Arial" w:eastAsia="Arial" w:hAnsi="Arial"/>
          <w:sz w:val="19"/>
          <w:szCs w:val="19"/>
          <w:color w:val="auto"/>
        </w:rPr>
        <w:t>.</w:t>
      </w:r>
    </w:p>
    <w:p>
      <w:pPr>
        <w:spacing w:after="0" w:line="192" w:lineRule="exact"/>
        <w:rPr>
          <w:sz w:val="20"/>
          <w:szCs w:val="20"/>
          <w:color w:val="auto"/>
        </w:rPr>
      </w:pPr>
    </w:p>
    <w:p>
      <w:pPr>
        <w:ind w:left="1920" w:hanging="642"/>
        <w:spacing w:after="0" w:line="244" w:lineRule="auto"/>
        <w:tabs>
          <w:tab w:leader="none" w:pos="1907" w:val="left"/>
        </w:tabs>
        <w:numPr>
          <w:ilvl w:val="0"/>
          <w:numId w:val="141"/>
        </w:numPr>
        <w:rPr>
          <w:rFonts w:ascii="Arial" w:cs="Arial" w:eastAsia="Arial" w:hAnsi="Arial"/>
          <w:sz w:val="19"/>
          <w:szCs w:val="19"/>
          <w:color w:val="auto"/>
        </w:rPr>
      </w:pPr>
      <w:r>
        <w:rPr>
          <w:rFonts w:ascii="Arial" w:cs="Arial" w:eastAsia="Arial" w:hAnsi="Arial"/>
          <w:sz w:val="19"/>
          <w:szCs w:val="19"/>
          <w:color w:val="auto"/>
        </w:rPr>
        <w:t>During the Non-Solicitation Period, you shall not directly or indirectly engage or attempt to engage in any of the following acts:</w:t>
      </w:r>
    </w:p>
    <w:p>
      <w:pPr>
        <w:spacing w:after="0" w:line="151" w:lineRule="exact"/>
        <w:rPr>
          <w:rFonts w:ascii="Arial" w:cs="Arial" w:eastAsia="Arial" w:hAnsi="Arial"/>
          <w:sz w:val="19"/>
          <w:szCs w:val="19"/>
          <w:color w:val="auto"/>
        </w:rPr>
      </w:pPr>
    </w:p>
    <w:p>
      <w:pPr>
        <w:ind w:left="2560" w:hanging="646"/>
        <w:spacing w:after="0" w:line="259" w:lineRule="auto"/>
        <w:tabs>
          <w:tab w:leader="none" w:pos="2564" w:val="left"/>
        </w:tabs>
        <w:numPr>
          <w:ilvl w:val="1"/>
          <w:numId w:val="141"/>
        </w:numPr>
        <w:rPr>
          <w:rFonts w:ascii="Arial" w:cs="Arial" w:eastAsia="Arial" w:hAnsi="Arial"/>
          <w:sz w:val="19"/>
          <w:szCs w:val="19"/>
          <w:color w:val="auto"/>
        </w:rPr>
      </w:pPr>
      <w:r>
        <w:rPr>
          <w:rFonts w:ascii="Arial" w:cs="Arial" w:eastAsia="Arial" w:hAnsi="Arial"/>
          <w:sz w:val="19"/>
          <w:szCs w:val="19"/>
          <w:color w:val="auto"/>
        </w:rPr>
        <w:t>Solicit the employment of any person, other than your assistant(s), who is then, or has been within six (6) months prior thereto, an employee of Paramount; or</w:t>
      </w:r>
    </w:p>
    <w:p>
      <w:pPr>
        <w:spacing w:after="0" w:line="124" w:lineRule="exact"/>
        <w:rPr>
          <w:rFonts w:ascii="Arial" w:cs="Arial" w:eastAsia="Arial" w:hAnsi="Arial"/>
          <w:sz w:val="19"/>
          <w:szCs w:val="19"/>
          <w:color w:val="auto"/>
        </w:rPr>
      </w:pPr>
    </w:p>
    <w:p>
      <w:pPr>
        <w:jc w:val="both"/>
        <w:ind w:left="2560" w:hanging="646"/>
        <w:spacing w:after="0" w:line="230" w:lineRule="auto"/>
        <w:tabs>
          <w:tab w:leader="none" w:pos="2577" w:val="left"/>
        </w:tabs>
        <w:numPr>
          <w:ilvl w:val="1"/>
          <w:numId w:val="141"/>
        </w:numPr>
        <w:rPr>
          <w:rFonts w:ascii="Arial" w:cs="Arial" w:eastAsia="Arial" w:hAnsi="Arial"/>
          <w:sz w:val="19"/>
          <w:szCs w:val="19"/>
          <w:color w:val="auto"/>
        </w:rPr>
      </w:pPr>
      <w:r>
        <w:rPr>
          <w:rFonts w:ascii="Arial" w:cs="Arial" w:eastAsia="Arial" w:hAnsi="Arial"/>
          <w:sz w:val="19"/>
          <w:szCs w:val="19"/>
          <w:color w:val="auto"/>
        </w:rPr>
        <w:t>Interfere with, disturb or interrupt the relationships (whether or not such relationships have been reduced to formal contracts) of Paramount with any customer, supplier, independent contractor, consultant, joint venture or other business partner (to the extent each of the limitations in this paragraph 6(b)(i)(2) is permitted by applicable law).</w:t>
      </w:r>
    </w:p>
    <w:p>
      <w:pPr>
        <w:spacing w:after="0" w:line="156" w:lineRule="exact"/>
        <w:rPr>
          <w:rFonts w:ascii="Arial" w:cs="Arial" w:eastAsia="Arial" w:hAnsi="Arial"/>
          <w:sz w:val="19"/>
          <w:szCs w:val="19"/>
          <w:color w:val="auto"/>
        </w:rPr>
      </w:pPr>
    </w:p>
    <w:p>
      <w:pPr>
        <w:jc w:val="both"/>
        <w:ind w:left="1920" w:hanging="642"/>
        <w:spacing w:after="0" w:line="234" w:lineRule="auto"/>
        <w:tabs>
          <w:tab w:leader="none" w:pos="191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Non-Solicitation Period</w:t>
      </w:r>
      <w:r>
        <w:rPr>
          <w:rFonts w:ascii="Arial" w:cs="Arial" w:eastAsia="Arial" w:hAnsi="Arial"/>
          <w:sz w:val="19"/>
          <w:szCs w:val="19"/>
          <w:color w:val="auto"/>
        </w:rPr>
        <w:t>” begins on the Effective Date and ends on the last day of the Contract Period, or, if longer, eighteen (18) months after the Company terminates your employment for Cause or you resign other than for Good Reason.</w:t>
      </w:r>
    </w:p>
    <w:p>
      <w:pPr>
        <w:sectPr>
          <w:pgSz w:w="11900" w:h="16838" w:orient="portrait"/>
          <w:cols w:equalWidth="0" w:num="1">
            <w:col w:w="11240"/>
          </w:cols>
          <w:pgMar w:left="320" w:top="595" w:right="339" w:bottom="1440" w:gutter="0" w:footer="0" w:header="0"/>
        </w:sectPr>
      </w:pPr>
    </w:p>
    <w:bookmarkStart w:id="185" w:name="page186"/>
    <w:bookmarkEnd w:id="185"/>
    <w:p>
      <w:pPr>
        <w:spacing w:after="0"/>
        <w:rPr>
          <w:sz w:val="20"/>
          <w:szCs w:val="20"/>
          <w:color w:val="auto"/>
        </w:rPr>
      </w:pPr>
      <w:r>
        <w:rPr>
          <w:rFonts w:ascii="Arial" w:cs="Arial" w:eastAsia="Arial" w:hAnsi="Arial"/>
          <w:sz w:val="19"/>
          <w:szCs w:val="19"/>
          <w:color w:val="auto"/>
        </w:rPr>
        <w:t>Brian Robbins</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As of December 15, 2023</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firstLine="1278"/>
        <w:spacing w:after="0" w:line="227" w:lineRule="auto"/>
        <w:tabs>
          <w:tab w:leader="none" w:pos="1896" w:val="left"/>
        </w:tabs>
        <w:numPr>
          <w:ilvl w:val="0"/>
          <w:numId w:val="142"/>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court determines that any portion of this paragraph 6 is invalid or unenforceable, the remainder of this paragraph 6 shall not thereby be affected and shall be given full effect without regard to the invalid provisions. If any court construes any of the provisions of this Section 6, or any part thereof, to be unreasonable because of the duration or scope of such provision, such court shall have the power to reduce the duration or scope of such provision and to enforce such provision as so reduced.</w:t>
      </w:r>
    </w:p>
    <w:p>
      <w:pPr>
        <w:spacing w:after="0" w:line="145" w:lineRule="exact"/>
        <w:rPr>
          <w:rFonts w:ascii="Arial" w:cs="Arial" w:eastAsia="Arial" w:hAnsi="Arial"/>
          <w:sz w:val="19"/>
          <w:szCs w:val="19"/>
          <w:color w:val="auto"/>
        </w:rPr>
      </w:pPr>
    </w:p>
    <w:p>
      <w:pPr>
        <w:ind w:left="1900" w:hanging="384"/>
        <w:spacing w:after="0"/>
        <w:tabs>
          <w:tab w:leader="none" w:pos="1900" w:val="left"/>
        </w:tabs>
        <w:numPr>
          <w:ilvl w:val="1"/>
          <w:numId w:val="142"/>
        </w:numPr>
        <w:rPr>
          <w:rFonts w:ascii="Arial" w:cs="Arial" w:eastAsia="Arial" w:hAnsi="Arial"/>
          <w:sz w:val="19"/>
          <w:szCs w:val="19"/>
          <w:color w:val="auto"/>
        </w:rPr>
      </w:pPr>
      <w:r>
        <w:rPr>
          <w:rFonts w:ascii="Arial" w:cs="Arial" w:eastAsia="Arial" w:hAnsi="Arial"/>
          <w:sz w:val="19"/>
          <w:szCs w:val="19"/>
          <w:u w:val="single" w:color="auto"/>
          <w:color w:val="auto"/>
        </w:rPr>
        <w:t>Confidentiality and Other Obligations</w:t>
      </w:r>
      <w:r>
        <w:rPr>
          <w:rFonts w:ascii="Arial" w:cs="Arial" w:eastAsia="Arial" w:hAnsi="Arial"/>
          <w:sz w:val="19"/>
          <w:szCs w:val="19"/>
          <w:color w:val="auto"/>
        </w:rPr>
        <w:t>.</w:t>
      </w:r>
    </w:p>
    <w:p>
      <w:pPr>
        <w:spacing w:after="0" w:line="192" w:lineRule="exact"/>
        <w:rPr>
          <w:sz w:val="20"/>
          <w:szCs w:val="20"/>
          <w:color w:val="auto"/>
        </w:rPr>
      </w:pPr>
    </w:p>
    <w:p>
      <w:pPr>
        <w:jc w:val="both"/>
        <w:ind w:firstLine="1278"/>
        <w:spacing w:after="0" w:line="225" w:lineRule="auto"/>
        <w:tabs>
          <w:tab w:leader="none" w:pos="1907"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You shall not use for any purpose or disclose to any third party any information relating to the Company, the Company’s clients or other parties with which the Company has a relationship, or that may provide the Company with a competitive advantage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other than (i) in the performance of your duties under this Agreement consistent with the Company’s policies or (ii) as may otherwise be required by law or legal process; provided, however, that nothing in the foregoing prohibits you from reporting what you in good faith believe to be violations of federal law to any governmental agency you in good faith believe to have responsibility for enforcement of such law or from making any other disclosure that is protected under the whistleblower protections of federal law. Additionally, you are hereby notified that the immunity provisions in Section 1833 of title 18 of the United States Code provide that an individual cannot be held criminally or civilly liable under any federal or state trade secret law for any disclosure of a trade secret that is made (x) in confidence to federal, state or local government officials, either directly or indirectly, or to an attorney, and is solely for the purpose of reporting or investigating a suspected violation of the law, (y) under seal in a complaint or other document filed in a lawsuit or other proceeding, or (z) to your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 The Company acknowledges that you are an “officially designated spokesperson” for purposes of the Paramount Global Business Practices Statement. Confidential Information shall include, without limitation, trade secrets; inventions (whether or not patentable); technology and business processes; business, product or marketing plans; negotiating strategies; sales and other forecasts; financial information; client lists or other intellectual property; information relating to compensation and benefits; public information that becomes proprietary as a result of the Company’s compilation of that information for use in its business; documents (including any electronic record, videotapes or audiotapes) and oral communications incorporating Confidential Information. You shall also comply with any and all confidentiality obligations of the Company to a third party of which you are aware, whether arising under a written agreement or otherwise. Information shall not be deemed Confidential Information if (i) it is or becomes generally available to the public other than as a result of an unauthorized disclosure or action by you or at your direction; or (ii) it is or becomes available to you on a non-confidential basis from a source that is entitled to disclose it to you.</w:t>
      </w:r>
    </w:p>
    <w:p>
      <w:pPr>
        <w:spacing w:after="0" w:line="164" w:lineRule="exact"/>
        <w:rPr>
          <w:rFonts w:ascii="Arial" w:cs="Arial" w:eastAsia="Arial" w:hAnsi="Arial"/>
          <w:sz w:val="19"/>
          <w:szCs w:val="19"/>
          <w:color w:val="auto"/>
        </w:rPr>
      </w:pPr>
    </w:p>
    <w:p>
      <w:pPr>
        <w:jc w:val="both"/>
        <w:ind w:firstLine="1278"/>
        <w:spacing w:after="0" w:line="223" w:lineRule="auto"/>
        <w:tabs>
          <w:tab w:leader="none" w:pos="1907"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Interviews, Speeches or Writings about the Company</w:t>
      </w:r>
      <w:r>
        <w:rPr>
          <w:rFonts w:ascii="Arial" w:cs="Arial" w:eastAsia="Arial" w:hAnsi="Arial"/>
          <w:sz w:val="19"/>
          <w:szCs w:val="19"/>
          <w:color w:val="auto"/>
        </w:rPr>
        <w:t>. Except in the performance of your duties under this Agreement consistent with the Company’s policies, you shall obtain the express authorization of the Company before (i) giving any speeches or interviews or (ii) preparing or assisting any person or entity in the preparation of any books, articles, radio broadcasts, electronic communications, television or motion picture productions or other creations, in either case concerning the Company or any of its respective businesses, officers, directors, agents, employees, suppliers or customers. The provisions in (i) in the preceding sentence concerning interviews are not intended to preclude you from speaking to</w:t>
      </w:r>
    </w:p>
    <w:p>
      <w:pPr>
        <w:sectPr>
          <w:pgSz w:w="11900" w:h="16838" w:orient="portrait"/>
          <w:cols w:equalWidth="0" w:num="1">
            <w:col w:w="11240"/>
          </w:cols>
          <w:pgMar w:left="320" w:top="595" w:right="339" w:bottom="1440" w:gutter="0" w:footer="0" w:header="0"/>
        </w:sectPr>
      </w:pPr>
    </w:p>
    <w:bookmarkStart w:id="186" w:name="page187"/>
    <w:bookmarkEnd w:id="186"/>
    <w:p>
      <w:pPr>
        <w:spacing w:after="0"/>
        <w:rPr>
          <w:sz w:val="20"/>
          <w:szCs w:val="20"/>
          <w:color w:val="auto"/>
        </w:rPr>
      </w:pPr>
      <w:r>
        <w:rPr>
          <w:rFonts w:ascii="Arial" w:cs="Arial" w:eastAsia="Arial" w:hAnsi="Arial"/>
          <w:sz w:val="19"/>
          <w:szCs w:val="19"/>
          <w:color w:val="auto"/>
        </w:rPr>
        <w:t>Brian Robbins</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As of December 15, 2023</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members of the press in the ordinary course of business in furtherance of your responsibilities under this Agreement, unless otherwise directed by the President and Chief Executive Officer, Paramount.</w:t>
      </w:r>
    </w:p>
    <w:p>
      <w:pPr>
        <w:spacing w:after="0" w:line="125" w:lineRule="exact"/>
        <w:rPr>
          <w:sz w:val="20"/>
          <w:szCs w:val="20"/>
          <w:color w:val="auto"/>
        </w:rPr>
      </w:pPr>
    </w:p>
    <w:p>
      <w:pPr>
        <w:jc w:val="both"/>
        <w:ind w:firstLine="1278"/>
        <w:spacing w:after="0" w:line="222" w:lineRule="auto"/>
        <w:tabs>
          <w:tab w:leader="none" w:pos="1896" w:val="left"/>
        </w:tabs>
        <w:numPr>
          <w:ilvl w:val="0"/>
          <w:numId w:val="144"/>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You shall not, directly or indirectly, in any communications with any reporter, author, producer or any similar person or entity, the press or other media, or any customer, client or supplier of the Company, criticize, ridicule or make any statement which is negative, disparages or is derogatory of the Company or any of its directors or senior officers. The Company shall not, directly or indirectly, in any communications with any reporter, author, producer or any similar person or entity, the press or other media, or any customer, client or supplier of Paramount, criticize, ridicule, or make any statement which is negative, disparages or is derogatory of you; provided that you agree that the Company shall not be responsible for the unauthorized communication of an employee who is not a senior executive of the Company. (For the purpose of this paragraph, senior executive shall mean any Company executive with a title of President or higher.)</w:t>
      </w:r>
    </w:p>
    <w:p>
      <w:pPr>
        <w:spacing w:after="0" w:line="158" w:lineRule="exact"/>
        <w:rPr>
          <w:rFonts w:ascii="Arial" w:cs="Arial" w:eastAsia="Arial" w:hAnsi="Arial"/>
          <w:sz w:val="19"/>
          <w:szCs w:val="19"/>
          <w:color w:val="auto"/>
        </w:rPr>
      </w:pPr>
    </w:p>
    <w:p>
      <w:pPr>
        <w:jc w:val="both"/>
        <w:ind w:firstLine="1278"/>
        <w:spacing w:after="0" w:line="226" w:lineRule="auto"/>
        <w:tabs>
          <w:tab w:leader="none" w:pos="1907" w:val="left"/>
        </w:tabs>
        <w:numPr>
          <w:ilvl w:val="0"/>
          <w:numId w:val="144"/>
        </w:numPr>
        <w:rPr>
          <w:rFonts w:ascii="Arial" w:cs="Arial" w:eastAsia="Arial" w:hAnsi="Arial"/>
          <w:sz w:val="19"/>
          <w:szCs w:val="19"/>
          <w:color w:val="auto"/>
        </w:rPr>
      </w:pPr>
      <w:r>
        <w:rPr>
          <w:rFonts w:ascii="Arial" w:cs="Arial" w:eastAsia="Arial" w:hAnsi="Arial"/>
          <w:sz w:val="19"/>
          <w:szCs w:val="19"/>
          <w:u w:val="single" w:color="auto"/>
          <w:color w:val="auto"/>
        </w:rPr>
        <w:t>Scope and Duration.</w:t>
      </w:r>
      <w:r>
        <w:rPr>
          <w:rFonts w:ascii="Arial" w:cs="Arial" w:eastAsia="Arial" w:hAnsi="Arial"/>
          <w:sz w:val="19"/>
          <w:szCs w:val="19"/>
          <w:color w:val="auto"/>
        </w:rPr>
        <w:t xml:space="preserve"> The provisions of paragraph 7(a) shall be in effect during the Contract Period and at all times thereafter. The provisions of paragraphs 7(b) and 7(c) shall be in effect during the Contract Period and for one (1) year thereafter and such provisions shall apply to all formats and platforms now known or hereafter developed, whether written, printed, oral or electronic, including without limitation e-mails, “blogs”, internet sites, chat or news rooms, podcasts or any online forum.</w:t>
      </w:r>
    </w:p>
    <w:p>
      <w:pPr>
        <w:spacing w:after="0" w:line="157" w:lineRule="exact"/>
        <w:rPr>
          <w:rFonts w:ascii="Arial" w:cs="Arial" w:eastAsia="Arial" w:hAnsi="Arial"/>
          <w:sz w:val="19"/>
          <w:szCs w:val="19"/>
          <w:color w:val="auto"/>
        </w:rPr>
      </w:pPr>
    </w:p>
    <w:p>
      <w:pPr>
        <w:ind w:left="1900" w:hanging="384"/>
        <w:spacing w:after="0"/>
        <w:tabs>
          <w:tab w:leader="none" w:pos="1900" w:val="left"/>
        </w:tabs>
        <w:numPr>
          <w:ilvl w:val="1"/>
          <w:numId w:val="144"/>
        </w:numPr>
        <w:rPr>
          <w:rFonts w:ascii="Arial" w:cs="Arial" w:eastAsia="Arial" w:hAnsi="Arial"/>
          <w:sz w:val="19"/>
          <w:szCs w:val="19"/>
          <w:color w:val="auto"/>
        </w:rPr>
      </w:pPr>
      <w:r>
        <w:rPr>
          <w:rFonts w:ascii="Arial" w:cs="Arial" w:eastAsia="Arial" w:hAnsi="Arial"/>
          <w:sz w:val="19"/>
          <w:szCs w:val="19"/>
          <w:u w:val="single" w:color="auto"/>
          <w:color w:val="auto"/>
        </w:rPr>
        <w:t>Company Property</w:t>
      </w:r>
      <w:r>
        <w:rPr>
          <w:rFonts w:ascii="Arial" w:cs="Arial" w:eastAsia="Arial" w:hAnsi="Arial"/>
          <w:sz w:val="19"/>
          <w:szCs w:val="19"/>
          <w:color w:val="auto"/>
        </w:rPr>
        <w:t>.</w:t>
      </w:r>
    </w:p>
    <w:p>
      <w:pPr>
        <w:spacing w:after="0" w:line="192" w:lineRule="exact"/>
        <w:rPr>
          <w:sz w:val="20"/>
          <w:szCs w:val="20"/>
          <w:color w:val="auto"/>
        </w:rPr>
      </w:pPr>
    </w:p>
    <w:p>
      <w:pPr>
        <w:ind w:left="1920" w:hanging="642"/>
        <w:spacing w:after="0"/>
        <w:tabs>
          <w:tab w:leader="none" w:pos="1920"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Company Ownership</w:t>
      </w:r>
      <w:r>
        <w:rPr>
          <w:rFonts w:ascii="Arial" w:cs="Arial" w:eastAsia="Arial" w:hAnsi="Arial"/>
          <w:sz w:val="19"/>
          <w:szCs w:val="19"/>
          <w:color w:val="auto"/>
        </w:rPr>
        <w:t>.</w:t>
      </w:r>
    </w:p>
    <w:p>
      <w:pPr>
        <w:spacing w:after="0" w:line="179" w:lineRule="exact"/>
        <w:rPr>
          <w:sz w:val="20"/>
          <w:szCs w:val="20"/>
          <w:color w:val="auto"/>
        </w:rPr>
      </w:pPr>
    </w:p>
    <w:p>
      <w:pPr>
        <w:jc w:val="both"/>
        <w:ind w:left="1920" w:hanging="642"/>
        <w:spacing w:after="0" w:line="223" w:lineRule="auto"/>
        <w:tabs>
          <w:tab w:leader="none" w:pos="1907" w:val="left"/>
        </w:tabs>
        <w:numPr>
          <w:ilvl w:val="0"/>
          <w:numId w:val="146"/>
        </w:numPr>
        <w:rPr>
          <w:rFonts w:ascii="Arial" w:cs="Arial" w:eastAsia="Arial" w:hAnsi="Arial"/>
          <w:sz w:val="19"/>
          <w:szCs w:val="19"/>
          <w:color w:val="auto"/>
        </w:rPr>
      </w:pPr>
      <w:r>
        <w:rPr>
          <w:rFonts w:ascii="Arial" w:cs="Arial" w:eastAsia="Arial" w:hAnsi="Arial"/>
          <w:sz w:val="19"/>
          <w:szCs w:val="19"/>
          <w:color w:val="auto"/>
        </w:rPr>
        <w:t>The results and proceeds of your services to the Company, whether or not created during the Contract Period, including, without limitation, any works of authorship resulting from your services and any works in progress resulting from such services, shall be works-made-for-hire and the Company shall be deemed the sole owner throughout the universe of any and all rights of every nature in such works, with the right to use, license or dispose of the works in perpetuity in any manner the Company determines in its sole discretion without any further payment to you, whether such rights and means of use are now known or hereafter defined or discovered.</w:t>
      </w:r>
    </w:p>
    <w:p>
      <w:pPr>
        <w:spacing w:after="0" w:line="155" w:lineRule="exact"/>
        <w:rPr>
          <w:rFonts w:ascii="Arial" w:cs="Arial" w:eastAsia="Arial" w:hAnsi="Arial"/>
          <w:sz w:val="19"/>
          <w:szCs w:val="19"/>
          <w:color w:val="auto"/>
        </w:rPr>
      </w:pPr>
    </w:p>
    <w:p>
      <w:pPr>
        <w:jc w:val="both"/>
        <w:ind w:left="1920" w:hanging="642"/>
        <w:spacing w:after="0" w:line="222" w:lineRule="auto"/>
        <w:tabs>
          <w:tab w:leader="none" w:pos="191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If, for any reason, any of the results and proceeds of your services to the Company are not legally deemed a work-made-for-hire and/or there are any rights in such results and proceeds which do not accrue to the Company under this paragraph 8(a), then you hereby irrevocably assign any and all of your right, title and interest thereto, including, without limitation, any and all copyrights, patents, trade secrets, trademarks and/or other rights of every nature in the work, and the Company shall have the sole right to use, license or dispose of the work in perpetuity throughout the universe in any manner the Company determines in its sole discretion without any further payment to you, whether such rights and means of use are now known or hereafter defined or discovered.</w:t>
      </w:r>
    </w:p>
    <w:p>
      <w:pPr>
        <w:sectPr>
          <w:pgSz w:w="11900" w:h="16838" w:orient="portrait"/>
          <w:cols w:equalWidth="0" w:num="1">
            <w:col w:w="11240"/>
          </w:cols>
          <w:pgMar w:left="320" w:top="595" w:right="339" w:bottom="1440" w:gutter="0" w:footer="0" w:header="0"/>
        </w:sectPr>
      </w:pPr>
    </w:p>
    <w:bookmarkStart w:id="187" w:name="page188"/>
    <w:bookmarkEnd w:id="187"/>
    <w:p>
      <w:pPr>
        <w:spacing w:after="0"/>
        <w:rPr>
          <w:sz w:val="20"/>
          <w:szCs w:val="20"/>
          <w:color w:val="auto"/>
        </w:rPr>
      </w:pPr>
      <w:r>
        <w:rPr>
          <w:rFonts w:ascii="Arial" w:cs="Arial" w:eastAsia="Arial" w:hAnsi="Arial"/>
          <w:sz w:val="19"/>
          <w:szCs w:val="19"/>
          <w:color w:val="auto"/>
        </w:rPr>
        <w:t>Brian Robbins</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As of December 15, 2023</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1920" w:hanging="642"/>
        <w:spacing w:after="0" w:line="222" w:lineRule="auto"/>
        <w:tabs>
          <w:tab w:leader="none" w:pos="1914" w:val="left"/>
        </w:tabs>
        <w:numPr>
          <w:ilvl w:val="0"/>
          <w:numId w:val="147"/>
        </w:numPr>
        <w:rPr>
          <w:rFonts w:ascii="Arial" w:cs="Arial" w:eastAsia="Arial" w:hAnsi="Arial"/>
          <w:sz w:val="19"/>
          <w:szCs w:val="19"/>
          <w:color w:val="auto"/>
        </w:rPr>
      </w:pPr>
      <w:r>
        <w:rPr>
          <w:rFonts w:ascii="Arial" w:cs="Arial" w:eastAsia="Arial" w:hAnsi="Arial"/>
          <w:sz w:val="19"/>
          <w:szCs w:val="19"/>
          <w:color w:val="auto"/>
        </w:rPr>
        <w:t>Upon request by the Company, whether or not during the Contract Period, you shall do any and all things which the Company may deem useful or desirable to establish or document the Company’s rights in the results and proceeds of your services to the Company, including, without limitation, the execution of appropriate copyright, trademark and/or patent applications, assignments or similar documents. You hereby irrevocably designate the General Counsel, Secretary or any Assistant Secretary of the Company as your attorney-in-fact with the power to take such action and execute such documents on your behalf. To the extent you have any rights in such results and proceeds that cannot be assigned as described above, you unconditionally and irrevocably waive the enforcement of such rights.</w:t>
      </w:r>
    </w:p>
    <w:p>
      <w:pPr>
        <w:spacing w:after="0" w:line="145" w:lineRule="exact"/>
        <w:rPr>
          <w:rFonts w:ascii="Arial" w:cs="Arial" w:eastAsia="Arial" w:hAnsi="Arial"/>
          <w:sz w:val="19"/>
          <w:szCs w:val="19"/>
          <w:color w:val="auto"/>
        </w:rPr>
      </w:pPr>
    </w:p>
    <w:p>
      <w:pPr>
        <w:jc w:val="both"/>
        <w:ind w:left="1920" w:hanging="642"/>
        <w:spacing w:after="0" w:line="259" w:lineRule="auto"/>
        <w:tabs>
          <w:tab w:leader="none" w:pos="1911"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The provisions of this paragraph 8(a) do not limit, restrict, or constitute a waiver by the Company of any ownership rights to which the Company may be entitled by operation of law by virtue of being your employer.</w:t>
      </w:r>
    </w:p>
    <w:p>
      <w:pPr>
        <w:spacing w:after="0" w:line="137" w:lineRule="exact"/>
        <w:rPr>
          <w:rFonts w:ascii="Arial" w:cs="Arial" w:eastAsia="Arial" w:hAnsi="Arial"/>
          <w:sz w:val="19"/>
          <w:szCs w:val="19"/>
          <w:color w:val="auto"/>
        </w:rPr>
      </w:pPr>
    </w:p>
    <w:p>
      <w:pPr>
        <w:jc w:val="both"/>
        <w:ind w:left="1920" w:hanging="642"/>
        <w:spacing w:after="0" w:line="223" w:lineRule="auto"/>
        <w:tabs>
          <w:tab w:leader="none" w:pos="1908" w:val="left"/>
        </w:tabs>
        <w:numPr>
          <w:ilvl w:val="0"/>
          <w:numId w:val="147"/>
        </w:numPr>
        <w:rPr>
          <w:rFonts w:ascii="Arial" w:cs="Arial" w:eastAsia="Arial" w:hAnsi="Arial"/>
          <w:sz w:val="19"/>
          <w:szCs w:val="19"/>
          <w:color w:val="auto"/>
        </w:rPr>
      </w:pPr>
      <w:r>
        <w:rPr>
          <w:rFonts w:ascii="Arial" w:cs="Arial" w:eastAsia="Arial" w:hAnsi="Arial"/>
          <w:sz w:val="19"/>
          <w:szCs w:val="19"/>
          <w:color w:val="auto"/>
        </w:rPr>
        <w:t>You and the Company acknowledge and understand that the provisions of this paragraph 8 requiring assignment of inventions to Paramount do not apply to any invention which qualifies fully under the provisions of California Labor Code Section 2870, to the extent that such provision applies to you. You agree to advise the Company promptly in writing of any inventions that you believe meet the criteria in California Labor Code Section 2870; provided, however, that failure to provide such advisement to the Company shall not be deemed a waiver of rights you have under California Labor Code Section 2870.</w:t>
      </w:r>
    </w:p>
    <w:p>
      <w:pPr>
        <w:spacing w:after="0" w:line="147" w:lineRule="exact"/>
        <w:rPr>
          <w:sz w:val="20"/>
          <w:szCs w:val="20"/>
          <w:color w:val="auto"/>
        </w:rPr>
      </w:pPr>
    </w:p>
    <w:p>
      <w:pPr>
        <w:jc w:val="both"/>
        <w:ind w:firstLine="1278"/>
        <w:spacing w:after="0" w:line="230" w:lineRule="auto"/>
        <w:tabs>
          <w:tab w:leader="none" w:pos="1907" w:val="left"/>
        </w:tabs>
        <w:numPr>
          <w:ilvl w:val="0"/>
          <w:numId w:val="148"/>
        </w:numPr>
        <w:rPr>
          <w:rFonts w:ascii="Arial" w:cs="Arial" w:eastAsia="Arial" w:hAnsi="Arial"/>
          <w:sz w:val="19"/>
          <w:szCs w:val="19"/>
          <w:color w:val="auto"/>
        </w:rPr>
      </w:pPr>
      <w:r>
        <w:rPr>
          <w:rFonts w:ascii="Arial" w:cs="Arial" w:eastAsia="Arial" w:hAnsi="Arial"/>
          <w:sz w:val="19"/>
          <w:szCs w:val="19"/>
          <w:u w:val="single" w:color="auto"/>
          <w:color w:val="auto"/>
        </w:rPr>
        <w:t>Return of Property</w:t>
      </w:r>
      <w:r>
        <w:rPr>
          <w:rFonts w:ascii="Arial" w:cs="Arial" w:eastAsia="Arial" w:hAnsi="Arial"/>
          <w:sz w:val="19"/>
          <w:szCs w:val="19"/>
          <w:color w:val="auto"/>
        </w:rPr>
        <w:t>. All documents, data, recordings, or other property, other than your personal file and/or rolodex, whether tangible or intangible, including all information stored in electronic form, obtained or prepared by or for you and utilized by you in the course of your employment with the Company shall remain the exclusive property of the Company and shall remain in the Company’s exclusive possession at the conclusion of your employment.</w:t>
      </w:r>
    </w:p>
    <w:p>
      <w:pPr>
        <w:spacing w:after="0" w:line="156" w:lineRule="exact"/>
        <w:rPr>
          <w:rFonts w:ascii="Arial" w:cs="Arial" w:eastAsia="Arial" w:hAnsi="Arial"/>
          <w:sz w:val="19"/>
          <w:szCs w:val="19"/>
          <w:color w:val="auto"/>
        </w:rPr>
      </w:pPr>
    </w:p>
    <w:p>
      <w:pPr>
        <w:ind w:left="1900" w:hanging="384"/>
        <w:spacing w:after="0"/>
        <w:tabs>
          <w:tab w:leader="none" w:pos="1900" w:val="left"/>
        </w:tabs>
        <w:numPr>
          <w:ilvl w:val="1"/>
          <w:numId w:val="148"/>
        </w:numPr>
        <w:rPr>
          <w:rFonts w:ascii="Arial" w:cs="Arial" w:eastAsia="Arial" w:hAnsi="Arial"/>
          <w:sz w:val="19"/>
          <w:szCs w:val="19"/>
          <w:color w:val="auto"/>
        </w:rPr>
      </w:pPr>
      <w:r>
        <w:rPr>
          <w:rFonts w:ascii="Arial" w:cs="Arial" w:eastAsia="Arial" w:hAnsi="Arial"/>
          <w:sz w:val="19"/>
          <w:szCs w:val="19"/>
          <w:u w:val="single" w:color="auto"/>
          <w:color w:val="auto"/>
        </w:rPr>
        <w:t>Legal Matters</w:t>
      </w:r>
      <w:r>
        <w:rPr>
          <w:rFonts w:ascii="Arial" w:cs="Arial" w:eastAsia="Arial" w:hAnsi="Arial"/>
          <w:sz w:val="19"/>
          <w:szCs w:val="19"/>
          <w:color w:val="auto"/>
        </w:rPr>
        <w:t>.</w:t>
      </w:r>
    </w:p>
    <w:p>
      <w:pPr>
        <w:spacing w:after="0" w:line="192" w:lineRule="exact"/>
        <w:rPr>
          <w:sz w:val="20"/>
          <w:szCs w:val="20"/>
          <w:color w:val="auto"/>
        </w:rPr>
      </w:pPr>
    </w:p>
    <w:p>
      <w:pPr>
        <w:jc w:val="both"/>
        <w:ind w:firstLine="1278"/>
        <w:spacing w:after="0" w:line="220" w:lineRule="auto"/>
        <w:tabs>
          <w:tab w:leader="none" w:pos="1907" w:val="left"/>
        </w:tabs>
        <w:numPr>
          <w:ilvl w:val="0"/>
          <w:numId w:val="149"/>
        </w:numPr>
        <w:rPr>
          <w:rFonts w:ascii="Arial" w:cs="Arial" w:eastAsia="Arial" w:hAnsi="Arial"/>
          <w:sz w:val="19"/>
          <w:szCs w:val="19"/>
          <w:color w:val="auto"/>
        </w:rPr>
      </w:pPr>
      <w:r>
        <w:rPr>
          <w:rFonts w:ascii="Arial" w:cs="Arial" w:eastAsia="Arial" w:hAnsi="Arial"/>
          <w:sz w:val="19"/>
          <w:szCs w:val="19"/>
          <w:u w:val="single" w:color="auto"/>
          <w:color w:val="auto"/>
        </w:rPr>
        <w:t>Communication</w:t>
      </w:r>
      <w:r>
        <w:rPr>
          <w:rFonts w:ascii="Arial" w:cs="Arial" w:eastAsia="Arial" w:hAnsi="Arial"/>
          <w:sz w:val="19"/>
          <w:szCs w:val="19"/>
          <w:color w:val="auto"/>
        </w:rPr>
        <w:t>. Except as required by law or legal process or at the request of the Company, you shall not communicate with anyone (other than your attorneys, and in the event and to the extent it relates to your finances your tax advisor, who agree to keep such matters confidential), except to the extent necessary in the performance of your duties under this Agreement in accordance with the Company’s policies, with respect to the facts or subject matter of any claim, litigation, regulatory or administrative proceeding directly or indirectly involving the Company (“</w:t>
      </w:r>
      <w:r>
        <w:rPr>
          <w:rFonts w:ascii="Arial" w:cs="Arial" w:eastAsia="Arial" w:hAnsi="Arial"/>
          <w:sz w:val="19"/>
          <w:szCs w:val="19"/>
          <w:u w:val="single" w:color="auto"/>
          <w:color w:val="auto"/>
        </w:rPr>
        <w:t>Company Legal Matter</w:t>
      </w:r>
      <w:r>
        <w:rPr>
          <w:rFonts w:ascii="Arial" w:cs="Arial" w:eastAsia="Arial" w:hAnsi="Arial"/>
          <w:sz w:val="19"/>
          <w:szCs w:val="19"/>
          <w:color w:val="auto"/>
        </w:rPr>
        <w:t>”) without obtaining the prior consent of the Company or its counsel; provided, however, that nothing in the foregoing prohibits you from reporting what you in good faith believe to be violations of federal law to any governmental agency you in good faith believe to have responsibility for enforcement of such law or from making any other disclosure that is protected under the whistleblower protections of federal law.</w:t>
      </w:r>
    </w:p>
    <w:p>
      <w:pPr>
        <w:spacing w:after="0" w:line="160" w:lineRule="exact"/>
        <w:rPr>
          <w:rFonts w:ascii="Arial" w:cs="Arial" w:eastAsia="Arial" w:hAnsi="Arial"/>
          <w:sz w:val="19"/>
          <w:szCs w:val="19"/>
          <w:color w:val="auto"/>
        </w:rPr>
      </w:pPr>
    </w:p>
    <w:p>
      <w:pPr>
        <w:jc w:val="both"/>
        <w:ind w:firstLine="1278"/>
        <w:spacing w:after="0" w:line="234" w:lineRule="auto"/>
        <w:tabs>
          <w:tab w:leader="none" w:pos="1907" w:val="left"/>
        </w:tabs>
        <w:numPr>
          <w:ilvl w:val="0"/>
          <w:numId w:val="149"/>
        </w:numPr>
        <w:rPr>
          <w:rFonts w:ascii="Arial" w:cs="Arial" w:eastAsia="Arial" w:hAnsi="Arial"/>
          <w:sz w:val="19"/>
          <w:szCs w:val="19"/>
          <w:color w:val="auto"/>
        </w:rPr>
      </w:pPr>
      <w:r>
        <w:rPr>
          <w:rFonts w:ascii="Arial" w:cs="Arial" w:eastAsia="Arial" w:hAnsi="Arial"/>
          <w:sz w:val="19"/>
          <w:szCs w:val="19"/>
          <w:u w:val="single" w:color="auto"/>
          <w:color w:val="auto"/>
        </w:rPr>
        <w:t>Cooperation</w:t>
      </w:r>
      <w:r>
        <w:rPr>
          <w:rFonts w:ascii="Arial" w:cs="Arial" w:eastAsia="Arial" w:hAnsi="Arial"/>
          <w:sz w:val="19"/>
          <w:szCs w:val="19"/>
          <w:color w:val="auto"/>
        </w:rPr>
        <w:t>. You agree to cooperate with the Company and its attorneys in connection with any Company Legal Matter or Company investigation. Your cooperation shall include, without limitation, providing assistance to and meeting with the Company’s counsel,</w:t>
      </w:r>
    </w:p>
    <w:p>
      <w:pPr>
        <w:sectPr>
          <w:pgSz w:w="11900" w:h="16838" w:orient="portrait"/>
          <w:cols w:equalWidth="0" w:num="1">
            <w:col w:w="11240"/>
          </w:cols>
          <w:pgMar w:left="320" w:top="595" w:right="339" w:bottom="1440" w:gutter="0" w:footer="0" w:header="0"/>
        </w:sectPr>
      </w:pPr>
    </w:p>
    <w:bookmarkStart w:id="188" w:name="page189"/>
    <w:bookmarkEnd w:id="188"/>
    <w:p>
      <w:pPr>
        <w:spacing w:after="0"/>
        <w:rPr>
          <w:sz w:val="20"/>
          <w:szCs w:val="20"/>
          <w:color w:val="auto"/>
        </w:rPr>
      </w:pPr>
      <w:r>
        <w:rPr>
          <w:rFonts w:ascii="Arial" w:cs="Arial" w:eastAsia="Arial" w:hAnsi="Arial"/>
          <w:sz w:val="19"/>
          <w:szCs w:val="19"/>
          <w:color w:val="auto"/>
        </w:rPr>
        <w:t>Brian Robbins</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As of December 15, 2023</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9"/>
          <w:szCs w:val="19"/>
          <w:color w:val="auto"/>
        </w:rPr>
        <w:t>experts or consultants, and providing truthful testimony in pretrial and trial or hearing proceedings. In the event that your</w:t>
      </w:r>
    </w:p>
    <w:p>
      <w:pPr>
        <w:spacing w:after="0" w:line="211" w:lineRule="auto"/>
        <w:rPr>
          <w:sz w:val="20"/>
          <w:szCs w:val="20"/>
          <w:color w:val="auto"/>
        </w:rPr>
      </w:pPr>
      <w:r>
        <w:rPr>
          <w:rFonts w:ascii="Arial" w:cs="Arial" w:eastAsia="Arial" w:hAnsi="Arial"/>
          <w:sz w:val="19"/>
          <w:szCs w:val="19"/>
          <w:color w:val="auto"/>
        </w:rPr>
        <w:t>cooperation is requested after the termination of your employment, the Company shall (i) seek to minimize interruptions to your schedule to the extent consistent with its interests in the matter; and (ii) reimburse you for all reasonable and appropriate out-of-</w:t>
      </w:r>
    </w:p>
    <w:p>
      <w:pPr>
        <w:spacing w:after="0"/>
        <w:rPr>
          <w:sz w:val="20"/>
          <w:szCs w:val="20"/>
          <w:color w:val="auto"/>
        </w:rPr>
      </w:pPr>
      <w:r>
        <w:rPr>
          <w:rFonts w:ascii="Arial" w:cs="Arial" w:eastAsia="Arial" w:hAnsi="Arial"/>
          <w:sz w:val="19"/>
          <w:szCs w:val="19"/>
          <w:color w:val="auto"/>
        </w:rPr>
        <w:t>pocket expenses actually incurred by you in connection with such cooperation upon reasonable substantiation of such expenses.</w:t>
      </w:r>
    </w:p>
    <w:p>
      <w:pPr>
        <w:spacing w:after="0" w:line="174" w:lineRule="exact"/>
        <w:rPr>
          <w:sz w:val="20"/>
          <w:szCs w:val="20"/>
          <w:color w:val="auto"/>
        </w:rPr>
      </w:pPr>
    </w:p>
    <w:p>
      <w:pPr>
        <w:jc w:val="both"/>
        <w:ind w:firstLine="1278"/>
        <w:spacing w:after="0" w:line="234" w:lineRule="auto"/>
        <w:tabs>
          <w:tab w:leader="none" w:pos="1896"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Testimony</w:t>
      </w:r>
      <w:r>
        <w:rPr>
          <w:rFonts w:ascii="Arial" w:cs="Arial" w:eastAsia="Arial" w:hAnsi="Arial"/>
          <w:sz w:val="19"/>
          <w:szCs w:val="19"/>
          <w:color w:val="auto"/>
        </w:rPr>
        <w:t>. Except as required by law or legal process or at the request of the Company, you shall not testify in any lawsuit or other proceeding which directly or indirectly involves the Company, or which is reasonably likely to create the impression that such testimony is endorsed or approved by the Company.</w:t>
      </w:r>
    </w:p>
    <w:p>
      <w:pPr>
        <w:spacing w:after="0" w:line="155" w:lineRule="exact"/>
        <w:rPr>
          <w:rFonts w:ascii="Arial" w:cs="Arial" w:eastAsia="Arial" w:hAnsi="Arial"/>
          <w:sz w:val="19"/>
          <w:szCs w:val="19"/>
          <w:color w:val="auto"/>
        </w:rPr>
      </w:pPr>
    </w:p>
    <w:p>
      <w:pPr>
        <w:jc w:val="both"/>
        <w:ind w:firstLine="1278"/>
        <w:spacing w:after="0" w:line="225" w:lineRule="auto"/>
        <w:tabs>
          <w:tab w:leader="none" w:pos="1907"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Notice to Company</w:t>
      </w:r>
      <w:r>
        <w:rPr>
          <w:rFonts w:ascii="Arial" w:cs="Arial" w:eastAsia="Arial" w:hAnsi="Arial"/>
          <w:sz w:val="19"/>
          <w:szCs w:val="19"/>
          <w:color w:val="auto"/>
        </w:rPr>
        <w:t>. If you are requested or if you receive legal process requiring you to provide testimony, information or documents (including electronic documents) in any Company Legal Matter or that otherwise relates, directly or indirectly, to the Company or any of its officers, directors, employees or affiliates, you shall give prompt notice of such event to Paramount’s General Counsel and you shall follow any lawful direction of Paramount’s General Counsel or his/her designee with respect to your response to such request or legal process.</w:t>
      </w:r>
    </w:p>
    <w:p>
      <w:pPr>
        <w:spacing w:after="0" w:line="155" w:lineRule="exact"/>
        <w:rPr>
          <w:rFonts w:ascii="Arial" w:cs="Arial" w:eastAsia="Arial" w:hAnsi="Arial"/>
          <w:sz w:val="19"/>
          <w:szCs w:val="19"/>
          <w:color w:val="auto"/>
        </w:rPr>
      </w:pPr>
    </w:p>
    <w:p>
      <w:pPr>
        <w:jc w:val="both"/>
        <w:ind w:firstLine="1278"/>
        <w:spacing w:after="0" w:line="230" w:lineRule="auto"/>
        <w:tabs>
          <w:tab w:leader="none" w:pos="1907"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Adverse Party</w:t>
      </w:r>
      <w:r>
        <w:rPr>
          <w:rFonts w:ascii="Arial" w:cs="Arial" w:eastAsia="Arial" w:hAnsi="Arial"/>
          <w:sz w:val="19"/>
          <w:szCs w:val="19"/>
          <w:color w:val="auto"/>
        </w:rPr>
        <w:t>. The provisions of this paragraph 9 shall not apply to any litigation or other proceeding in which you are a party adverse to the Company; provided, however, that the Company expressly reserves its rights under paragraph 7 and its attorney-client and other privileges and immunities, including, without limitation, with respect to its documents and Confidential Information, except if expressly waived in writing by Paramount’s General Counsel or his/her designee.</w:t>
      </w:r>
    </w:p>
    <w:p>
      <w:pPr>
        <w:spacing w:after="0" w:line="142" w:lineRule="exact"/>
        <w:rPr>
          <w:rFonts w:ascii="Arial" w:cs="Arial" w:eastAsia="Arial" w:hAnsi="Arial"/>
          <w:sz w:val="19"/>
          <w:szCs w:val="19"/>
          <w:color w:val="auto"/>
        </w:rPr>
      </w:pPr>
    </w:p>
    <w:p>
      <w:pPr>
        <w:jc w:val="both"/>
        <w:ind w:firstLine="1278"/>
        <w:spacing w:after="0"/>
        <w:tabs>
          <w:tab w:leader="none" w:pos="1906"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Duration</w:t>
      </w:r>
      <w:r>
        <w:rPr>
          <w:rFonts w:ascii="Arial" w:cs="Arial" w:eastAsia="Arial" w:hAnsi="Arial"/>
          <w:sz w:val="19"/>
          <w:szCs w:val="19"/>
          <w:color w:val="auto"/>
        </w:rPr>
        <w:t>. The provisions of this paragraph 9 shall apply during the Contract Period and at all times thereafter, and shall survive the termination of your employment with the Company, with respect to any Company Legal Matter arising out of or relating to the business in which you were engaged during your employment with the Company. As to all other Company Legal Matters, the provisions of this paragraph 9 shall apply during the Contract Period and for one year thereafter or, if longer, during the pendency of any Company Legal Matter which was commenced, or which the Company received notice of, during such period.</w:t>
      </w:r>
    </w:p>
    <w:p>
      <w:pPr>
        <w:spacing w:after="0" w:line="285" w:lineRule="exact"/>
        <w:rPr>
          <w:rFonts w:ascii="Arial" w:cs="Arial" w:eastAsia="Arial" w:hAnsi="Arial"/>
          <w:sz w:val="19"/>
          <w:szCs w:val="19"/>
          <w:color w:val="auto"/>
        </w:rPr>
      </w:pPr>
    </w:p>
    <w:p>
      <w:pPr>
        <w:ind w:left="1900" w:hanging="384"/>
        <w:spacing w:after="0"/>
        <w:tabs>
          <w:tab w:leader="none" w:pos="1900" w:val="left"/>
        </w:tabs>
        <w:numPr>
          <w:ilvl w:val="1"/>
          <w:numId w:val="150"/>
        </w:numPr>
        <w:rPr>
          <w:rFonts w:ascii="Arial" w:cs="Arial" w:eastAsia="Arial" w:hAnsi="Arial"/>
          <w:sz w:val="19"/>
          <w:szCs w:val="19"/>
          <w:color w:val="auto"/>
        </w:rPr>
      </w:pPr>
      <w:r>
        <w:rPr>
          <w:rFonts w:ascii="Arial" w:cs="Arial" w:eastAsia="Arial" w:hAnsi="Arial"/>
          <w:sz w:val="19"/>
          <w:szCs w:val="19"/>
          <w:u w:val="single" w:color="auto"/>
          <w:color w:val="auto"/>
        </w:rPr>
        <w:t>Termination for Cause</w:t>
      </w:r>
      <w:r>
        <w:rPr>
          <w:rFonts w:ascii="Arial" w:cs="Arial" w:eastAsia="Arial" w:hAnsi="Arial"/>
          <w:sz w:val="19"/>
          <w:szCs w:val="19"/>
          <w:color w:val="auto"/>
        </w:rPr>
        <w:t>.</w:t>
      </w:r>
    </w:p>
    <w:p>
      <w:pPr>
        <w:spacing w:after="0" w:line="192" w:lineRule="exact"/>
        <w:rPr>
          <w:sz w:val="20"/>
          <w:szCs w:val="20"/>
          <w:color w:val="auto"/>
        </w:rPr>
      </w:pPr>
    </w:p>
    <w:p>
      <w:pPr>
        <w:jc w:val="both"/>
        <w:ind w:firstLine="1278"/>
        <w:spacing w:after="0" w:line="223" w:lineRule="auto"/>
        <w:tabs>
          <w:tab w:leader="none" w:pos="1907"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Termination Payments</w:t>
      </w:r>
      <w:r>
        <w:rPr>
          <w:rFonts w:ascii="Arial" w:cs="Arial" w:eastAsia="Arial" w:hAnsi="Arial"/>
          <w:sz w:val="19"/>
          <w:szCs w:val="19"/>
          <w:color w:val="auto"/>
        </w:rPr>
        <w:t>. The Company may terminate your employment under this Agreement for Cause and thereafter shall have no further obligations to you under this Agreement or otherwise, except for any earned but unpaid Salary through and including the date of termination of employment and any other amounts or benefits required to be paid or provided by law or under any plan of the Company (the “</w:t>
      </w:r>
      <w:r>
        <w:rPr>
          <w:rFonts w:ascii="Arial" w:cs="Arial" w:eastAsia="Arial" w:hAnsi="Arial"/>
          <w:sz w:val="19"/>
          <w:szCs w:val="19"/>
          <w:u w:val="single" w:color="auto"/>
          <w:color w:val="auto"/>
        </w:rPr>
        <w:t>Accrued Compensation and Benefits</w:t>
      </w:r>
      <w:r>
        <w:rPr>
          <w:rFonts w:ascii="Arial" w:cs="Arial" w:eastAsia="Arial" w:hAnsi="Arial"/>
          <w:sz w:val="19"/>
          <w:szCs w:val="19"/>
          <w:color w:val="auto"/>
        </w:rPr>
        <w:t>”). Without limiting the generality of the preceding sentence, upon termination of your employment for Cause, you shall have no further right to any Bonus or to exercise or redeem any stock options or other equity compensation.</w:t>
      </w:r>
    </w:p>
    <w:p>
      <w:pPr>
        <w:spacing w:after="0" w:line="159" w:lineRule="exact"/>
        <w:rPr>
          <w:rFonts w:ascii="Arial" w:cs="Arial" w:eastAsia="Arial" w:hAnsi="Arial"/>
          <w:sz w:val="19"/>
          <w:szCs w:val="19"/>
          <w:color w:val="auto"/>
        </w:rPr>
      </w:pPr>
    </w:p>
    <w:p>
      <w:pPr>
        <w:jc w:val="both"/>
        <w:ind w:firstLine="1278"/>
        <w:spacing w:after="0" w:line="230" w:lineRule="auto"/>
        <w:tabs>
          <w:tab w:leader="none" w:pos="1907"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Cause Definition</w:t>
      </w:r>
      <w:r>
        <w:rPr>
          <w:rFonts w:ascii="Arial" w:cs="Arial" w:eastAsia="Arial" w:hAnsi="Arial"/>
          <w:sz w:val="19"/>
          <w:szCs w:val="19"/>
          <w:color w:val="auto"/>
        </w:rPr>
        <w:t>. “</w:t>
      </w:r>
      <w:r>
        <w:rPr>
          <w:rFonts w:ascii="Arial" w:cs="Arial" w:eastAsia="Arial" w:hAnsi="Arial"/>
          <w:sz w:val="19"/>
          <w:szCs w:val="19"/>
          <w:u w:val="single" w:color="auto"/>
          <w:color w:val="auto"/>
        </w:rPr>
        <w:t>Cause</w:t>
      </w:r>
      <w:r>
        <w:rPr>
          <w:rFonts w:ascii="Arial" w:cs="Arial" w:eastAsia="Arial" w:hAnsi="Arial"/>
          <w:sz w:val="19"/>
          <w:szCs w:val="19"/>
          <w:color w:val="auto"/>
        </w:rPr>
        <w:t>” shall mean: (i) conduct constituting embezzlement, material misappropriation or fraud, whether or not related to your employment with the Company; (ii) conduct constituting a felony, whether or not related to your employment with the Company; (iii) conduct constituting a financial crime, material act of dishonesty or material unethical business conduct, involving the Company; (iv) willful unauthorized disclosure or use of</w:t>
      </w:r>
    </w:p>
    <w:p>
      <w:pPr>
        <w:sectPr>
          <w:pgSz w:w="11900" w:h="16838" w:orient="portrait"/>
          <w:cols w:equalWidth="0" w:num="1">
            <w:col w:w="11240"/>
          </w:cols>
          <w:pgMar w:left="320" w:top="595" w:right="339" w:bottom="1440" w:gutter="0" w:footer="0" w:header="0"/>
        </w:sectPr>
      </w:pPr>
    </w:p>
    <w:bookmarkStart w:id="189" w:name="page190"/>
    <w:bookmarkEnd w:id="189"/>
    <w:p>
      <w:pPr>
        <w:spacing w:after="0"/>
        <w:rPr>
          <w:sz w:val="20"/>
          <w:szCs w:val="20"/>
          <w:color w:val="auto"/>
        </w:rPr>
      </w:pPr>
      <w:r>
        <w:rPr>
          <w:rFonts w:ascii="Arial" w:cs="Arial" w:eastAsia="Arial" w:hAnsi="Arial"/>
          <w:sz w:val="19"/>
          <w:szCs w:val="19"/>
          <w:color w:val="auto"/>
        </w:rPr>
        <w:t>Brian Robbins</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As of December 15, 2023</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9"/>
          <w:szCs w:val="19"/>
          <w:color w:val="auto"/>
        </w:rPr>
        <w:t>Confidential Information; (v) the failure to substantially obey a material lawful directive that is appropriate to your position from a</w:t>
      </w:r>
    </w:p>
    <w:p>
      <w:pPr>
        <w:spacing w:after="0" w:line="211" w:lineRule="auto"/>
        <w:rPr>
          <w:sz w:val="20"/>
          <w:szCs w:val="20"/>
          <w:color w:val="auto"/>
        </w:rPr>
      </w:pPr>
      <w:r>
        <w:rPr>
          <w:rFonts w:ascii="Arial" w:cs="Arial" w:eastAsia="Arial" w:hAnsi="Arial"/>
          <w:sz w:val="19"/>
          <w:szCs w:val="19"/>
          <w:color w:val="auto"/>
        </w:rPr>
        <w:t>superior in your reporting line or the Board; (vi) your material breach of any material obligation under this Agreement; (vii) the failure or refusal to substantially perform your material obligations under this Agreement (other than any such failure or refusal</w:t>
      </w:r>
    </w:p>
    <w:p>
      <w:pPr>
        <w:spacing w:after="0" w:line="218" w:lineRule="auto"/>
        <w:rPr>
          <w:sz w:val="20"/>
          <w:szCs w:val="20"/>
          <w:color w:val="auto"/>
        </w:rPr>
      </w:pPr>
      <w:r>
        <w:rPr>
          <w:rFonts w:ascii="Arial" w:cs="Arial" w:eastAsia="Arial" w:hAnsi="Arial"/>
          <w:sz w:val="19"/>
          <w:szCs w:val="19"/>
          <w:color w:val="auto"/>
        </w:rPr>
        <w:t>resulting from your STD or LTD); (viii) the willful failure to cooperate with a bona fide internal investigation or an investigation by</w:t>
      </w:r>
    </w:p>
    <w:p>
      <w:pPr>
        <w:spacing w:after="0" w:line="211" w:lineRule="auto"/>
        <w:rPr>
          <w:sz w:val="20"/>
          <w:szCs w:val="20"/>
          <w:color w:val="auto"/>
        </w:rPr>
      </w:pPr>
      <w:r>
        <w:rPr>
          <w:rFonts w:ascii="Arial" w:cs="Arial" w:eastAsia="Arial" w:hAnsi="Arial"/>
          <w:sz w:val="19"/>
          <w:szCs w:val="19"/>
          <w:color w:val="auto"/>
        </w:rPr>
        <w:t>regulatory or law enforcement authorities, whether or not related to employment with the Company, after being instructed by the Company to cooperate; (ix) the willful destruction of or willful failure to preserve documents or other material known to be relevant</w:t>
      </w:r>
    </w:p>
    <w:p>
      <w:pPr>
        <w:spacing w:after="0" w:line="218" w:lineRule="auto"/>
        <w:rPr>
          <w:sz w:val="20"/>
          <w:szCs w:val="20"/>
          <w:color w:val="auto"/>
        </w:rPr>
      </w:pPr>
      <w:r>
        <w:rPr>
          <w:rFonts w:ascii="Arial" w:cs="Arial" w:eastAsia="Arial" w:hAnsi="Arial"/>
          <w:sz w:val="19"/>
          <w:szCs w:val="19"/>
          <w:color w:val="auto"/>
        </w:rPr>
        <w:t>to any investigation referred to in subparagraph (viii) above; or (x) the willful inducement of others to engage in the conduct</w:t>
      </w:r>
    </w:p>
    <w:p>
      <w:pPr>
        <w:ind w:right="20"/>
        <w:spacing w:after="0" w:line="232" w:lineRule="auto"/>
        <w:rPr>
          <w:sz w:val="20"/>
          <w:szCs w:val="20"/>
          <w:color w:val="auto"/>
        </w:rPr>
      </w:pPr>
      <w:r>
        <w:rPr>
          <w:rFonts w:ascii="Arial" w:cs="Arial" w:eastAsia="Arial" w:hAnsi="Arial"/>
          <w:sz w:val="19"/>
          <w:szCs w:val="19"/>
          <w:color w:val="auto"/>
        </w:rPr>
        <w:t>described in subparagraphs (i) – (ix), including, without limitation, with regard to subparagraph (vi), obligations of others to the Company.</w:t>
      </w:r>
    </w:p>
    <w:p>
      <w:pPr>
        <w:spacing w:after="0" w:line="156" w:lineRule="exact"/>
        <w:rPr>
          <w:sz w:val="20"/>
          <w:szCs w:val="20"/>
          <w:color w:val="auto"/>
        </w:rPr>
      </w:pPr>
    </w:p>
    <w:p>
      <w:pPr>
        <w:jc w:val="both"/>
        <w:ind w:firstLine="1278"/>
        <w:spacing w:after="0" w:line="215" w:lineRule="auto"/>
        <w:tabs>
          <w:tab w:leader="none" w:pos="1896" w:val="left"/>
        </w:tabs>
        <w:numPr>
          <w:ilvl w:val="1"/>
          <w:numId w:val="152"/>
        </w:numPr>
        <w:rPr>
          <w:rFonts w:ascii="Arial" w:cs="Arial" w:eastAsia="Arial" w:hAnsi="Arial"/>
          <w:sz w:val="19"/>
          <w:szCs w:val="19"/>
          <w:color w:val="auto"/>
        </w:rPr>
      </w:pPr>
      <w:r>
        <w:rPr>
          <w:rFonts w:ascii="Arial" w:cs="Arial" w:eastAsia="Arial" w:hAnsi="Arial"/>
          <w:sz w:val="19"/>
          <w:szCs w:val="19"/>
          <w:u w:val="single" w:color="auto"/>
          <w:color w:val="auto"/>
        </w:rPr>
        <w:t>Notice/Cure</w:t>
      </w:r>
      <w:r>
        <w:rPr>
          <w:rFonts w:ascii="Arial" w:cs="Arial" w:eastAsia="Arial" w:hAnsi="Arial"/>
          <w:sz w:val="19"/>
          <w:szCs w:val="19"/>
          <w:color w:val="auto"/>
        </w:rPr>
        <w:t>. The Company shall give you written notice prior to terminating your employment for Cause or, if no cure period is applicable, contemporaneous with termination of your employment for Cause, setting forth in reasonable detail the nature of any alleged failure, breach or refusal in reasonable detail and the conduct required to cure such breach, failure or refusal. Except for a failure, breach or refusal which, by its nature, cannot reasonably be expected to be cured, you shall have ten</w:t>
      </w:r>
    </w:p>
    <w:p>
      <w:pPr>
        <w:spacing w:after="0" w:line="3" w:lineRule="exact"/>
        <w:rPr>
          <w:rFonts w:ascii="Arial" w:cs="Arial" w:eastAsia="Arial" w:hAnsi="Arial"/>
          <w:sz w:val="19"/>
          <w:szCs w:val="19"/>
          <w:color w:val="auto"/>
        </w:rPr>
      </w:pPr>
    </w:p>
    <w:p>
      <w:pPr>
        <w:ind w:left="400" w:hanging="394"/>
        <w:spacing w:after="0" w:line="218" w:lineRule="auto"/>
        <w:tabs>
          <w:tab w:leader="none" w:pos="40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business days from the giving of such notice within which to cure; provided, however, that, if the Company reasonably expects</w:t>
      </w:r>
    </w:p>
    <w:p>
      <w:pPr>
        <w:spacing w:after="0" w:line="218" w:lineRule="auto"/>
        <w:rPr>
          <w:sz w:val="20"/>
          <w:szCs w:val="20"/>
          <w:color w:val="auto"/>
        </w:rPr>
      </w:pPr>
      <w:r>
        <w:rPr>
          <w:rFonts w:ascii="Arial" w:cs="Arial" w:eastAsia="Arial" w:hAnsi="Arial"/>
          <w:sz w:val="19"/>
          <w:szCs w:val="19"/>
          <w:color w:val="auto"/>
        </w:rPr>
        <w:t>irreparable injury from a delay of ten (10) business days, the Company may give you notice of such shorter period within which to</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cure as is reasonable under the circumstances, which may include the termination of your employment without notice and with immediate effect.</w:t>
      </w:r>
    </w:p>
    <w:p>
      <w:pPr>
        <w:spacing w:after="0" w:line="156" w:lineRule="exact"/>
        <w:rPr>
          <w:sz w:val="20"/>
          <w:szCs w:val="20"/>
          <w:color w:val="auto"/>
        </w:rPr>
      </w:pPr>
    </w:p>
    <w:p>
      <w:pPr>
        <w:ind w:left="1900" w:hanging="384"/>
        <w:spacing w:after="0"/>
        <w:tabs>
          <w:tab w:leader="none" w:pos="1900" w:val="left"/>
        </w:tabs>
        <w:numPr>
          <w:ilvl w:val="1"/>
          <w:numId w:val="154"/>
        </w:numPr>
        <w:rPr>
          <w:rFonts w:ascii="Arial" w:cs="Arial" w:eastAsia="Arial" w:hAnsi="Arial"/>
          <w:sz w:val="19"/>
          <w:szCs w:val="19"/>
          <w:color w:val="auto"/>
        </w:rPr>
      </w:pPr>
      <w:r>
        <w:rPr>
          <w:rFonts w:ascii="Arial" w:cs="Arial" w:eastAsia="Arial" w:hAnsi="Arial"/>
          <w:sz w:val="19"/>
          <w:szCs w:val="19"/>
          <w:u w:val="single" w:color="auto"/>
          <w:color w:val="auto"/>
        </w:rPr>
        <w:t>Resignation for Good Reason and Termination Without Cause</w:t>
      </w:r>
      <w:r>
        <w:rPr>
          <w:rFonts w:ascii="Arial" w:cs="Arial" w:eastAsia="Arial" w:hAnsi="Arial"/>
          <w:sz w:val="19"/>
          <w:szCs w:val="19"/>
          <w:color w:val="auto"/>
        </w:rPr>
        <w:t>.</w:t>
      </w:r>
    </w:p>
    <w:p>
      <w:pPr>
        <w:spacing w:after="0" w:line="192" w:lineRule="exact"/>
        <w:rPr>
          <w:rFonts w:ascii="Arial" w:cs="Arial" w:eastAsia="Arial" w:hAnsi="Arial"/>
          <w:sz w:val="19"/>
          <w:szCs w:val="19"/>
          <w:color w:val="auto"/>
        </w:rPr>
      </w:pPr>
    </w:p>
    <w:p>
      <w:pPr>
        <w:ind w:left="1920" w:hanging="642"/>
        <w:spacing w:after="0"/>
        <w:tabs>
          <w:tab w:leader="none" w:pos="1920" w:val="left"/>
        </w:tabs>
        <w:numPr>
          <w:ilvl w:val="0"/>
          <w:numId w:val="155"/>
        </w:numPr>
        <w:rPr>
          <w:rFonts w:ascii="Arial" w:cs="Arial" w:eastAsia="Arial" w:hAnsi="Arial"/>
          <w:sz w:val="19"/>
          <w:szCs w:val="19"/>
          <w:color w:val="auto"/>
        </w:rPr>
      </w:pPr>
      <w:r>
        <w:rPr>
          <w:rFonts w:ascii="Arial" w:cs="Arial" w:eastAsia="Arial" w:hAnsi="Arial"/>
          <w:sz w:val="19"/>
          <w:szCs w:val="19"/>
          <w:u w:val="single" w:color="auto"/>
          <w:color w:val="auto"/>
        </w:rPr>
        <w:t>Resignation for Good Reason</w:t>
      </w:r>
      <w:r>
        <w:rPr>
          <w:rFonts w:ascii="Arial" w:cs="Arial" w:eastAsia="Arial" w:hAnsi="Arial"/>
          <w:sz w:val="19"/>
          <w:szCs w:val="19"/>
          <w:color w:val="auto"/>
        </w:rPr>
        <w:t>.</w:t>
      </w:r>
    </w:p>
    <w:p>
      <w:pPr>
        <w:spacing w:after="0" w:line="179" w:lineRule="exact"/>
        <w:rPr>
          <w:sz w:val="20"/>
          <w:szCs w:val="20"/>
          <w:color w:val="auto"/>
        </w:rPr>
      </w:pPr>
    </w:p>
    <w:p>
      <w:pPr>
        <w:jc w:val="both"/>
        <w:ind w:left="1920" w:hanging="642"/>
        <w:spacing w:after="0" w:line="226" w:lineRule="auto"/>
        <w:tabs>
          <w:tab w:leader="none" w:pos="1907" w:val="left"/>
        </w:tabs>
        <w:numPr>
          <w:ilvl w:val="0"/>
          <w:numId w:val="156"/>
        </w:numPr>
        <w:rPr>
          <w:rFonts w:ascii="Arial" w:cs="Arial" w:eastAsia="Arial" w:hAnsi="Arial"/>
          <w:sz w:val="19"/>
          <w:szCs w:val="19"/>
          <w:color w:val="auto"/>
        </w:rPr>
      </w:pPr>
      <w:r>
        <w:rPr>
          <w:rFonts w:ascii="Arial" w:cs="Arial" w:eastAsia="Arial" w:hAnsi="Arial"/>
          <w:sz w:val="19"/>
          <w:szCs w:val="19"/>
          <w:color w:val="auto"/>
        </w:rPr>
        <w:t>You may resign for Good Reason at any time that you are actively employed during the Contract Period by written notice to the Company no more than thirty (30) days after the occurrence of the event constituting Good Reason. Such notice shall state the grounds for such Good Reason resignation and an effective date no earlier than thirty (30) business days after the date it is given. The Company shall have thirty (30) business days from the giving of such notice within which to cure and, in the event of such cure, your notice shall be of no further force or effect.</w:t>
      </w:r>
    </w:p>
    <w:p>
      <w:pPr>
        <w:spacing w:after="0" w:line="143" w:lineRule="exact"/>
        <w:rPr>
          <w:rFonts w:ascii="Arial" w:cs="Arial" w:eastAsia="Arial" w:hAnsi="Arial"/>
          <w:sz w:val="19"/>
          <w:szCs w:val="19"/>
          <w:color w:val="auto"/>
        </w:rPr>
      </w:pPr>
    </w:p>
    <w:p>
      <w:pPr>
        <w:jc w:val="both"/>
        <w:ind w:left="1920" w:hanging="642"/>
        <w:spacing w:after="0" w:line="226" w:lineRule="auto"/>
        <w:tabs>
          <w:tab w:leader="none" w:pos="191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shall mean without your consent (other than in connection with the termination or suspension of your employment or duties for Cause or in connection with your death or LTD): (i) the assignment to you of duties or responsibilities substantially inconsistent with your position(s) or duties; (ii) the withdrawal of material portions of your duties; (iii) relocation of your position outside the greater Los Angeles metropolitan area; (iv) a reduction in your Salary; or (v) the material breach by the Company of any material obligation under this Agreement.</w:t>
      </w:r>
    </w:p>
    <w:p>
      <w:pPr>
        <w:spacing w:after="0" w:line="144" w:lineRule="exact"/>
        <w:rPr>
          <w:sz w:val="20"/>
          <w:szCs w:val="20"/>
          <w:color w:val="auto"/>
        </w:rPr>
      </w:pPr>
    </w:p>
    <w:p>
      <w:pPr>
        <w:ind w:firstLine="1278"/>
        <w:spacing w:after="0" w:line="259" w:lineRule="auto"/>
        <w:tabs>
          <w:tab w:leader="none" w:pos="1907" w:val="left"/>
        </w:tabs>
        <w:numPr>
          <w:ilvl w:val="0"/>
          <w:numId w:val="157"/>
        </w:numPr>
        <w:rPr>
          <w:rFonts w:ascii="Arial" w:cs="Arial" w:eastAsia="Arial" w:hAnsi="Arial"/>
          <w:sz w:val="19"/>
          <w:szCs w:val="19"/>
          <w:color w:val="auto"/>
        </w:rPr>
      </w:pPr>
      <w:r>
        <w:rPr>
          <w:rFonts w:ascii="Arial" w:cs="Arial" w:eastAsia="Arial" w:hAnsi="Arial"/>
          <w:sz w:val="19"/>
          <w:szCs w:val="19"/>
          <w:u w:val="single" w:color="auto"/>
          <w:color w:val="auto"/>
        </w:rPr>
        <w:t>Termination Without Cause</w:t>
      </w:r>
      <w:r>
        <w:rPr>
          <w:rFonts w:ascii="Arial" w:cs="Arial" w:eastAsia="Arial" w:hAnsi="Arial"/>
          <w:sz w:val="19"/>
          <w:szCs w:val="19"/>
          <w:color w:val="auto"/>
        </w:rPr>
        <w:t>. The Company may terminate your employment under this Agreement without Cause at any time during the Contract Period by written notice to you.</w:t>
      </w:r>
    </w:p>
    <w:p>
      <w:pPr>
        <w:sectPr>
          <w:pgSz w:w="11900" w:h="16838" w:orient="portrait"/>
          <w:cols w:equalWidth="0" w:num="1">
            <w:col w:w="11240"/>
          </w:cols>
          <w:pgMar w:left="320" w:top="595" w:right="339" w:bottom="1440" w:gutter="0" w:footer="0" w:header="0"/>
        </w:sectPr>
      </w:pPr>
    </w:p>
    <w:bookmarkStart w:id="190" w:name="page191"/>
    <w:bookmarkEnd w:id="190"/>
    <w:p>
      <w:pPr>
        <w:spacing w:after="0"/>
        <w:rPr>
          <w:sz w:val="20"/>
          <w:szCs w:val="20"/>
          <w:color w:val="auto"/>
        </w:rPr>
      </w:pPr>
      <w:r>
        <w:rPr>
          <w:rFonts w:ascii="Arial" w:cs="Arial" w:eastAsia="Arial" w:hAnsi="Arial"/>
          <w:sz w:val="19"/>
          <w:szCs w:val="19"/>
          <w:color w:val="auto"/>
        </w:rPr>
        <w:t>Brian Robbins</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As of December 15, 2023</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Page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firstLine="1278"/>
        <w:spacing w:after="0" w:line="259" w:lineRule="auto"/>
        <w:tabs>
          <w:tab w:leader="none" w:pos="1896"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t>Termination Payments/Benefits</w:t>
      </w:r>
      <w:r>
        <w:rPr>
          <w:rFonts w:ascii="Arial" w:cs="Arial" w:eastAsia="Arial" w:hAnsi="Arial"/>
          <w:sz w:val="19"/>
          <w:szCs w:val="19"/>
          <w:color w:val="auto"/>
        </w:rPr>
        <w:t>. In the event that your employment terminates under paragraph 11(a) or (b), you shall thereafter receive the compensation and benefits described below and the following shall apply:</w:t>
      </w:r>
    </w:p>
    <w:p>
      <w:pPr>
        <w:spacing w:after="0" w:line="125" w:lineRule="exact"/>
        <w:rPr>
          <w:sz w:val="20"/>
          <w:szCs w:val="20"/>
          <w:color w:val="auto"/>
        </w:rPr>
      </w:pPr>
    </w:p>
    <w:p>
      <w:pPr>
        <w:jc w:val="both"/>
        <w:ind w:left="1920" w:hanging="642"/>
        <w:spacing w:after="0" w:line="239" w:lineRule="auto"/>
        <w:tabs>
          <w:tab w:leader="none" w:pos="1907" w:val="left"/>
        </w:tabs>
        <w:numPr>
          <w:ilvl w:val="0"/>
          <w:numId w:val="159"/>
        </w:numPr>
        <w:rPr>
          <w:rFonts w:ascii="Arial" w:cs="Arial" w:eastAsia="Arial" w:hAnsi="Arial"/>
          <w:sz w:val="19"/>
          <w:szCs w:val="19"/>
          <w:color w:val="auto"/>
        </w:rPr>
      </w:pPr>
      <w:r>
        <w:rPr>
          <w:rFonts w:ascii="Arial" w:cs="Arial" w:eastAsia="Arial" w:hAnsi="Arial"/>
          <w:sz w:val="19"/>
          <w:szCs w:val="19"/>
          <w:color w:val="auto"/>
        </w:rPr>
        <w:t>The Company shall continue to pay your Salary (at the rate in effect on the date of termination) at the same time and in the same manner as if you had not terminated employment for the longer of twelve (12) months or until the end of the Contract Period;;</w:t>
      </w:r>
    </w:p>
    <w:p>
      <w:pPr>
        <w:spacing w:after="0" w:line="142" w:lineRule="exact"/>
        <w:rPr>
          <w:rFonts w:ascii="Arial" w:cs="Arial" w:eastAsia="Arial" w:hAnsi="Arial"/>
          <w:sz w:val="19"/>
          <w:szCs w:val="19"/>
          <w:color w:val="auto"/>
        </w:rPr>
      </w:pPr>
    </w:p>
    <w:p>
      <w:pPr>
        <w:ind w:left="1920" w:hanging="642"/>
        <w:spacing w:after="0" w:line="259" w:lineRule="auto"/>
        <w:tabs>
          <w:tab w:leader="none" w:pos="191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You shall be eligible to receive a Bonus or Pro-Rated Bonus, as applicable, for each Company fiscal year or portion thereof during the Contract Period, calculated as provided in paragraph 19(e)(iii);</w:t>
      </w:r>
    </w:p>
    <w:p>
      <w:pPr>
        <w:spacing w:after="0" w:line="137" w:lineRule="exact"/>
        <w:rPr>
          <w:rFonts w:ascii="Arial" w:cs="Arial" w:eastAsia="Arial" w:hAnsi="Arial"/>
          <w:sz w:val="19"/>
          <w:szCs w:val="19"/>
          <w:color w:val="auto"/>
        </w:rPr>
      </w:pPr>
    </w:p>
    <w:p>
      <w:pPr>
        <w:jc w:val="both"/>
        <w:ind w:left="1920" w:hanging="642"/>
        <w:spacing w:after="0" w:line="234" w:lineRule="auto"/>
        <w:tabs>
          <w:tab w:leader="none" w:pos="1914" w:val="left"/>
        </w:tabs>
        <w:numPr>
          <w:ilvl w:val="0"/>
          <w:numId w:val="159"/>
        </w:numPr>
        <w:rPr>
          <w:rFonts w:ascii="Arial" w:cs="Arial" w:eastAsia="Arial" w:hAnsi="Arial"/>
          <w:sz w:val="19"/>
          <w:szCs w:val="19"/>
          <w:color w:val="auto"/>
        </w:rPr>
      </w:pPr>
      <w:r>
        <w:rPr>
          <w:rFonts w:ascii="Arial" w:cs="Arial" w:eastAsia="Arial" w:hAnsi="Arial"/>
          <w:sz w:val="19"/>
          <w:szCs w:val="19"/>
          <w:i w:val="1"/>
          <w:iCs w:val="1"/>
          <w:color w:val="auto"/>
        </w:rPr>
        <w:t>Provided, however</w:t>
      </w:r>
      <w:r>
        <w:rPr>
          <w:rFonts w:ascii="Arial" w:cs="Arial" w:eastAsia="Arial" w:hAnsi="Arial"/>
          <w:sz w:val="19"/>
          <w:szCs w:val="19"/>
          <w:color w:val="auto"/>
        </w:rPr>
        <w:t>, that the total severance payment you receive pursuant to paragraphs 11(c)(i) and (ii)</w:t>
      </w:r>
      <w:r>
        <w:rPr>
          <w:rFonts w:ascii="Arial" w:cs="Arial" w:eastAsia="Arial" w:hAnsi="Arial"/>
          <w:sz w:val="19"/>
          <w:szCs w:val="19"/>
          <w:i w:val="1"/>
          <w:iCs w:val="1"/>
          <w:color w:val="auto"/>
        </w:rPr>
        <w:t xml:space="preserve"> </w:t>
      </w:r>
      <w:r>
        <w:rPr>
          <w:rFonts w:ascii="Arial" w:cs="Arial" w:eastAsia="Arial" w:hAnsi="Arial"/>
          <w:sz w:val="19"/>
          <w:szCs w:val="19"/>
          <w:color w:val="auto"/>
        </w:rPr>
        <w:t>shall in no event exceed two times the sum of your Salary and Target Bonus in the fiscal year in which such termination occurs;</w:t>
      </w:r>
    </w:p>
    <w:p>
      <w:pPr>
        <w:spacing w:after="0" w:line="155" w:lineRule="exact"/>
        <w:rPr>
          <w:rFonts w:ascii="Arial" w:cs="Arial" w:eastAsia="Arial" w:hAnsi="Arial"/>
          <w:sz w:val="19"/>
          <w:szCs w:val="19"/>
          <w:color w:val="auto"/>
        </w:rPr>
      </w:pPr>
    </w:p>
    <w:p>
      <w:pPr>
        <w:jc w:val="both"/>
        <w:ind w:left="1920" w:hanging="642"/>
        <w:spacing w:after="0" w:line="217" w:lineRule="auto"/>
        <w:tabs>
          <w:tab w:leader="none" w:pos="1911" w:val="left"/>
        </w:tabs>
        <w:numPr>
          <w:ilvl w:val="0"/>
          <w:numId w:val="159"/>
        </w:numPr>
        <w:rPr>
          <w:rFonts w:ascii="Arial" w:cs="Arial" w:eastAsia="Arial" w:hAnsi="Arial"/>
          <w:sz w:val="19"/>
          <w:szCs w:val="19"/>
          <w:color w:val="auto"/>
        </w:rPr>
      </w:pPr>
      <w:r>
        <w:rPr>
          <w:rFonts w:ascii="Arial" w:cs="Arial" w:eastAsia="Arial" w:hAnsi="Arial"/>
          <w:sz w:val="19"/>
          <w:szCs w:val="19"/>
          <w:color w:val="auto"/>
        </w:rPr>
        <w:t>Provided you validly elect continuation of your medical and dental coverage under Section 4980B(f) of the Internal Revenue Code of 1986 (the “Code”) (relating to coverage under the Consolidated Omnibus Budget Reconciliation Act of 1985 (“COBRA”)), your coverage and participation under the Company’s medical and dental benefit plans and programs in which you were participating immediately prior to your termination of employment pursuant to this paragraph 11, shall continue at no cost to you (except as set forth below) until the earlier of (i) the end of the Contract Period, but in no event less than twelve (12) months after the termination of your employment, or (ii) the date on which you become eligible for medical and/or dental coverage from another employer; provided, that, during the period that the Company provides you with this coverage, an amount equal to the total applicable COBRA cost (or such other amounts as may be required by law) may be included in your income for tax purposes and the Company may withhold taxes from your termination payments for this purpose, to the extent such inclusion is required by applicable tax law; and provided, further, that you may elect to continue your medical and dental coverage under COBRA at your own expense for the balance, if any, of the period required by law;</w:t>
      </w:r>
    </w:p>
    <w:p>
      <w:pPr>
        <w:spacing w:after="0" w:line="161" w:lineRule="exact"/>
        <w:rPr>
          <w:rFonts w:ascii="Arial" w:cs="Arial" w:eastAsia="Arial" w:hAnsi="Arial"/>
          <w:sz w:val="19"/>
          <w:szCs w:val="19"/>
          <w:color w:val="auto"/>
        </w:rPr>
      </w:pPr>
    </w:p>
    <w:p>
      <w:pPr>
        <w:jc w:val="both"/>
        <w:ind w:left="1920" w:hanging="642"/>
        <w:spacing w:after="0" w:line="223" w:lineRule="auto"/>
        <w:tabs>
          <w:tab w:leader="none" w:pos="1908" w:val="left"/>
        </w:tabs>
        <w:numPr>
          <w:ilvl w:val="0"/>
          <w:numId w:val="159"/>
        </w:numPr>
        <w:rPr>
          <w:rFonts w:ascii="Arial" w:cs="Arial" w:eastAsia="Arial" w:hAnsi="Arial"/>
          <w:sz w:val="19"/>
          <w:szCs w:val="19"/>
          <w:color w:val="auto"/>
        </w:rPr>
      </w:pPr>
      <w:r>
        <w:rPr>
          <w:rFonts w:ascii="Arial" w:cs="Arial" w:eastAsia="Arial" w:hAnsi="Arial"/>
          <w:sz w:val="19"/>
          <w:szCs w:val="19"/>
          <w:color w:val="auto"/>
        </w:rPr>
        <w:t>The Company shall continue to provide you with life insurance coverage, at no premium cost to you (unless you had no coverage at the time of termination), until the end of the Contract Period or, if longer, the end of the period in which you are receiving payments pursuant to paragraph 11(c)(i), in accordance with the Company’s then-current policy, as may be amended from time to time, and in the amount then furnished at no cost to other Company executives at comparable levels. Such coverage shall end in the event you are eligible to obtain life insurance coverage from another employer;</w:t>
      </w:r>
    </w:p>
    <w:p>
      <w:pPr>
        <w:spacing w:after="0" w:line="173" w:lineRule="exact"/>
        <w:rPr>
          <w:rFonts w:ascii="Arial" w:cs="Arial" w:eastAsia="Arial" w:hAnsi="Arial"/>
          <w:sz w:val="19"/>
          <w:szCs w:val="19"/>
          <w:color w:val="auto"/>
        </w:rPr>
      </w:pPr>
    </w:p>
    <w:p>
      <w:pPr>
        <w:ind w:left="1920" w:hanging="642"/>
        <w:spacing w:after="0" w:line="302" w:lineRule="auto"/>
        <w:tabs>
          <w:tab w:leader="none" w:pos="1911" w:val="left"/>
        </w:tabs>
        <w:numPr>
          <w:ilvl w:val="0"/>
          <w:numId w:val="159"/>
        </w:numPr>
        <w:rPr>
          <w:rFonts w:ascii="Arial" w:cs="Arial" w:eastAsia="Arial" w:hAnsi="Arial"/>
          <w:sz w:val="19"/>
          <w:szCs w:val="19"/>
          <w:color w:val="auto"/>
        </w:rPr>
      </w:pPr>
      <w:r>
        <w:rPr>
          <w:rFonts w:ascii="Arial" w:cs="Arial" w:eastAsia="Arial" w:hAnsi="Arial"/>
          <w:sz w:val="19"/>
          <w:szCs w:val="19"/>
          <w:color w:val="auto"/>
        </w:rPr>
        <w:t>With respect to any stock options granted to you under any of the Company’s long-term incentive plans in effect from time to time:</w:t>
      </w:r>
    </w:p>
    <w:p>
      <w:pPr>
        <w:sectPr>
          <w:pgSz w:w="11900" w:h="16838" w:orient="portrait"/>
          <w:cols w:equalWidth="0" w:num="1">
            <w:col w:w="11240"/>
          </w:cols>
          <w:pgMar w:left="320" w:top="595" w:right="339" w:bottom="1440" w:gutter="0" w:footer="0" w:header="0"/>
        </w:sectPr>
      </w:pPr>
    </w:p>
    <w:bookmarkStart w:id="191" w:name="page192"/>
    <w:bookmarkEnd w:id="191"/>
    <w:p>
      <w:pPr>
        <w:spacing w:after="0"/>
        <w:rPr>
          <w:sz w:val="20"/>
          <w:szCs w:val="20"/>
          <w:color w:val="auto"/>
        </w:rPr>
      </w:pPr>
      <w:r>
        <w:rPr>
          <w:rFonts w:ascii="Arial" w:cs="Arial" w:eastAsia="Arial" w:hAnsi="Arial"/>
          <w:sz w:val="19"/>
          <w:szCs w:val="19"/>
          <w:color w:val="auto"/>
        </w:rPr>
        <w:t>Brian Robbins</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As of December 15, 2023</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Page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1920" w:hanging="6"/>
        <w:spacing w:after="0" w:line="223" w:lineRule="auto"/>
        <w:tabs>
          <w:tab w:leader="none" w:pos="2481" w:val="left"/>
        </w:tabs>
        <w:numPr>
          <w:ilvl w:val="1"/>
          <w:numId w:val="160"/>
        </w:numPr>
        <w:rPr>
          <w:rFonts w:ascii="Arial" w:cs="Arial" w:eastAsia="Arial" w:hAnsi="Arial"/>
          <w:sz w:val="19"/>
          <w:szCs w:val="19"/>
          <w:i w:val="1"/>
          <w:iCs w:val="1"/>
          <w:color w:val="auto"/>
        </w:rPr>
      </w:pPr>
      <w:r>
        <w:rPr>
          <w:rFonts w:ascii="Arial" w:cs="Arial" w:eastAsia="Arial" w:hAnsi="Arial"/>
          <w:sz w:val="19"/>
          <w:szCs w:val="19"/>
          <w:color w:val="auto"/>
        </w:rPr>
        <w:t>all stock options that have not vested as of the termination of your employment (your “Separation Date”), but that would have vested on or before the end of the Contract Period or, if longer, twelve (12) months following your Separation Date, shall become fully vested on the later of your Separation Date or upon receipt of a Release executed by you, and such stock options shall remain exercisable for six (6) months after your Separation Date (or if longer, such period provided under the terms of the applicable long-term incentive plan and/or the award agreements evidencing such stock options), but in no event later than the expiration date of such options; and</w:t>
      </w:r>
    </w:p>
    <w:p>
      <w:pPr>
        <w:spacing w:after="0" w:line="155" w:lineRule="exact"/>
        <w:rPr>
          <w:rFonts w:ascii="Arial" w:cs="Arial" w:eastAsia="Arial" w:hAnsi="Arial"/>
          <w:sz w:val="19"/>
          <w:szCs w:val="19"/>
          <w:i w:val="1"/>
          <w:iCs w:val="1"/>
          <w:color w:val="auto"/>
        </w:rPr>
      </w:pPr>
    </w:p>
    <w:p>
      <w:pPr>
        <w:jc w:val="both"/>
        <w:ind w:left="1920" w:hanging="6"/>
        <w:spacing w:after="0" w:line="230" w:lineRule="auto"/>
        <w:tabs>
          <w:tab w:leader="none" w:pos="2534" w:val="left"/>
        </w:tabs>
        <w:numPr>
          <w:ilvl w:val="1"/>
          <w:numId w:val="160"/>
        </w:numPr>
        <w:rPr>
          <w:rFonts w:ascii="Arial" w:cs="Arial" w:eastAsia="Arial" w:hAnsi="Arial"/>
          <w:sz w:val="19"/>
          <w:szCs w:val="19"/>
          <w:i w:val="1"/>
          <w:iCs w:val="1"/>
          <w:color w:val="auto"/>
        </w:rPr>
      </w:pPr>
      <w:r>
        <w:rPr>
          <w:rFonts w:ascii="Arial" w:cs="Arial" w:eastAsia="Arial" w:hAnsi="Arial"/>
          <w:sz w:val="19"/>
          <w:szCs w:val="19"/>
          <w:color w:val="auto"/>
        </w:rPr>
        <w:t>all outstanding stock options that have vested on or prior to your Separation Date shall remain exercisable for six (6) months after such date (or if longer, such period provided under the terms of the applicable long-term incentive plan and/or the award agreements evidencing such stock options), but in no event later than the expiration date of such options.</w:t>
      </w:r>
    </w:p>
    <w:p>
      <w:pPr>
        <w:spacing w:after="0" w:line="142" w:lineRule="exact"/>
        <w:rPr>
          <w:rFonts w:ascii="Arial" w:cs="Arial" w:eastAsia="Arial" w:hAnsi="Arial"/>
          <w:sz w:val="19"/>
          <w:szCs w:val="19"/>
          <w:i w:val="1"/>
          <w:iCs w:val="1"/>
          <w:color w:val="auto"/>
        </w:rPr>
      </w:pPr>
    </w:p>
    <w:p>
      <w:pPr>
        <w:jc w:val="both"/>
        <w:ind w:left="1920" w:hanging="642"/>
        <w:spacing w:after="0" w:line="220" w:lineRule="auto"/>
        <w:tabs>
          <w:tab w:leader="none" w:pos="1915" w:val="left"/>
        </w:tabs>
        <w:numPr>
          <w:ilvl w:val="0"/>
          <w:numId w:val="161"/>
        </w:numPr>
        <w:rPr>
          <w:rFonts w:ascii="Arial" w:cs="Arial" w:eastAsia="Arial" w:hAnsi="Arial"/>
          <w:sz w:val="19"/>
          <w:szCs w:val="19"/>
          <w:color w:val="auto"/>
        </w:rPr>
      </w:pPr>
      <w:r>
        <w:rPr>
          <w:rFonts w:ascii="Arial" w:cs="Arial" w:eastAsia="Arial" w:hAnsi="Arial"/>
          <w:sz w:val="19"/>
          <w:szCs w:val="19"/>
          <w:color w:val="auto"/>
        </w:rPr>
        <w:t>All restricted share units, performance share units and/or restricted shares granted to you under any of the Company’s long-term incentive plans in effect from time to time that have not vested as of your Separation Date, but that would have vested on or before the end of the Contract Period or, if longer, twelve (12) months following your Separation Date, shall become fully vested on the later of your Separation Date or upon receipt of a Release executed by you and be settled within ten (10) business days thereafter; provided, that if any such award (or portion of an award) remains subject to performance-based vesting conditions as of the Separation Date, then except as otherwise expressly provided by the terms of such award, the award shall be deemed to have been earned at the target level of performance and such award shall fully vest on the later of your Separation Date or upon receipt of a Release executed by you and be settled within ten (10) business days thereafter.</w:t>
      </w:r>
    </w:p>
    <w:p>
      <w:pPr>
        <w:spacing w:after="0" w:line="156" w:lineRule="exact"/>
        <w:rPr>
          <w:rFonts w:ascii="Arial" w:cs="Arial" w:eastAsia="Arial" w:hAnsi="Arial"/>
          <w:sz w:val="19"/>
          <w:szCs w:val="19"/>
          <w:color w:val="auto"/>
        </w:rPr>
      </w:pPr>
    </w:p>
    <w:p>
      <w:pPr>
        <w:ind w:left="1920" w:hanging="642"/>
        <w:spacing w:after="0"/>
        <w:tabs>
          <w:tab w:leader="none" w:pos="192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The Company shall pay or continue to provide, as applicable, the Accrued Compensation and Benefits.</w:t>
      </w:r>
    </w:p>
    <w:p>
      <w:pPr>
        <w:spacing w:after="0" w:line="179" w:lineRule="exact"/>
        <w:rPr>
          <w:sz w:val="20"/>
          <w:szCs w:val="20"/>
          <w:color w:val="auto"/>
        </w:rPr>
      </w:pPr>
    </w:p>
    <w:p>
      <w:pPr>
        <w:jc w:val="both"/>
        <w:ind w:firstLine="1278"/>
        <w:spacing w:after="0" w:line="222" w:lineRule="auto"/>
        <w:tabs>
          <w:tab w:leader="none" w:pos="1907" w:val="left"/>
        </w:tabs>
        <w:numPr>
          <w:ilvl w:val="0"/>
          <w:numId w:val="162"/>
        </w:numPr>
        <w:rPr>
          <w:rFonts w:ascii="Arial" w:cs="Arial" w:eastAsia="Arial" w:hAnsi="Arial"/>
          <w:sz w:val="19"/>
          <w:szCs w:val="19"/>
          <w:color w:val="auto"/>
        </w:rPr>
      </w:pPr>
      <w:r>
        <w:rPr>
          <w:rFonts w:ascii="Arial" w:cs="Arial" w:eastAsia="Arial" w:hAnsi="Arial"/>
          <w:sz w:val="19"/>
          <w:szCs w:val="19"/>
          <w:u w:val="single" w:color="auto"/>
          <w:color w:val="auto"/>
        </w:rPr>
        <w:t>Release</w:t>
      </w:r>
      <w:r>
        <w:rPr>
          <w:rFonts w:ascii="Arial" w:cs="Arial" w:eastAsia="Arial" w:hAnsi="Arial"/>
          <w:sz w:val="19"/>
          <w:szCs w:val="19"/>
          <w:color w:val="auto"/>
        </w:rPr>
        <w:t>. Your entitlement to the payments and benefits described in this paragraph 11 is conditioned on your execution and delivery to the Company, within sixty (60) days after your termination of employment (the “</w:t>
      </w:r>
      <w:r>
        <w:rPr>
          <w:rFonts w:ascii="Arial" w:cs="Arial" w:eastAsia="Arial" w:hAnsi="Arial"/>
          <w:sz w:val="19"/>
          <w:szCs w:val="19"/>
          <w:u w:val="single" w:color="auto"/>
          <w:color w:val="auto"/>
        </w:rPr>
        <w:t>Release Deadline</w:t>
      </w:r>
      <w:r>
        <w:rPr>
          <w:rFonts w:ascii="Arial" w:cs="Arial" w:eastAsia="Arial" w:hAnsi="Arial"/>
          <w:sz w:val="19"/>
          <w:szCs w:val="19"/>
          <w:color w:val="auto"/>
        </w:rPr>
        <w:t>”), of a release in substantially the form appended hereto as Appendix A that remains in effect and becomes irrevocable after the expiration of any statutory period in which you are permitted to revoke a release (the “</w:t>
      </w:r>
      <w:r>
        <w:rPr>
          <w:rFonts w:ascii="Arial" w:cs="Arial" w:eastAsia="Arial" w:hAnsi="Arial"/>
          <w:sz w:val="19"/>
          <w:szCs w:val="19"/>
          <w:u w:val="single" w:color="auto"/>
          <w:color w:val="auto"/>
        </w:rPr>
        <w:t>Release</w:t>
      </w:r>
      <w:r>
        <w:rPr>
          <w:rFonts w:ascii="Arial" w:cs="Arial" w:eastAsia="Arial" w:hAnsi="Arial"/>
          <w:sz w:val="19"/>
          <w:szCs w:val="19"/>
          <w:color w:val="auto"/>
        </w:rPr>
        <w:t>”). If you fail to execute and deliver the Release by the Release Deadline, or if you thereafter effectively revoke the Release, the Company shall be under no obligation to make any further payments or provide any further benefits to you and any payments and benefits previously provided to you pursuant to this paragraph 11 shall not have been earned. In such event, you shall promptly repay the Company any payments made and the Company’s direct cost for any benefits provided to you pursuant to this paragraph 11. The limitations of this paragraph shall not apply to the Accrued Compensation and Benefits.</w:t>
      </w:r>
    </w:p>
    <w:p>
      <w:pPr>
        <w:sectPr>
          <w:pgSz w:w="11900" w:h="16838" w:orient="portrait"/>
          <w:cols w:equalWidth="0" w:num="1">
            <w:col w:w="11240"/>
          </w:cols>
          <w:pgMar w:left="320" w:top="595" w:right="339" w:bottom="1440" w:gutter="0" w:footer="0" w:header="0"/>
        </w:sectPr>
      </w:pPr>
    </w:p>
    <w:bookmarkStart w:id="192" w:name="page193"/>
    <w:bookmarkEnd w:id="192"/>
    <w:p>
      <w:pPr>
        <w:spacing w:after="0"/>
        <w:rPr>
          <w:sz w:val="20"/>
          <w:szCs w:val="20"/>
          <w:color w:val="auto"/>
        </w:rPr>
      </w:pPr>
      <w:r>
        <w:rPr>
          <w:rFonts w:ascii="Arial" w:cs="Arial" w:eastAsia="Arial" w:hAnsi="Arial"/>
          <w:sz w:val="19"/>
          <w:szCs w:val="19"/>
          <w:color w:val="auto"/>
        </w:rPr>
        <w:t>Brian Robbins</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As of December 15, 2023</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Page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firstLine="1278"/>
        <w:spacing w:after="0" w:line="220" w:lineRule="auto"/>
        <w:tabs>
          <w:tab w:leader="none" w:pos="1907" w:val="left"/>
        </w:tabs>
        <w:numPr>
          <w:ilvl w:val="0"/>
          <w:numId w:val="163"/>
        </w:numPr>
        <w:rPr>
          <w:rFonts w:ascii="Arial" w:cs="Arial" w:eastAsia="Arial" w:hAnsi="Arial"/>
          <w:sz w:val="19"/>
          <w:szCs w:val="19"/>
          <w:color w:val="auto"/>
        </w:rPr>
      </w:pPr>
      <w:r>
        <w:rPr>
          <w:rFonts w:ascii="Arial" w:cs="Arial" w:eastAsia="Arial" w:hAnsi="Arial"/>
          <w:sz w:val="19"/>
          <w:szCs w:val="19"/>
          <w:u w:val="single" w:color="auto"/>
          <w:color w:val="auto"/>
        </w:rPr>
        <w:t>Offset</w:t>
      </w:r>
      <w:r>
        <w:rPr>
          <w:rFonts w:ascii="Arial" w:cs="Arial" w:eastAsia="Arial" w:hAnsi="Arial"/>
          <w:sz w:val="19"/>
          <w:szCs w:val="19"/>
          <w:color w:val="auto"/>
        </w:rPr>
        <w:t>. The amount of payments provided in paragraph 11 in respect of the period that begins six (6) months after the termination of your employment shall be reduced by any compensation for services earned by you (including as an independent consultant or independent contractor) from any source in respect of the period that begins six (6) months after the termination of your employment and ends when the Company is no longer required to make payments pursuant to paragraph 11 (the “</w:t>
      </w:r>
      <w:r>
        <w:rPr>
          <w:rFonts w:ascii="Arial" w:cs="Arial" w:eastAsia="Arial" w:hAnsi="Arial"/>
          <w:sz w:val="19"/>
          <w:szCs w:val="19"/>
          <w:u w:val="single" w:color="auto"/>
          <w:color w:val="auto"/>
        </w:rPr>
        <w:t>Offset Period</w:t>
      </w:r>
      <w:r>
        <w:rPr>
          <w:rFonts w:ascii="Arial" w:cs="Arial" w:eastAsia="Arial" w:hAnsi="Arial"/>
          <w:sz w:val="19"/>
          <w:szCs w:val="19"/>
          <w:color w:val="auto"/>
        </w:rPr>
        <w:t>”), including, without limitation, salary, sign-on or annual bonus, consulting fees, commission payments and any amounts the payment of which is deferred at your election, or with your consent, until after the expiration of the Offset Period; provided that, if the Company in its reasonable discretion determines that any grant of long-term compensation is made in substitution of the aforementioned payments, such payments shall be further reduced by the value on the date of grant, as reasonably determined by the Company, of such long-term compensation you receive. You agree to promptly notify the Company of any arrangements during the Offset Period in which you earn compensation for services and to cooperate fully with the Company in determining the amount of any such reduction.</w:t>
      </w:r>
    </w:p>
    <w:p>
      <w:pPr>
        <w:spacing w:after="0" w:line="142" w:lineRule="exact"/>
        <w:rPr>
          <w:rFonts w:ascii="Arial" w:cs="Arial" w:eastAsia="Arial" w:hAnsi="Arial"/>
          <w:sz w:val="19"/>
          <w:szCs w:val="19"/>
          <w:color w:val="auto"/>
        </w:rPr>
      </w:pPr>
    </w:p>
    <w:p>
      <w:pPr>
        <w:jc w:val="both"/>
        <w:ind w:firstLine="1516"/>
        <w:spacing w:after="0" w:line="230" w:lineRule="auto"/>
        <w:tabs>
          <w:tab w:leader="none" w:pos="1900" w:val="left"/>
        </w:tabs>
        <w:numPr>
          <w:ilvl w:val="1"/>
          <w:numId w:val="163"/>
        </w:numPr>
        <w:rPr>
          <w:rFonts w:ascii="Arial" w:cs="Arial" w:eastAsia="Arial" w:hAnsi="Arial"/>
          <w:sz w:val="19"/>
          <w:szCs w:val="19"/>
          <w:color w:val="auto"/>
        </w:rPr>
      </w:pPr>
      <w:r>
        <w:rPr>
          <w:rFonts w:ascii="Arial" w:cs="Arial" w:eastAsia="Arial" w:hAnsi="Arial"/>
          <w:sz w:val="19"/>
          <w:szCs w:val="19"/>
          <w:u w:val="single" w:color="auto"/>
          <w:color w:val="auto"/>
        </w:rPr>
        <w:t>Resignation in Breach of the Agreement</w:t>
      </w:r>
      <w:r>
        <w:rPr>
          <w:rFonts w:ascii="Arial" w:cs="Arial" w:eastAsia="Arial" w:hAnsi="Arial"/>
          <w:sz w:val="19"/>
          <w:szCs w:val="19"/>
          <w:color w:val="auto"/>
        </w:rPr>
        <w:t>. If you resign prior to the expiration of the Contract Period other than for Good Reason, such resignation is a material breach of this Agreement and, without limitation of other rights or remedies available to the Company, the Company shall have no further obligations to you under this Agreement or otherwise, except to make termination payments provided in paragraph 10(a).</w:t>
      </w:r>
    </w:p>
    <w:p>
      <w:pPr>
        <w:spacing w:after="0" w:line="156" w:lineRule="exact"/>
        <w:rPr>
          <w:rFonts w:ascii="Arial" w:cs="Arial" w:eastAsia="Arial" w:hAnsi="Arial"/>
          <w:sz w:val="19"/>
          <w:szCs w:val="19"/>
          <w:color w:val="auto"/>
        </w:rPr>
      </w:pPr>
    </w:p>
    <w:p>
      <w:pPr>
        <w:ind w:left="1900" w:hanging="384"/>
        <w:spacing w:after="0"/>
        <w:tabs>
          <w:tab w:leader="none" w:pos="1900" w:val="left"/>
        </w:tabs>
        <w:numPr>
          <w:ilvl w:val="1"/>
          <w:numId w:val="163"/>
        </w:numPr>
        <w:rPr>
          <w:rFonts w:ascii="Arial" w:cs="Arial" w:eastAsia="Arial" w:hAnsi="Arial"/>
          <w:sz w:val="19"/>
          <w:szCs w:val="19"/>
          <w:color w:val="auto"/>
        </w:rPr>
      </w:pPr>
      <w:r>
        <w:rPr>
          <w:rFonts w:ascii="Arial" w:cs="Arial" w:eastAsia="Arial" w:hAnsi="Arial"/>
          <w:sz w:val="19"/>
          <w:szCs w:val="19"/>
          <w:u w:val="single" w:color="auto"/>
          <w:color w:val="auto"/>
        </w:rPr>
        <w:t>Termination Due to Death.</w:t>
      </w:r>
    </w:p>
    <w:p>
      <w:pPr>
        <w:spacing w:after="0" w:line="179" w:lineRule="exact"/>
        <w:rPr>
          <w:sz w:val="20"/>
          <w:szCs w:val="20"/>
          <w:color w:val="auto"/>
        </w:rPr>
      </w:pPr>
    </w:p>
    <w:p>
      <w:pPr>
        <w:jc w:val="both"/>
        <w:ind w:firstLine="1278"/>
        <w:spacing w:after="0" w:line="213" w:lineRule="auto"/>
        <w:tabs>
          <w:tab w:leader="none" w:pos="1907" w:val="left"/>
        </w:tabs>
        <w:numPr>
          <w:ilvl w:val="0"/>
          <w:numId w:val="164"/>
        </w:numPr>
        <w:rPr>
          <w:rFonts w:ascii="Arial" w:cs="Arial" w:eastAsia="Arial" w:hAnsi="Arial"/>
          <w:sz w:val="19"/>
          <w:szCs w:val="19"/>
          <w:color w:val="auto"/>
        </w:rPr>
      </w:pPr>
      <w:r>
        <w:rPr>
          <w:rFonts w:ascii="Arial" w:cs="Arial" w:eastAsia="Arial" w:hAnsi="Arial"/>
          <w:sz w:val="19"/>
          <w:szCs w:val="19"/>
          <w:u w:val="single" w:color="auto"/>
          <w:color w:val="auto"/>
        </w:rPr>
        <w:t>Death While Employed</w:t>
      </w:r>
      <w:r>
        <w:rPr>
          <w:rFonts w:ascii="Arial" w:cs="Arial" w:eastAsia="Arial" w:hAnsi="Arial"/>
          <w:sz w:val="19"/>
          <w:szCs w:val="19"/>
          <w:color w:val="auto"/>
        </w:rPr>
        <w:t>. In the event of your death prior to the end of the Contract Period while actively employed with the Company, this Agreement shall automatically terminate. Thereafter, your designated beneficiary (or, if there is no such beneficiary, your estate) shall receive (i) any Accrued Compensation and Benefits as of the date of your death and (ii) for the year in which death occurs, any Bonus or Pro-Rated Bonus, as applicable, which you would have been eligible to receive, calculated in accordance with paragraph 19(e)(iii). In no event shall a distribution be made pursuant to clause (i) in the preceding sentence later than the 60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following your death and a distribution pursuant to clause (ii) in the preceding sentence shall be made at the same time and in the same manner as if you were still actively employed with the Company.</w:t>
      </w:r>
    </w:p>
    <w:p>
      <w:pPr>
        <w:spacing w:after="0" w:line="158" w:lineRule="exact"/>
        <w:rPr>
          <w:rFonts w:ascii="Arial" w:cs="Arial" w:eastAsia="Arial" w:hAnsi="Arial"/>
          <w:sz w:val="19"/>
          <w:szCs w:val="19"/>
          <w:color w:val="auto"/>
        </w:rPr>
      </w:pPr>
    </w:p>
    <w:p>
      <w:pPr>
        <w:jc w:val="both"/>
        <w:ind w:firstLine="1278"/>
        <w:spacing w:after="0" w:line="227" w:lineRule="auto"/>
        <w:tabs>
          <w:tab w:leader="none" w:pos="1907" w:val="left"/>
        </w:tabs>
        <w:numPr>
          <w:ilvl w:val="0"/>
          <w:numId w:val="164"/>
        </w:numPr>
        <w:rPr>
          <w:rFonts w:ascii="Arial" w:cs="Arial" w:eastAsia="Arial" w:hAnsi="Arial"/>
          <w:sz w:val="19"/>
          <w:szCs w:val="19"/>
          <w:color w:val="auto"/>
        </w:rPr>
      </w:pPr>
      <w:r>
        <w:rPr>
          <w:rFonts w:ascii="Arial" w:cs="Arial" w:eastAsia="Arial" w:hAnsi="Arial"/>
          <w:sz w:val="19"/>
          <w:szCs w:val="19"/>
          <w:u w:val="single" w:color="auto"/>
          <w:color w:val="auto"/>
        </w:rPr>
        <w:t>Death After the End of Employment</w:t>
      </w:r>
      <w:r>
        <w:rPr>
          <w:rFonts w:ascii="Arial" w:cs="Arial" w:eastAsia="Arial" w:hAnsi="Arial"/>
          <w:sz w:val="19"/>
          <w:szCs w:val="19"/>
          <w:color w:val="auto"/>
        </w:rPr>
        <w:t>. In the event of your death while you are entitled to receive compensation or benefits under paragraphs 11, your designated beneficiary (or, if there is no such beneficiary, your estate) shall receive, to the extent not previously paid to you, the compensation and benefits due to you under paragraph 11. The remaining cash severance amounts described in paragraphs 11(c)(i) and (ii) shall be paid to your estate in a lump sum within sixty (60) calendar days following your date of death.</w:t>
      </w:r>
    </w:p>
    <w:p>
      <w:pPr>
        <w:spacing w:after="0" w:line="145" w:lineRule="exact"/>
        <w:rPr>
          <w:rFonts w:ascii="Arial" w:cs="Arial" w:eastAsia="Arial" w:hAnsi="Arial"/>
          <w:sz w:val="19"/>
          <w:szCs w:val="19"/>
          <w:color w:val="auto"/>
        </w:rPr>
      </w:pPr>
    </w:p>
    <w:p>
      <w:pPr>
        <w:jc w:val="both"/>
        <w:ind w:firstLine="1516"/>
        <w:spacing w:after="0" w:line="226" w:lineRule="auto"/>
        <w:tabs>
          <w:tab w:leader="none" w:pos="1900" w:val="left"/>
        </w:tabs>
        <w:numPr>
          <w:ilvl w:val="1"/>
          <w:numId w:val="164"/>
        </w:numPr>
        <w:rPr>
          <w:rFonts w:ascii="Arial" w:cs="Arial" w:eastAsia="Arial" w:hAnsi="Arial"/>
          <w:sz w:val="19"/>
          <w:szCs w:val="19"/>
          <w:color w:val="auto"/>
        </w:rPr>
      </w:pPr>
      <w:r>
        <w:rPr>
          <w:rFonts w:ascii="Arial" w:cs="Arial" w:eastAsia="Arial" w:hAnsi="Arial"/>
          <w:sz w:val="19"/>
          <w:szCs w:val="19"/>
          <w:u w:val="single" w:color="auto"/>
          <w:color w:val="auto"/>
        </w:rPr>
        <w:t>Long Term Disability</w:t>
      </w:r>
      <w:r>
        <w:rPr>
          <w:rFonts w:ascii="Arial" w:cs="Arial" w:eastAsia="Arial" w:hAnsi="Arial"/>
          <w:sz w:val="19"/>
          <w:szCs w:val="19"/>
          <w:color w:val="auto"/>
        </w:rPr>
        <w:t>. In the event you are absent due to a LTD and you are receiving compensation under a Company LTD plan, then, effective on the date you begin receiving compensation under such plan, (i) this Agreement shall terminate without any further action required by the Company, (ii) you shall be considered an “at-will” employee of the Company, and (iii) you shall have no guarantee of specific future employment nor continuing employment generally when your receipt of compensation under a Company LTD plan ends, except as required by applicable law. In the event of such termination of this Agreement, you shall receive (i) any Accrued Compensation and Benefits and (ii) for the year in which such</w:t>
      </w:r>
    </w:p>
    <w:p>
      <w:pPr>
        <w:sectPr>
          <w:pgSz w:w="11900" w:h="16838" w:orient="portrait"/>
          <w:cols w:equalWidth="0" w:num="1">
            <w:col w:w="11240"/>
          </w:cols>
          <w:pgMar w:left="320" w:top="595" w:right="339" w:bottom="1440" w:gutter="0" w:footer="0" w:header="0"/>
        </w:sectPr>
      </w:pPr>
    </w:p>
    <w:bookmarkStart w:id="193" w:name="page194"/>
    <w:bookmarkEnd w:id="193"/>
    <w:p>
      <w:pPr>
        <w:spacing w:after="0"/>
        <w:rPr>
          <w:sz w:val="20"/>
          <w:szCs w:val="20"/>
          <w:color w:val="auto"/>
        </w:rPr>
      </w:pPr>
      <w:r>
        <w:rPr>
          <w:rFonts w:ascii="Arial" w:cs="Arial" w:eastAsia="Arial" w:hAnsi="Arial"/>
          <w:sz w:val="19"/>
          <w:szCs w:val="19"/>
          <w:color w:val="auto"/>
        </w:rPr>
        <w:t>Brian Robbins</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As of December 15, 2023</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Page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9"/>
          <w:szCs w:val="19"/>
          <w:color w:val="auto"/>
        </w:rPr>
        <w:t>termination occurs, any Bonus or Pro-Rated Bonus, as applicable, which you would have been entitled to receive, calculated in</w:t>
      </w:r>
    </w:p>
    <w:p>
      <w:pPr>
        <w:spacing w:after="0" w:line="211" w:lineRule="auto"/>
        <w:rPr>
          <w:sz w:val="20"/>
          <w:szCs w:val="20"/>
          <w:color w:val="auto"/>
        </w:rPr>
      </w:pPr>
      <w:r>
        <w:rPr>
          <w:rFonts w:ascii="Arial" w:cs="Arial" w:eastAsia="Arial" w:hAnsi="Arial"/>
          <w:sz w:val="19"/>
          <w:szCs w:val="19"/>
          <w:color w:val="auto"/>
        </w:rPr>
        <w:t>accordance with paragraph 19(e)(iii). Except as set forth in the previous sentence, the compensation provided to you under the applicable LTD plan shall be in lieu of any compensation from the Company (including, but not limited to, the Salary provided under</w:t>
      </w:r>
    </w:p>
    <w:p>
      <w:pPr>
        <w:spacing w:after="0" w:line="218" w:lineRule="auto"/>
        <w:rPr>
          <w:sz w:val="20"/>
          <w:szCs w:val="20"/>
          <w:color w:val="auto"/>
        </w:rPr>
      </w:pPr>
      <w:r>
        <w:rPr>
          <w:rFonts w:ascii="Arial" w:cs="Arial" w:eastAsia="Arial" w:hAnsi="Arial"/>
          <w:sz w:val="19"/>
          <w:szCs w:val="19"/>
          <w:color w:val="auto"/>
        </w:rPr>
        <w:t>this Agreement or otherwise). Your participation in any other Company benefit plans or programs shall be governed by the terms of</w:t>
      </w:r>
    </w:p>
    <w:p>
      <w:pPr>
        <w:spacing w:after="0" w:line="211" w:lineRule="auto"/>
        <w:rPr>
          <w:sz w:val="20"/>
          <w:szCs w:val="20"/>
          <w:color w:val="auto"/>
        </w:rPr>
      </w:pPr>
      <w:r>
        <w:rPr>
          <w:rFonts w:ascii="Arial" w:cs="Arial" w:eastAsia="Arial" w:hAnsi="Arial"/>
          <w:sz w:val="19"/>
          <w:szCs w:val="19"/>
          <w:color w:val="auto"/>
        </w:rPr>
        <w:t>the applicable plan or program documents, award agreements and certificates. Your outstanding equity awards shall be governed by the terms of the Paramount 2020 Long-Term Management Incentive Plan, or any applicable successor plan, and the applicable</w:t>
      </w:r>
    </w:p>
    <w:p>
      <w:pPr>
        <w:spacing w:after="0"/>
        <w:rPr>
          <w:sz w:val="20"/>
          <w:szCs w:val="20"/>
          <w:color w:val="auto"/>
        </w:rPr>
      </w:pPr>
      <w:r>
        <w:rPr>
          <w:rFonts w:ascii="Arial" w:cs="Arial" w:eastAsia="Arial" w:hAnsi="Arial"/>
          <w:sz w:val="19"/>
          <w:szCs w:val="19"/>
          <w:color w:val="auto"/>
        </w:rPr>
        <w:t>terms and conditions and certificates.</w:t>
      </w:r>
    </w:p>
    <w:p>
      <w:pPr>
        <w:spacing w:after="0" w:line="174" w:lineRule="exact"/>
        <w:rPr>
          <w:sz w:val="20"/>
          <w:szCs w:val="20"/>
          <w:color w:val="auto"/>
        </w:rPr>
      </w:pPr>
    </w:p>
    <w:p>
      <w:pPr>
        <w:jc w:val="both"/>
        <w:ind w:firstLine="1516"/>
        <w:spacing w:after="0" w:line="234" w:lineRule="auto"/>
        <w:tabs>
          <w:tab w:leader="none" w:pos="1900" w:val="left"/>
        </w:tabs>
        <w:numPr>
          <w:ilvl w:val="1"/>
          <w:numId w:val="165"/>
        </w:numPr>
        <w:rPr>
          <w:rFonts w:ascii="Arial" w:cs="Arial" w:eastAsia="Arial" w:hAnsi="Arial"/>
          <w:sz w:val="19"/>
          <w:szCs w:val="19"/>
          <w:color w:val="auto"/>
        </w:rPr>
      </w:pPr>
      <w:r>
        <w:rPr>
          <w:rFonts w:ascii="Arial" w:cs="Arial" w:eastAsia="Arial" w:hAnsi="Arial"/>
          <w:sz w:val="19"/>
          <w:szCs w:val="19"/>
          <w:u w:val="single" w:color="auto"/>
          <w:color w:val="auto"/>
        </w:rPr>
        <w:t>Non-Renewal</w:t>
      </w:r>
      <w:r>
        <w:rPr>
          <w:rFonts w:ascii="Arial" w:cs="Arial" w:eastAsia="Arial" w:hAnsi="Arial"/>
          <w:sz w:val="19"/>
          <w:szCs w:val="19"/>
          <w:color w:val="auto"/>
        </w:rPr>
        <w:t>. If the Company does not extend or renew this Agreement at the end of the Contract Period and you have not entered into a new contractual relationship with the Company, your continuing employment, if any, with the Company shall be “at-will” and may be terminated at any time by either party.</w:t>
      </w:r>
    </w:p>
    <w:p>
      <w:pPr>
        <w:spacing w:after="0" w:line="182" w:lineRule="exact"/>
        <w:rPr>
          <w:rFonts w:ascii="Arial" w:cs="Arial" w:eastAsia="Arial" w:hAnsi="Arial"/>
          <w:sz w:val="19"/>
          <w:szCs w:val="19"/>
          <w:color w:val="auto"/>
        </w:rPr>
      </w:pPr>
    </w:p>
    <w:p>
      <w:pPr>
        <w:jc w:val="both"/>
        <w:ind w:firstLine="1516"/>
        <w:spacing w:after="0" w:line="218" w:lineRule="auto"/>
        <w:tabs>
          <w:tab w:leader="none" w:pos="1900" w:val="left"/>
        </w:tabs>
        <w:numPr>
          <w:ilvl w:val="1"/>
          <w:numId w:val="165"/>
        </w:numPr>
        <w:rPr>
          <w:rFonts w:ascii="Arial" w:cs="Arial" w:eastAsia="Arial" w:hAnsi="Arial"/>
          <w:sz w:val="19"/>
          <w:szCs w:val="19"/>
          <w:color w:val="auto"/>
        </w:rPr>
      </w:pPr>
      <w:r>
        <w:rPr>
          <w:rFonts w:ascii="Arial" w:cs="Arial" w:eastAsia="Arial" w:hAnsi="Arial"/>
          <w:sz w:val="19"/>
          <w:szCs w:val="19"/>
          <w:u w:val="single" w:color="auto"/>
          <w:color w:val="auto"/>
        </w:rPr>
        <w:t>Severance Plan Adjustment</w:t>
      </w:r>
      <w:r>
        <w:rPr>
          <w:rFonts w:ascii="Arial" w:cs="Arial" w:eastAsia="Arial" w:hAnsi="Arial"/>
          <w:sz w:val="19"/>
          <w:szCs w:val="19"/>
          <w:color w:val="auto"/>
        </w:rPr>
        <w:t>. In the event that your employment with the Company terminates pursuant to paragraph 11 or 15, and, at the time of your termination of employment there is in effect a Company severance plan (a “</w:t>
      </w:r>
      <w:r>
        <w:rPr>
          <w:rFonts w:ascii="Arial" w:cs="Arial" w:eastAsia="Arial" w:hAnsi="Arial"/>
          <w:sz w:val="19"/>
          <w:szCs w:val="19"/>
          <w:u w:val="single" w:color="auto"/>
          <w:color w:val="auto"/>
        </w:rPr>
        <w:t>Severance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Plan</w:t>
      </w:r>
      <w:r>
        <w:rPr>
          <w:rFonts w:ascii="Arial" w:cs="Arial" w:eastAsia="Arial" w:hAnsi="Arial"/>
          <w:sz w:val="19"/>
          <w:szCs w:val="19"/>
          <w:color w:val="auto"/>
        </w:rPr>
        <w:t>”) for which you are eligible to participate or would have been eligible to participate but for your having entered into this Agreement or being a Specified Employee and which provides for severance compensation that is greater than the amounts, but not the time or form of payment, to which you are entitled under paragraphs 11(c)(i) and 11(c)(ii) or paragraph 15, then the amounts, of your severance compensation under this Agreement shall automatically be adjusted to equal the greater severance amount that would have been provided to you under the Severance Plan. For the avoidance of doubt, any payment entitlement pursuant to this paragraph 16 is in lieu of, and not in addition to, any severance compensation to which you may otherwise be entitled under this Agreement. Notwithstanding any adjustment to the amount of your entitlements pursuant to this paragraph 16, all other provisions of this Agreement shall remain in effect, including, without limitation, paragraphs 6, 7, 8 and 9.</w:t>
      </w:r>
    </w:p>
    <w:p>
      <w:pPr>
        <w:spacing w:after="0" w:line="161" w:lineRule="exact"/>
        <w:rPr>
          <w:rFonts w:ascii="Arial" w:cs="Arial" w:eastAsia="Arial" w:hAnsi="Arial"/>
          <w:sz w:val="19"/>
          <w:szCs w:val="19"/>
          <w:color w:val="auto"/>
        </w:rPr>
      </w:pPr>
    </w:p>
    <w:p>
      <w:pPr>
        <w:ind w:left="1900" w:hanging="384"/>
        <w:spacing w:after="0"/>
        <w:tabs>
          <w:tab w:leader="none" w:pos="1900" w:val="left"/>
        </w:tabs>
        <w:numPr>
          <w:ilvl w:val="1"/>
          <w:numId w:val="165"/>
        </w:numPr>
        <w:rPr>
          <w:rFonts w:ascii="Arial" w:cs="Arial" w:eastAsia="Arial" w:hAnsi="Arial"/>
          <w:sz w:val="19"/>
          <w:szCs w:val="19"/>
          <w:color w:val="auto"/>
        </w:rPr>
      </w:pPr>
      <w:r>
        <w:rPr>
          <w:rFonts w:ascii="Arial" w:cs="Arial" w:eastAsia="Arial" w:hAnsi="Arial"/>
          <w:sz w:val="19"/>
          <w:szCs w:val="19"/>
          <w:u w:val="single" w:color="auto"/>
          <w:color w:val="auto"/>
        </w:rPr>
        <w:t>Further Events on Termination of Employment</w:t>
      </w:r>
      <w:r>
        <w:rPr>
          <w:rFonts w:ascii="Arial" w:cs="Arial" w:eastAsia="Arial" w:hAnsi="Arial"/>
          <w:sz w:val="19"/>
          <w:szCs w:val="19"/>
          <w:color w:val="auto"/>
        </w:rPr>
        <w:t>.</w:t>
      </w:r>
    </w:p>
    <w:p>
      <w:pPr>
        <w:spacing w:after="0" w:line="192" w:lineRule="exact"/>
        <w:rPr>
          <w:rFonts w:ascii="Arial" w:cs="Arial" w:eastAsia="Arial" w:hAnsi="Arial"/>
          <w:sz w:val="19"/>
          <w:szCs w:val="19"/>
          <w:color w:val="auto"/>
        </w:rPr>
      </w:pPr>
    </w:p>
    <w:p>
      <w:pPr>
        <w:jc w:val="both"/>
        <w:ind w:firstLine="1278"/>
        <w:spacing w:after="0" w:line="223" w:lineRule="auto"/>
        <w:tabs>
          <w:tab w:leader="none" w:pos="1907"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Termination of Benefits</w:t>
      </w:r>
      <w:r>
        <w:rPr>
          <w:rFonts w:ascii="Arial" w:cs="Arial" w:eastAsia="Arial" w:hAnsi="Arial"/>
          <w:sz w:val="19"/>
          <w:szCs w:val="19"/>
          <w:color w:val="auto"/>
        </w:rPr>
        <w:t>. Except as otherwise expressly provided in this Agreement, your participation in all Company benefit plans and programs (including, without limitation, medical and dental coverage, life insurance coverage, vacation accrual, all retirement and the related excess plans, STD and LTD plans and accidental death and dismemberment and business travel and accident insurance and your rights with respect to any outstanding equity compensation awards) shall be governed by the terms of the applicable plan and program documents, award agreements and certificates (as modified by this Agreement, if applicable).</w:t>
      </w:r>
    </w:p>
    <w:p>
      <w:pPr>
        <w:spacing w:after="0" w:line="159" w:lineRule="exact"/>
        <w:rPr>
          <w:rFonts w:ascii="Arial" w:cs="Arial" w:eastAsia="Arial" w:hAnsi="Arial"/>
          <w:sz w:val="19"/>
          <w:szCs w:val="19"/>
          <w:color w:val="auto"/>
        </w:rPr>
      </w:pPr>
    </w:p>
    <w:p>
      <w:pPr>
        <w:jc w:val="both"/>
        <w:ind w:firstLine="1278"/>
        <w:spacing w:after="0" w:line="223" w:lineRule="auto"/>
        <w:tabs>
          <w:tab w:leader="none" w:pos="1907"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Resignation from Official Positions</w:t>
      </w:r>
      <w:r>
        <w:rPr>
          <w:rFonts w:ascii="Arial" w:cs="Arial" w:eastAsia="Arial" w:hAnsi="Arial"/>
          <w:sz w:val="19"/>
          <w:szCs w:val="19"/>
          <w:color w:val="auto"/>
        </w:rPr>
        <w:t>. If your employment with the Company terminates for any reason, you shall be deemed to have resigned at that time from any and all officer or director positions that you may have held with the Company and all board seats or other positions in other entities to which you have been designated by the Company or which you have held on behalf of the Company. If, for any reason, this paragraph 17(b) is deemed insufficient to effectuate such resignation, you hereby authorize the Secretary and any Assistant Secretary of the Company to execute any documents or instruments which the Company may deem necessary or desirable to effectuate such resignation or resignations, and to act as your attorney-in fact solely for such purpose.</w:t>
      </w:r>
    </w:p>
    <w:p>
      <w:pPr>
        <w:sectPr>
          <w:pgSz w:w="11900" w:h="16838" w:orient="portrait"/>
          <w:cols w:equalWidth="0" w:num="1">
            <w:col w:w="11240"/>
          </w:cols>
          <w:pgMar w:left="320" w:top="595" w:right="339" w:bottom="1440" w:gutter="0" w:footer="0" w:header="0"/>
        </w:sectPr>
      </w:pPr>
    </w:p>
    <w:bookmarkStart w:id="194" w:name="page195"/>
    <w:bookmarkEnd w:id="194"/>
    <w:p>
      <w:pPr>
        <w:spacing w:after="0"/>
        <w:rPr>
          <w:sz w:val="20"/>
          <w:szCs w:val="20"/>
          <w:color w:val="auto"/>
        </w:rPr>
      </w:pPr>
      <w:r>
        <w:rPr>
          <w:rFonts w:ascii="Arial" w:cs="Arial" w:eastAsia="Arial" w:hAnsi="Arial"/>
          <w:sz w:val="19"/>
          <w:szCs w:val="19"/>
          <w:color w:val="auto"/>
        </w:rPr>
        <w:t>Brian Robbins</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As of December 15, 2023</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Page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900" w:hanging="384"/>
        <w:spacing w:after="0"/>
        <w:tabs>
          <w:tab w:leader="none" w:pos="1900" w:val="left"/>
        </w:tabs>
        <w:numPr>
          <w:ilvl w:val="1"/>
          <w:numId w:val="167"/>
        </w:numPr>
        <w:rPr>
          <w:rFonts w:ascii="Arial" w:cs="Arial" w:eastAsia="Arial" w:hAnsi="Arial"/>
          <w:sz w:val="19"/>
          <w:szCs w:val="19"/>
          <w:color w:val="auto"/>
        </w:rPr>
      </w:pPr>
      <w:r>
        <w:rPr>
          <w:rFonts w:ascii="Arial" w:cs="Arial" w:eastAsia="Arial" w:hAnsi="Arial"/>
          <w:sz w:val="19"/>
          <w:szCs w:val="19"/>
          <w:u w:val="single" w:color="auto"/>
          <w:color w:val="auto"/>
        </w:rPr>
        <w:t>Survival; Remedies</w:t>
      </w:r>
      <w:r>
        <w:rPr>
          <w:rFonts w:ascii="Arial" w:cs="Arial" w:eastAsia="Arial" w:hAnsi="Arial"/>
          <w:sz w:val="19"/>
          <w:szCs w:val="19"/>
          <w:color w:val="auto"/>
        </w:rPr>
        <w:t>.</w:t>
      </w:r>
    </w:p>
    <w:p>
      <w:pPr>
        <w:spacing w:after="0" w:line="192" w:lineRule="exact"/>
        <w:rPr>
          <w:rFonts w:ascii="Arial" w:cs="Arial" w:eastAsia="Arial" w:hAnsi="Arial"/>
          <w:sz w:val="19"/>
          <w:szCs w:val="19"/>
          <w:color w:val="auto"/>
        </w:rPr>
      </w:pPr>
    </w:p>
    <w:p>
      <w:pPr>
        <w:jc w:val="both"/>
        <w:ind w:firstLine="1278"/>
        <w:spacing w:after="0" w:line="244" w:lineRule="auto"/>
        <w:tabs>
          <w:tab w:leader="none" w:pos="1907" w:val="left"/>
        </w:tabs>
        <w:numPr>
          <w:ilvl w:val="0"/>
          <w:numId w:val="168"/>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Your obligations under paragraphs 6, 7, 8 and 9 shall remain in full force and effect for the entire period provided therein notwithstanding the termination of your employment for any reason or the expiration of the Contract Period.</w:t>
      </w:r>
    </w:p>
    <w:p>
      <w:pPr>
        <w:spacing w:after="0" w:line="151" w:lineRule="exact"/>
        <w:rPr>
          <w:rFonts w:ascii="Arial" w:cs="Arial" w:eastAsia="Arial" w:hAnsi="Arial"/>
          <w:sz w:val="19"/>
          <w:szCs w:val="19"/>
          <w:color w:val="auto"/>
        </w:rPr>
      </w:pPr>
    </w:p>
    <w:p>
      <w:pPr>
        <w:jc w:val="both"/>
        <w:ind w:firstLine="1278"/>
        <w:spacing w:after="0" w:line="223" w:lineRule="auto"/>
        <w:tabs>
          <w:tab w:leader="none" w:pos="1907" w:val="left"/>
        </w:tabs>
        <w:numPr>
          <w:ilvl w:val="0"/>
          <w:numId w:val="168"/>
        </w:numPr>
        <w:rPr>
          <w:rFonts w:ascii="Arial" w:cs="Arial" w:eastAsia="Arial" w:hAnsi="Arial"/>
          <w:sz w:val="19"/>
          <w:szCs w:val="19"/>
          <w:color w:val="auto"/>
        </w:rPr>
      </w:pPr>
      <w:r>
        <w:rPr>
          <w:rFonts w:ascii="Arial" w:cs="Arial" w:eastAsia="Arial" w:hAnsi="Arial"/>
          <w:sz w:val="19"/>
          <w:szCs w:val="19"/>
          <w:u w:val="single" w:color="auto"/>
          <w:color w:val="auto"/>
        </w:rPr>
        <w:t>Modification of Terms</w:t>
      </w:r>
      <w:r>
        <w:rPr>
          <w:rFonts w:ascii="Arial" w:cs="Arial" w:eastAsia="Arial" w:hAnsi="Arial"/>
          <w:sz w:val="19"/>
          <w:szCs w:val="19"/>
          <w:color w:val="auto"/>
        </w:rPr>
        <w:t>. You and the Company acknowledge and agree that the restrictions and remedies contained in paragraphs 6, 7, 8 and 9 are reasonable and that it is your intention and the intention of the Company that such restrictions and remedies shall be enforceable to the fullest extent permissible by law. If a court of competent jurisdiction shall find that any such restriction or remedy is unenforceable, but would be enforceable if some part were deleted or modified, then such restriction or remedy shall apply with the deletion or modification necessary to make it enforceable and shall in no way affect any other provision of this Agreement or the validity or enforceability of this Agreement.</w:t>
      </w:r>
    </w:p>
    <w:p>
      <w:pPr>
        <w:spacing w:after="0" w:line="159" w:lineRule="exact"/>
        <w:rPr>
          <w:rFonts w:ascii="Arial" w:cs="Arial" w:eastAsia="Arial" w:hAnsi="Arial"/>
          <w:sz w:val="19"/>
          <w:szCs w:val="19"/>
          <w:color w:val="auto"/>
        </w:rPr>
      </w:pPr>
    </w:p>
    <w:p>
      <w:pPr>
        <w:jc w:val="both"/>
        <w:ind w:firstLine="1278"/>
        <w:spacing w:after="0" w:line="223" w:lineRule="auto"/>
        <w:tabs>
          <w:tab w:leader="none" w:pos="1896" w:val="left"/>
        </w:tabs>
        <w:numPr>
          <w:ilvl w:val="0"/>
          <w:numId w:val="168"/>
        </w:numPr>
        <w:rPr>
          <w:rFonts w:ascii="Arial" w:cs="Arial" w:eastAsia="Arial" w:hAnsi="Arial"/>
          <w:sz w:val="19"/>
          <w:szCs w:val="19"/>
          <w:color w:val="auto"/>
        </w:rPr>
      </w:pPr>
      <w:r>
        <w:rPr>
          <w:rFonts w:ascii="Arial" w:cs="Arial" w:eastAsia="Arial" w:hAnsi="Arial"/>
          <w:sz w:val="19"/>
          <w:szCs w:val="19"/>
          <w:u w:val="single" w:color="auto"/>
          <w:color w:val="auto"/>
        </w:rPr>
        <w:t>Injunctive Relief</w:t>
      </w:r>
      <w:r>
        <w:rPr>
          <w:rFonts w:ascii="Arial" w:cs="Arial" w:eastAsia="Arial" w:hAnsi="Arial"/>
          <w:sz w:val="19"/>
          <w:szCs w:val="19"/>
          <w:color w:val="auto"/>
        </w:rPr>
        <w:t>. The Company has entered into this Agreement in order to obtain the benefit of your unique skills, talent, and experience. You acknowledge and agree that any violation of paragraphs 6, 7, 8 and 9 may result in irreparable damage to the Company, and, accordingly, the Company may seek injunctive and other equitable relief for any breach or threatened breach of such paragraphs, in addition to any other remedies available to the Company. To the extent permitted by applicable law, you hereby waive any right to the posting of a bond in connection with any injunction or other equitable relief sought by the Company and you agree not to seek such relief in your opposition to any application for relief the Company shall make.</w:t>
      </w:r>
    </w:p>
    <w:p>
      <w:pPr>
        <w:spacing w:after="0" w:line="159" w:lineRule="exact"/>
        <w:rPr>
          <w:rFonts w:ascii="Arial" w:cs="Arial" w:eastAsia="Arial" w:hAnsi="Arial"/>
          <w:sz w:val="19"/>
          <w:szCs w:val="19"/>
          <w:color w:val="auto"/>
        </w:rPr>
      </w:pPr>
    </w:p>
    <w:p>
      <w:pPr>
        <w:jc w:val="both"/>
        <w:ind w:firstLine="1278"/>
        <w:spacing w:after="0" w:line="218" w:lineRule="auto"/>
        <w:tabs>
          <w:tab w:leader="none" w:pos="1907" w:val="left"/>
        </w:tabs>
        <w:numPr>
          <w:ilvl w:val="0"/>
          <w:numId w:val="168"/>
        </w:numPr>
        <w:rPr>
          <w:rFonts w:ascii="Arial" w:cs="Arial" w:eastAsia="Arial" w:hAnsi="Arial"/>
          <w:sz w:val="19"/>
          <w:szCs w:val="19"/>
          <w:color w:val="auto"/>
        </w:rPr>
      </w:pPr>
      <w:r>
        <w:rPr>
          <w:rFonts w:ascii="Arial" w:cs="Arial" w:eastAsia="Arial" w:hAnsi="Arial"/>
          <w:sz w:val="19"/>
          <w:szCs w:val="19"/>
          <w:u w:val="single" w:color="auto"/>
          <w:color w:val="auto"/>
        </w:rPr>
        <w:t>Other Remedies</w:t>
      </w:r>
      <w:r>
        <w:rPr>
          <w:rFonts w:ascii="Arial" w:cs="Arial" w:eastAsia="Arial" w:hAnsi="Arial"/>
          <w:sz w:val="19"/>
          <w:szCs w:val="19"/>
          <w:color w:val="auto"/>
        </w:rPr>
        <w:t>. In the event that you materially violate the provisions of paragraphs 6, 7, 8 or 9 at any time during the Non-Competition Period or any period in which the Company is making payments to you pursuant to this Agreement, (i) any outstanding stock options or other undistributed equity awards granted to you by the Company shall immediately be forfeited, whether vested or unvested; and (ii) the Company’s obligation to make any further payments or to provide benefits (other than Accrued Compensation and Benefits) to you pursuant to this Agreement shall terminate. The Company shall give you written notice prior to commencing any remedy under this paragraph 18(d) or, if no cure period is applicable, contemporaneous with such commencement, setting forth the nature of any alleged violation in reasonable detail and the conduct required to cure such violation. Except for a violation which, by its nature, cannot reasonably be expected to be cured, you shall have ten (10) business days from the giving of such notice within which to cure; provided, however, that, if the Company reasonably expects irreparable injury from a delay of ten (10) business days, the Company may give you notice of such shorter period within which to cure as is reasonable under the circumstances, which may include commencement of a remedy without notice and with immediate effect. The remedies under this paragraph 18 are in addition to any other remedies the Company may have against you, including under this Agreement or any other agreement, under any equity or other incentive or compensation plan or under applicable law.</w:t>
      </w:r>
    </w:p>
    <w:p>
      <w:pPr>
        <w:spacing w:after="0" w:line="149" w:lineRule="exact"/>
        <w:rPr>
          <w:rFonts w:ascii="Arial" w:cs="Arial" w:eastAsia="Arial" w:hAnsi="Arial"/>
          <w:sz w:val="19"/>
          <w:szCs w:val="19"/>
          <w:color w:val="auto"/>
        </w:rPr>
      </w:pPr>
    </w:p>
    <w:p>
      <w:pPr>
        <w:ind w:left="1900" w:hanging="384"/>
        <w:spacing w:after="0"/>
        <w:tabs>
          <w:tab w:leader="none" w:pos="1900" w:val="left"/>
        </w:tabs>
        <w:numPr>
          <w:ilvl w:val="1"/>
          <w:numId w:val="168"/>
        </w:numPr>
        <w:rPr>
          <w:rFonts w:ascii="Arial" w:cs="Arial" w:eastAsia="Arial" w:hAnsi="Arial"/>
          <w:sz w:val="19"/>
          <w:szCs w:val="19"/>
          <w:color w:val="auto"/>
        </w:rPr>
      </w:pPr>
      <w:r>
        <w:rPr>
          <w:rFonts w:ascii="Arial" w:cs="Arial" w:eastAsia="Arial" w:hAnsi="Arial"/>
          <w:sz w:val="19"/>
          <w:szCs w:val="19"/>
          <w:u w:val="single" w:color="auto"/>
          <w:color w:val="auto"/>
        </w:rPr>
        <w:t>General Provisions</w:t>
      </w:r>
      <w:r>
        <w:rPr>
          <w:rFonts w:ascii="Arial" w:cs="Arial" w:eastAsia="Arial" w:hAnsi="Arial"/>
          <w:sz w:val="19"/>
          <w:szCs w:val="19"/>
          <w:color w:val="auto"/>
        </w:rPr>
        <w:t>.</w:t>
      </w:r>
    </w:p>
    <w:p>
      <w:pPr>
        <w:spacing w:after="0" w:line="192" w:lineRule="exact"/>
        <w:rPr>
          <w:sz w:val="20"/>
          <w:szCs w:val="20"/>
          <w:color w:val="auto"/>
        </w:rPr>
      </w:pPr>
    </w:p>
    <w:p>
      <w:pPr>
        <w:jc w:val="both"/>
        <w:ind w:firstLine="1278"/>
        <w:spacing w:after="0" w:line="238" w:lineRule="auto"/>
        <w:tabs>
          <w:tab w:leader="none" w:pos="1907" w:val="left"/>
        </w:tabs>
        <w:numPr>
          <w:ilvl w:val="0"/>
          <w:numId w:val="169"/>
        </w:numPr>
        <w:rPr>
          <w:rFonts w:ascii="Arial" w:cs="Arial" w:eastAsia="Arial" w:hAnsi="Arial"/>
          <w:sz w:val="19"/>
          <w:szCs w:val="19"/>
          <w:color w:val="auto"/>
        </w:rPr>
      </w:pPr>
      <w:r>
        <w:rPr>
          <w:rFonts w:ascii="Arial" w:cs="Arial" w:eastAsia="Arial" w:hAnsi="Arial"/>
          <w:sz w:val="19"/>
          <w:szCs w:val="19"/>
          <w:u w:val="single" w:color="auto"/>
          <w:color w:val="auto"/>
        </w:rPr>
        <w:t>Deductions and Withholdings</w:t>
      </w:r>
      <w:r>
        <w:rPr>
          <w:rFonts w:ascii="Arial" w:cs="Arial" w:eastAsia="Arial" w:hAnsi="Arial"/>
          <w:sz w:val="19"/>
          <w:szCs w:val="19"/>
          <w:color w:val="auto"/>
        </w:rPr>
        <w:t>. In the event of the termination of your employment for any reason, the Company reserves the right, to the extent permitted by law and in addition to any other remedy the Company may have, to deduct from any monies that are otherwise payable to you</w:t>
      </w:r>
      <w:r>
        <w:rPr>
          <w:rFonts w:ascii="Arial" w:cs="Arial" w:eastAsia="Arial" w:hAnsi="Arial"/>
          <w:sz w:val="19"/>
          <w:szCs w:val="19"/>
          <w:b w:val="1"/>
          <w:bCs w:val="1"/>
          <w:color w:val="auto"/>
          <w:strike w:val="1"/>
        </w:rPr>
        <w:t>,</w:t>
      </w:r>
      <w:r>
        <w:rPr>
          <w:rFonts w:ascii="Arial" w:cs="Arial" w:eastAsia="Arial" w:hAnsi="Arial"/>
          <w:sz w:val="19"/>
          <w:szCs w:val="19"/>
          <w:color w:val="auto"/>
        </w:rPr>
        <w:t xml:space="preserve"> and that do not constitute deferred compensation within the meaning</w:t>
      </w:r>
    </w:p>
    <w:p>
      <w:pPr>
        <w:sectPr>
          <w:pgSz w:w="11900" w:h="16838" w:orient="portrait"/>
          <w:cols w:equalWidth="0" w:num="1">
            <w:col w:w="11240"/>
          </w:cols>
          <w:pgMar w:left="320" w:top="595" w:right="339" w:bottom="1440" w:gutter="0" w:footer="0" w:header="0"/>
        </w:sectPr>
      </w:pPr>
    </w:p>
    <w:bookmarkStart w:id="195" w:name="page196"/>
    <w:bookmarkEnd w:id="195"/>
    <w:p>
      <w:pPr>
        <w:spacing w:after="0"/>
        <w:rPr>
          <w:sz w:val="20"/>
          <w:szCs w:val="20"/>
          <w:color w:val="auto"/>
        </w:rPr>
      </w:pPr>
      <w:r>
        <w:rPr>
          <w:rFonts w:ascii="Arial" w:cs="Arial" w:eastAsia="Arial" w:hAnsi="Arial"/>
          <w:sz w:val="19"/>
          <w:szCs w:val="19"/>
          <w:color w:val="auto"/>
        </w:rPr>
        <w:t>Brian Robbins</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As of December 15, 2023</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Page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9"/>
          <w:szCs w:val="19"/>
          <w:color w:val="auto"/>
        </w:rPr>
        <w:t>of Section 409A of the Code, the regulations promulgated thereunder or any related guidance issued by the U.S. Treasury</w:t>
      </w:r>
    </w:p>
    <w:p>
      <w:pPr>
        <w:spacing w:after="0" w:line="211" w:lineRule="auto"/>
        <w:rPr>
          <w:sz w:val="20"/>
          <w:szCs w:val="20"/>
          <w:color w:val="auto"/>
        </w:rPr>
      </w:pPr>
      <w:r>
        <w:rPr>
          <w:rFonts w:ascii="Arial" w:cs="Arial" w:eastAsia="Arial" w:hAnsi="Arial"/>
          <w:sz w:val="19"/>
          <w:szCs w:val="19"/>
          <w:color w:val="auto"/>
        </w:rPr>
        <w:t>Department (“</w:t>
      </w:r>
      <w:r>
        <w:rPr>
          <w:rFonts w:ascii="Arial" w:cs="Arial" w:eastAsia="Arial" w:hAnsi="Arial"/>
          <w:sz w:val="19"/>
          <w:szCs w:val="19"/>
          <w:u w:val="single" w:color="auto"/>
          <w:color w:val="auto"/>
        </w:rPr>
        <w:t>Section 409A</w:t>
      </w:r>
      <w:r>
        <w:rPr>
          <w:rFonts w:ascii="Arial" w:cs="Arial" w:eastAsia="Arial" w:hAnsi="Arial"/>
          <w:sz w:val="19"/>
          <w:szCs w:val="19"/>
          <w:color w:val="auto"/>
        </w:rPr>
        <w:t>”) all monies and the replacement value of any property you may owe to the Company at the time of or subsequent to the termination of your employment with the Company. The Company shall not make any such deduction from any</w:t>
      </w:r>
    </w:p>
    <w:p>
      <w:pPr>
        <w:spacing w:after="0" w:line="218" w:lineRule="auto"/>
        <w:rPr>
          <w:sz w:val="20"/>
          <w:szCs w:val="20"/>
          <w:color w:val="auto"/>
        </w:rPr>
      </w:pPr>
      <w:r>
        <w:rPr>
          <w:rFonts w:ascii="Arial" w:cs="Arial" w:eastAsia="Arial" w:hAnsi="Arial"/>
          <w:sz w:val="19"/>
          <w:szCs w:val="19"/>
          <w:color w:val="auto"/>
        </w:rPr>
        <w:t>amount that constitutes deferred compensation for purposes of Section 409A. To the extent any law requires an employee’s</w:t>
      </w:r>
    </w:p>
    <w:p>
      <w:pPr>
        <w:spacing w:after="0" w:line="211" w:lineRule="auto"/>
        <w:rPr>
          <w:sz w:val="20"/>
          <w:szCs w:val="20"/>
          <w:color w:val="auto"/>
        </w:rPr>
      </w:pPr>
      <w:r>
        <w:rPr>
          <w:rFonts w:ascii="Arial" w:cs="Arial" w:eastAsia="Arial" w:hAnsi="Arial"/>
          <w:sz w:val="19"/>
          <w:szCs w:val="19"/>
          <w:color w:val="auto"/>
        </w:rPr>
        <w:t>consent to the offset provided in this paragraph and permits such consent to be obtained in advance, this Agreement shall be deemed to provide the required consent. Except as otherwise expressly provided in this Agreement or in any Company benefit</w:t>
      </w:r>
    </w:p>
    <w:p>
      <w:pPr>
        <w:spacing w:after="0" w:line="218" w:lineRule="auto"/>
        <w:rPr>
          <w:sz w:val="20"/>
          <w:szCs w:val="20"/>
          <w:color w:val="auto"/>
        </w:rPr>
      </w:pPr>
      <w:r>
        <w:rPr>
          <w:rFonts w:ascii="Arial" w:cs="Arial" w:eastAsia="Arial" w:hAnsi="Arial"/>
          <w:sz w:val="19"/>
          <w:szCs w:val="19"/>
          <w:color w:val="auto"/>
        </w:rPr>
        <w:t>plan, all amounts payable under this Agreement shall be paid in accordance with the Company’s ordinary payroll practices less</w:t>
      </w:r>
    </w:p>
    <w:p>
      <w:pPr>
        <w:spacing w:after="0" w:line="211" w:lineRule="auto"/>
        <w:rPr>
          <w:sz w:val="20"/>
          <w:szCs w:val="20"/>
          <w:color w:val="auto"/>
        </w:rPr>
      </w:pPr>
      <w:r>
        <w:rPr>
          <w:rFonts w:ascii="Arial" w:cs="Arial" w:eastAsia="Arial" w:hAnsi="Arial"/>
          <w:sz w:val="19"/>
          <w:szCs w:val="19"/>
          <w:color w:val="auto"/>
        </w:rPr>
        <w:t>deductions and income and payroll tax withholding as may be required under applicable law. Any property (including shares of Class B Common Stock), benefits and perquisites provided to you under this Agreement, including, without limitation, COBRA</w:t>
      </w:r>
    </w:p>
    <w:p>
      <w:pPr>
        <w:spacing w:after="0"/>
        <w:rPr>
          <w:sz w:val="20"/>
          <w:szCs w:val="20"/>
          <w:color w:val="auto"/>
        </w:rPr>
      </w:pPr>
      <w:r>
        <w:rPr>
          <w:rFonts w:ascii="Arial" w:cs="Arial" w:eastAsia="Arial" w:hAnsi="Arial"/>
          <w:sz w:val="19"/>
          <w:szCs w:val="19"/>
          <w:color w:val="auto"/>
        </w:rPr>
        <w:t>payments made on your behalf, shall be taxable to you as provided by law.</w:t>
      </w:r>
    </w:p>
    <w:p>
      <w:pPr>
        <w:spacing w:after="0" w:line="174" w:lineRule="exact"/>
        <w:rPr>
          <w:sz w:val="20"/>
          <w:szCs w:val="20"/>
          <w:color w:val="auto"/>
        </w:rPr>
      </w:pPr>
    </w:p>
    <w:p>
      <w:pPr>
        <w:jc w:val="both"/>
        <w:ind w:firstLine="1278"/>
        <w:spacing w:after="0" w:line="218" w:lineRule="auto"/>
        <w:tabs>
          <w:tab w:leader="none" w:pos="1907" w:val="left"/>
        </w:tabs>
        <w:numPr>
          <w:ilvl w:val="0"/>
          <w:numId w:val="170"/>
        </w:numPr>
        <w:rPr>
          <w:rFonts w:ascii="Arial" w:cs="Arial" w:eastAsia="Arial" w:hAnsi="Arial"/>
          <w:sz w:val="19"/>
          <w:szCs w:val="19"/>
          <w:color w:val="auto"/>
        </w:rPr>
      </w:pPr>
      <w:r>
        <w:rPr>
          <w:rFonts w:ascii="Arial" w:cs="Arial" w:eastAsia="Arial" w:hAnsi="Arial"/>
          <w:sz w:val="19"/>
          <w:szCs w:val="19"/>
          <w:u w:val="single" w:color="auto"/>
          <w:color w:val="auto"/>
        </w:rPr>
        <w:t>Cash and Equity Awards Modifications</w:t>
      </w:r>
      <w:r>
        <w:rPr>
          <w:rFonts w:ascii="Arial" w:cs="Arial" w:eastAsia="Arial" w:hAnsi="Arial"/>
          <w:sz w:val="19"/>
          <w:szCs w:val="19"/>
          <w:color w:val="auto"/>
        </w:rPr>
        <w:t>. Notwithstanding any other provisions of this Agreement to the contrary, the Company reserves the right to modify or amend unilaterally the terms and conditions of your cash compensation, stock option awards or other equity awards, without first asking your consent, to the extent that the Company considers such modification or amendment necessary or advisable to comply with any law, regulation, ruling, judicial decision, accounting standard, regulatory guidance or other legal requirement (the “</w:t>
      </w:r>
      <w:r>
        <w:rPr>
          <w:rFonts w:ascii="Arial" w:cs="Arial" w:eastAsia="Arial" w:hAnsi="Arial"/>
          <w:sz w:val="19"/>
          <w:szCs w:val="19"/>
          <w:u w:val="single" w:color="auto"/>
          <w:color w:val="auto"/>
        </w:rPr>
        <w:t>Legal Requirement</w:t>
      </w:r>
      <w:r>
        <w:rPr>
          <w:rFonts w:ascii="Arial" w:cs="Arial" w:eastAsia="Arial" w:hAnsi="Arial"/>
          <w:sz w:val="19"/>
          <w:szCs w:val="19"/>
          <w:color w:val="auto"/>
        </w:rPr>
        <w:t>”) applicable to such cash compensation, stock option awards or other equity awards, provided that, except where necessary to comply with law, such amendment does not have a material adverse effect on the value of such compensation award to you. In addition, the Company may, without your consent, amend or modify your cash compensation, stock option awards or other equity awards in any manner that the Company considers necessary or advisable to ensure that such cash compensation, stock option awards or other equity awards are not subject to United States federal income tax, state or local income tax or any equivalent taxes in territories outside the United States prior to payment, exercise, vesting or settlement, as applicable, or any tax, interest or penalties pursuant to Section 409A.</w:t>
      </w:r>
    </w:p>
    <w:p>
      <w:pPr>
        <w:spacing w:after="0" w:line="162" w:lineRule="exact"/>
        <w:rPr>
          <w:rFonts w:ascii="Arial" w:cs="Arial" w:eastAsia="Arial" w:hAnsi="Arial"/>
          <w:sz w:val="19"/>
          <w:szCs w:val="19"/>
          <w:color w:val="auto"/>
        </w:rPr>
      </w:pPr>
    </w:p>
    <w:p>
      <w:pPr>
        <w:ind w:left="1900" w:hanging="622"/>
        <w:spacing w:after="0"/>
        <w:tabs>
          <w:tab w:leader="none" w:pos="1900" w:val="left"/>
        </w:tabs>
        <w:numPr>
          <w:ilvl w:val="0"/>
          <w:numId w:val="170"/>
        </w:numPr>
        <w:rPr>
          <w:rFonts w:ascii="Arial" w:cs="Arial" w:eastAsia="Arial" w:hAnsi="Arial"/>
          <w:sz w:val="19"/>
          <w:szCs w:val="19"/>
          <w:color w:val="auto"/>
        </w:rPr>
      </w:pPr>
      <w:r>
        <w:rPr>
          <w:rFonts w:ascii="Arial" w:cs="Arial" w:eastAsia="Arial" w:hAnsi="Arial"/>
          <w:sz w:val="19"/>
          <w:szCs w:val="19"/>
          <w:u w:val="single" w:color="auto"/>
          <w:color w:val="auto"/>
        </w:rPr>
        <w:t>Section 409A Provisions</w:t>
      </w:r>
      <w:r>
        <w:rPr>
          <w:rFonts w:ascii="Arial" w:cs="Arial" w:eastAsia="Arial" w:hAnsi="Arial"/>
          <w:sz w:val="19"/>
          <w:szCs w:val="19"/>
          <w:color w:val="auto"/>
        </w:rPr>
        <w:t>.</w:t>
      </w:r>
    </w:p>
    <w:p>
      <w:pPr>
        <w:spacing w:after="0" w:line="192" w:lineRule="exact"/>
        <w:rPr>
          <w:sz w:val="20"/>
          <w:szCs w:val="20"/>
          <w:color w:val="auto"/>
        </w:rPr>
      </w:pPr>
    </w:p>
    <w:p>
      <w:pPr>
        <w:jc w:val="both"/>
        <w:ind w:left="1920" w:hanging="642"/>
        <w:spacing w:after="0" w:line="268" w:lineRule="auto"/>
        <w:tabs>
          <w:tab w:leader="none" w:pos="1907" w:val="left"/>
        </w:tabs>
        <w:numPr>
          <w:ilvl w:val="0"/>
          <w:numId w:val="171"/>
        </w:numPr>
        <w:rPr>
          <w:rFonts w:ascii="Arial" w:cs="Arial" w:eastAsia="Arial" w:hAnsi="Arial"/>
          <w:sz w:val="19"/>
          <w:szCs w:val="19"/>
          <w:color w:val="auto"/>
        </w:rPr>
      </w:pPr>
      <w:r>
        <w:rPr>
          <w:rFonts w:ascii="Arial" w:cs="Arial" w:eastAsia="Arial" w:hAnsi="Arial"/>
          <w:sz w:val="19"/>
          <w:szCs w:val="19"/>
          <w:color w:val="auto"/>
        </w:rPr>
        <w:t>The Company may, without your consent, amend any provision of this Agreement to the extent that, in the reasonable judgment of the Company, such amendment is necessary or advisable to avoid the imposition on you of any tax, interest or penalties pursuant to Section 409A or otherwise to make this Agreement enforceable. Any such amendment shall maintain, to the maximum extent practicable, the original intent and economic benefit to you of the applicable provision.</w:t>
      </w:r>
    </w:p>
    <w:p>
      <w:pPr>
        <w:spacing w:after="0" w:line="158" w:lineRule="exact"/>
        <w:rPr>
          <w:rFonts w:ascii="Arial" w:cs="Arial" w:eastAsia="Arial" w:hAnsi="Arial"/>
          <w:sz w:val="19"/>
          <w:szCs w:val="19"/>
          <w:color w:val="auto"/>
        </w:rPr>
      </w:pPr>
    </w:p>
    <w:p>
      <w:pPr>
        <w:jc w:val="both"/>
        <w:ind w:left="1920" w:hanging="642"/>
        <w:spacing w:after="0" w:line="263" w:lineRule="auto"/>
        <w:tabs>
          <w:tab w:leader="none" w:pos="191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It is the intention and understanding of the parties that all amounts and benefits to which you become entitled under this Agreement will be paid or provided to you pursuant to a fixed schedule within the meaning of Section 409A. Notwithstanding such intention and understanding, in the event that you are a specified employee as determined by the Company (a “</w:t>
      </w:r>
      <w:r>
        <w:rPr>
          <w:rFonts w:ascii="Arial" w:cs="Arial" w:eastAsia="Arial" w:hAnsi="Arial"/>
          <w:sz w:val="19"/>
          <w:szCs w:val="19"/>
          <w:u w:val="single" w:color="auto"/>
          <w:color w:val="auto"/>
        </w:rPr>
        <w:t>Specified Employee</w:t>
      </w:r>
      <w:r>
        <w:rPr>
          <w:rFonts w:ascii="Arial" w:cs="Arial" w:eastAsia="Arial" w:hAnsi="Arial"/>
          <w:sz w:val="19"/>
          <w:szCs w:val="19"/>
          <w:color w:val="auto"/>
        </w:rPr>
        <w:t>”) at the time of your Separation from</w:t>
      </w:r>
    </w:p>
    <w:p>
      <w:pPr>
        <w:ind w:left="1920"/>
        <w:spacing w:after="0"/>
        <w:rPr>
          <w:sz w:val="20"/>
          <w:szCs w:val="20"/>
          <w:color w:val="auto"/>
        </w:rPr>
      </w:pPr>
      <w:r>
        <w:rPr>
          <w:rFonts w:ascii="Arial" w:cs="Arial" w:eastAsia="Arial" w:hAnsi="Arial"/>
          <w:sz w:val="19"/>
          <w:szCs w:val="19"/>
          <w:color w:val="auto"/>
        </w:rPr>
        <w:t>Service (as defined below), then to the extent that any amount or benefit owed to you under this Agreement</w:t>
      </w:r>
    </w:p>
    <w:p>
      <w:pPr>
        <w:spacing w:after="0" w:line="7" w:lineRule="exact"/>
        <w:rPr>
          <w:sz w:val="20"/>
          <w:szCs w:val="20"/>
          <w:color w:val="auto"/>
        </w:rPr>
      </w:pPr>
    </w:p>
    <w:p>
      <w:pPr>
        <w:ind w:left="1920" w:hanging="6"/>
        <w:spacing w:after="0" w:line="283" w:lineRule="auto"/>
        <w:tabs>
          <w:tab w:leader="none" w:pos="2212" w:val="left"/>
        </w:tabs>
        <w:numPr>
          <w:ilvl w:val="0"/>
          <w:numId w:val="172"/>
        </w:numPr>
        <w:rPr>
          <w:rFonts w:ascii="Arial" w:cs="Arial" w:eastAsia="Arial" w:hAnsi="Arial"/>
          <w:sz w:val="19"/>
          <w:szCs w:val="19"/>
          <w:color w:val="auto"/>
        </w:rPr>
      </w:pPr>
      <w:r>
        <w:rPr>
          <w:rFonts w:ascii="Arial" w:cs="Arial" w:eastAsia="Arial" w:hAnsi="Arial"/>
          <w:sz w:val="19"/>
          <w:szCs w:val="19"/>
          <w:color w:val="auto"/>
        </w:rPr>
        <w:t>constitutes an amount of deferred compensation for purposes of Section 409A and (y) is considered for purposes of</w:t>
      </w:r>
    </w:p>
    <w:p>
      <w:pPr>
        <w:sectPr>
          <w:pgSz w:w="11900" w:h="16838" w:orient="portrait"/>
          <w:cols w:equalWidth="0" w:num="1">
            <w:col w:w="11240"/>
          </w:cols>
          <w:pgMar w:left="320" w:top="595" w:right="339" w:bottom="1440" w:gutter="0" w:footer="0" w:header="0"/>
        </w:sectPr>
      </w:pPr>
    </w:p>
    <w:bookmarkStart w:id="196" w:name="page197"/>
    <w:bookmarkEnd w:id="196"/>
    <w:p>
      <w:pPr>
        <w:spacing w:after="0"/>
        <w:rPr>
          <w:sz w:val="20"/>
          <w:szCs w:val="20"/>
          <w:color w:val="auto"/>
        </w:rPr>
      </w:pPr>
      <w:r>
        <w:rPr>
          <w:rFonts w:ascii="Arial" w:cs="Arial" w:eastAsia="Arial" w:hAnsi="Arial"/>
          <w:sz w:val="19"/>
          <w:szCs w:val="19"/>
          <w:color w:val="auto"/>
        </w:rPr>
        <w:t>Brian Robbins</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As of December 15, 2023</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Page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1920"/>
        <w:spacing w:after="0" w:line="260" w:lineRule="auto"/>
        <w:rPr>
          <w:sz w:val="20"/>
          <w:szCs w:val="20"/>
          <w:color w:val="auto"/>
        </w:rPr>
      </w:pPr>
      <w:r>
        <w:rPr>
          <w:rFonts w:ascii="Arial" w:cs="Arial" w:eastAsia="Arial" w:hAnsi="Arial"/>
          <w:sz w:val="19"/>
          <w:szCs w:val="19"/>
          <w:color w:val="auto"/>
        </w:rPr>
        <w:t xml:space="preserve">Section 409A to be owed to you by virtue of your Separation from Service, then such amount or benefit shall not be paid or provided during the six (6) month period following the date of your Separation from Service and instead shall be paid or provided on the first day of the seventh month following your date of Separation from Service;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such delay shall apply only to the extent that such payments and benefits, in the aggregate, exceed the lesser of an amount equal to (x) two (2) times your annualized compensation (as determined under the Code Section 409A regulations) and (y) two (2) times the applicable Code Section 401(a)(17) annual compensation limit for the year in which your termination occurs;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any payments made during such six (6) month period shall first be made to cover all costs</w:t>
      </w:r>
      <w:r>
        <w:rPr>
          <w:rFonts w:ascii="Arial" w:cs="Arial" w:eastAsia="Arial" w:hAnsi="Arial"/>
          <w:sz w:val="19"/>
          <w:szCs w:val="19"/>
          <w:i w:val="1"/>
          <w:iCs w:val="1"/>
          <w:color w:val="auto"/>
        </w:rPr>
        <w:t xml:space="preserve"> </w:t>
      </w:r>
      <w:r>
        <w:rPr>
          <w:rFonts w:ascii="Arial" w:cs="Arial" w:eastAsia="Arial" w:hAnsi="Arial"/>
          <w:sz w:val="19"/>
          <w:szCs w:val="19"/>
          <w:color w:val="auto"/>
        </w:rPr>
        <w:t>relating to medical, dental and life insurance coverage to which you are entitled under this Agreement and thereafter shall be made in respect of other amounts or benefits owed to you.</w:t>
      </w:r>
    </w:p>
    <w:p>
      <w:pPr>
        <w:spacing w:after="0" w:line="177" w:lineRule="exact"/>
        <w:rPr>
          <w:sz w:val="20"/>
          <w:szCs w:val="20"/>
          <w:color w:val="auto"/>
        </w:rPr>
      </w:pPr>
    </w:p>
    <w:p>
      <w:pPr>
        <w:jc w:val="both"/>
        <w:ind w:left="1920" w:hanging="642"/>
        <w:spacing w:after="0" w:line="260" w:lineRule="auto"/>
        <w:tabs>
          <w:tab w:leader="none" w:pos="1914" w:val="left"/>
        </w:tabs>
        <w:numPr>
          <w:ilvl w:val="0"/>
          <w:numId w:val="173"/>
        </w:numPr>
        <w:rPr>
          <w:rFonts w:ascii="Arial" w:cs="Arial" w:eastAsia="Arial" w:hAnsi="Arial"/>
          <w:sz w:val="19"/>
          <w:szCs w:val="19"/>
          <w:color w:val="auto"/>
        </w:rPr>
      </w:pPr>
      <w:r>
        <w:rPr>
          <w:rFonts w:ascii="Arial" w:cs="Arial" w:eastAsia="Arial" w:hAnsi="Arial"/>
          <w:sz w:val="19"/>
          <w:szCs w:val="19"/>
          <w:color w:val="auto"/>
        </w:rPr>
        <w:t>As used herein, “</w:t>
      </w:r>
      <w:r>
        <w:rPr>
          <w:rFonts w:ascii="Arial" w:cs="Arial" w:eastAsia="Arial" w:hAnsi="Arial"/>
          <w:sz w:val="19"/>
          <w:szCs w:val="19"/>
          <w:u w:val="single" w:color="auto"/>
          <w:color w:val="auto"/>
        </w:rPr>
        <w:t>Separation from Service</w:t>
      </w:r>
      <w:r>
        <w:rPr>
          <w:rFonts w:ascii="Arial" w:cs="Arial" w:eastAsia="Arial" w:hAnsi="Arial"/>
          <w:sz w:val="19"/>
          <w:szCs w:val="19"/>
          <w:color w:val="auto"/>
        </w:rPr>
        <w:t>” shall mean either (i) the termination of your employment with the Company and its affiliates, provided that such termination of employment meets the requirements of a separation of service determined using the default provisions set forth in Treasury Regulation §1.409A-(1)(h) or the successor provision thereto or (ii) such other date that constitutes a separation from service with the Company and its affiliates meeting the requirements of the default provisions set forth in Treasury Regulation §1.409A-(1)(h) or the successor provision thereto. For purposes of this definition, "affiliate" means any corporation that is in the same controlled group of corporations (within the meaning of Code Section 414(b)) as the Company and any trade or business that is under common control with the Company (within the meaning of Code Section 414(c)), determined in accordance with the default provision set forth in Treasury Regulation §1.409A-(1)(h)(3).</w:t>
      </w:r>
    </w:p>
    <w:p>
      <w:pPr>
        <w:spacing w:after="0" w:line="163" w:lineRule="exact"/>
        <w:rPr>
          <w:rFonts w:ascii="Arial" w:cs="Arial" w:eastAsia="Arial" w:hAnsi="Arial"/>
          <w:sz w:val="19"/>
          <w:szCs w:val="19"/>
          <w:color w:val="auto"/>
        </w:rPr>
      </w:pPr>
    </w:p>
    <w:p>
      <w:pPr>
        <w:jc w:val="both"/>
        <w:ind w:left="1920" w:hanging="642"/>
        <w:spacing w:after="0" w:line="225" w:lineRule="auto"/>
        <w:tabs>
          <w:tab w:leader="none" w:pos="1911" w:val="left"/>
        </w:tabs>
        <w:numPr>
          <w:ilvl w:val="0"/>
          <w:numId w:val="173"/>
        </w:numPr>
        <w:rPr>
          <w:rFonts w:ascii="Arial" w:cs="Arial" w:eastAsia="Arial" w:hAnsi="Arial"/>
          <w:sz w:val="19"/>
          <w:szCs w:val="19"/>
          <w:color w:val="auto"/>
        </w:rPr>
      </w:pPr>
      <w:r>
        <w:rPr>
          <w:rFonts w:ascii="Arial" w:cs="Arial" w:eastAsia="Arial" w:hAnsi="Arial"/>
          <w:sz w:val="19"/>
          <w:szCs w:val="19"/>
          <w:color w:val="auto"/>
        </w:rPr>
        <w:t>If under any provision of this Agreement you become entitled to be paid Salary continuation, then each payment of Salary during the relevant continuation period shall be considered, and is hereby designated as, a separate payment for purposes of Section 409A (and consequently your entitlement to such Salary continuation shall not be considered an entitlement to a single payment of the aggregate amount to be paid during the relevant continuation period).</w:t>
      </w:r>
    </w:p>
    <w:p>
      <w:pPr>
        <w:spacing w:after="0" w:line="155" w:lineRule="exact"/>
        <w:rPr>
          <w:sz w:val="20"/>
          <w:szCs w:val="20"/>
          <w:color w:val="auto"/>
        </w:rPr>
      </w:pPr>
    </w:p>
    <w:p>
      <w:pPr>
        <w:jc w:val="both"/>
        <w:ind w:firstLine="1278"/>
        <w:spacing w:after="0" w:line="227" w:lineRule="auto"/>
        <w:tabs>
          <w:tab w:leader="none" w:pos="1907" w:val="left"/>
        </w:tabs>
        <w:numPr>
          <w:ilvl w:val="0"/>
          <w:numId w:val="174"/>
        </w:numPr>
        <w:rPr>
          <w:rFonts w:ascii="Arial" w:cs="Arial" w:eastAsia="Arial" w:hAnsi="Arial"/>
          <w:sz w:val="19"/>
          <w:szCs w:val="19"/>
          <w:color w:val="auto"/>
        </w:rPr>
      </w:pPr>
      <w:r>
        <w:rPr>
          <w:rFonts w:ascii="Arial" w:cs="Arial" w:eastAsia="Arial" w:hAnsi="Arial"/>
          <w:sz w:val="19"/>
          <w:szCs w:val="19"/>
          <w:u w:val="single" w:color="auto"/>
          <w:color w:val="auto"/>
        </w:rPr>
        <w:t>No Duplicative Payments</w:t>
      </w:r>
      <w:r>
        <w:rPr>
          <w:rFonts w:ascii="Arial" w:cs="Arial" w:eastAsia="Arial" w:hAnsi="Arial"/>
          <w:sz w:val="19"/>
          <w:szCs w:val="19"/>
          <w:color w:val="auto"/>
        </w:rPr>
        <w:t>. The payments and benefits provided in this Agreement in respect to the termination of employment and non-renewal of this Agreement are in lieu of any other salary, bonus or benefits payable by the Company, including, without limitation, any severance or income continuation or protection under any Company plan that may now or hereafter exist. All such payments and benefits shall constitute liquidated damages, paid in full and final settlement of all obligations of the Company to you under this Agreement.</w:t>
      </w:r>
    </w:p>
    <w:p>
      <w:pPr>
        <w:sectPr>
          <w:pgSz w:w="11900" w:h="16838" w:orient="portrait"/>
          <w:cols w:equalWidth="0" w:num="1">
            <w:col w:w="11240"/>
          </w:cols>
          <w:pgMar w:left="320" w:top="595" w:right="339" w:bottom="1440" w:gutter="0" w:footer="0" w:header="0"/>
        </w:sectPr>
      </w:pPr>
    </w:p>
    <w:bookmarkStart w:id="197" w:name="page198"/>
    <w:bookmarkEnd w:id="197"/>
    <w:p>
      <w:pPr>
        <w:spacing w:after="0"/>
        <w:rPr>
          <w:sz w:val="20"/>
          <w:szCs w:val="20"/>
          <w:color w:val="auto"/>
        </w:rPr>
      </w:pPr>
      <w:r>
        <w:rPr>
          <w:rFonts w:ascii="Arial" w:cs="Arial" w:eastAsia="Arial" w:hAnsi="Arial"/>
          <w:sz w:val="19"/>
          <w:szCs w:val="19"/>
          <w:color w:val="auto"/>
        </w:rPr>
        <w:t>Brian Robbins</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As of December 15, 2023</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Page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920" w:hanging="642"/>
        <w:spacing w:after="0"/>
        <w:tabs>
          <w:tab w:leader="none" w:pos="1920" w:val="left"/>
        </w:tabs>
        <w:numPr>
          <w:ilvl w:val="0"/>
          <w:numId w:val="175"/>
        </w:numPr>
        <w:rPr>
          <w:rFonts w:ascii="Arial" w:cs="Arial" w:eastAsia="Arial" w:hAnsi="Arial"/>
          <w:sz w:val="19"/>
          <w:szCs w:val="19"/>
          <w:color w:val="auto"/>
        </w:rPr>
      </w:pPr>
      <w:r>
        <w:rPr>
          <w:rFonts w:ascii="Arial" w:cs="Arial" w:eastAsia="Arial" w:hAnsi="Arial"/>
          <w:sz w:val="19"/>
          <w:szCs w:val="19"/>
          <w:u w:val="single" w:color="auto"/>
          <w:color w:val="auto"/>
        </w:rPr>
        <w:t>Payment of Bonus Compensation</w:t>
      </w:r>
      <w:r>
        <w:rPr>
          <w:rFonts w:ascii="Arial" w:cs="Arial" w:eastAsia="Arial" w:hAnsi="Arial"/>
          <w:sz w:val="19"/>
          <w:szCs w:val="19"/>
          <w:color w:val="auto"/>
        </w:rPr>
        <w:t>.</w:t>
      </w:r>
    </w:p>
    <w:p>
      <w:pPr>
        <w:spacing w:after="0" w:line="180" w:lineRule="exact"/>
        <w:rPr>
          <w:sz w:val="20"/>
          <w:szCs w:val="20"/>
          <w:color w:val="auto"/>
        </w:rPr>
      </w:pPr>
    </w:p>
    <w:p>
      <w:pPr>
        <w:jc w:val="both"/>
        <w:ind w:left="1920" w:hanging="642"/>
        <w:spacing w:after="0" w:line="216" w:lineRule="auto"/>
        <w:tabs>
          <w:tab w:leader="none" w:pos="1907" w:val="left"/>
        </w:tabs>
        <w:numPr>
          <w:ilvl w:val="0"/>
          <w:numId w:val="176"/>
        </w:numPr>
        <w:rPr>
          <w:rFonts w:ascii="Arial" w:cs="Arial" w:eastAsia="Arial" w:hAnsi="Arial"/>
          <w:sz w:val="19"/>
          <w:szCs w:val="19"/>
          <w:color w:val="auto"/>
        </w:rPr>
      </w:pPr>
      <w:r>
        <w:rPr>
          <w:rFonts w:ascii="Arial" w:cs="Arial" w:eastAsia="Arial" w:hAnsi="Arial"/>
          <w:sz w:val="19"/>
          <w:szCs w:val="19"/>
          <w:color w:val="auto"/>
        </w:rPr>
        <w:t>The Bonus for any Company fiscal year under this Agreement shall be paid by March 15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of the following year. For the avoidance of doubt, you shall be entitled to payment of any earned and accrued Bonus or Pro-Rated Bonus without respect to employment on the Bonus payment date.</w:t>
      </w:r>
    </w:p>
    <w:p>
      <w:pPr>
        <w:spacing w:after="0" w:line="154" w:lineRule="exact"/>
        <w:rPr>
          <w:rFonts w:ascii="Arial" w:cs="Arial" w:eastAsia="Arial" w:hAnsi="Arial"/>
          <w:sz w:val="19"/>
          <w:szCs w:val="19"/>
          <w:color w:val="auto"/>
        </w:rPr>
      </w:pPr>
    </w:p>
    <w:p>
      <w:pPr>
        <w:jc w:val="both"/>
        <w:ind w:left="1920" w:hanging="642"/>
        <w:spacing w:after="0" w:line="223" w:lineRule="auto"/>
        <w:tabs>
          <w:tab w:leader="none" w:pos="1910" w:val="left"/>
        </w:tabs>
        <w:numPr>
          <w:ilvl w:val="0"/>
          <w:numId w:val="176"/>
        </w:numPr>
        <w:rPr>
          <w:rFonts w:ascii="Arial" w:cs="Arial" w:eastAsia="Arial" w:hAnsi="Arial"/>
          <w:sz w:val="19"/>
          <w:szCs w:val="19"/>
          <w:color w:val="auto"/>
        </w:rPr>
      </w:pPr>
      <w:r>
        <w:rPr>
          <w:rFonts w:ascii="Arial" w:cs="Arial" w:eastAsia="Arial" w:hAnsi="Arial"/>
          <w:sz w:val="19"/>
          <w:szCs w:val="19"/>
          <w:color w:val="auto"/>
        </w:rPr>
        <w:t>Except as otherwise expressly provided in this Agreement, your Bonus shall be prorated (x) to apply only to that part of the Company’s fiscal year which falls within the Contract Period and (y) to the extent the Company’s fiscal year is less than a 12-month fiscal year (a “</w:t>
      </w:r>
      <w:r>
        <w:rPr>
          <w:rFonts w:ascii="Arial" w:cs="Arial" w:eastAsia="Arial" w:hAnsi="Arial"/>
          <w:sz w:val="19"/>
          <w:szCs w:val="19"/>
          <w:u w:val="single" w:color="auto"/>
          <w:color w:val="auto"/>
        </w:rPr>
        <w:t>Pro-Rated Bonus</w:t>
      </w:r>
      <w:r>
        <w:rPr>
          <w:rFonts w:ascii="Arial" w:cs="Arial" w:eastAsia="Arial" w:hAnsi="Arial"/>
          <w:sz w:val="19"/>
          <w:szCs w:val="19"/>
          <w:color w:val="auto"/>
        </w:rPr>
        <w:t>”). Following expiration of the Contract Period, you shall receive a Pro-Rated Bonus for the period of the Company’s fiscal year which falls within the Contract Period only (x) in the event that the Company terminates your employment without Cause prior to the date on which employees of the Company became entitled to a Bonus under the STIP, (y) as provided in paragraph 11(c)(ii) or (z) as provided in the STIP.</w:t>
      </w:r>
    </w:p>
    <w:p>
      <w:pPr>
        <w:spacing w:after="0" w:line="140" w:lineRule="exact"/>
        <w:rPr>
          <w:rFonts w:ascii="Arial" w:cs="Arial" w:eastAsia="Arial" w:hAnsi="Arial"/>
          <w:sz w:val="19"/>
          <w:szCs w:val="19"/>
          <w:color w:val="auto"/>
        </w:rPr>
      </w:pPr>
    </w:p>
    <w:p>
      <w:pPr>
        <w:ind w:left="1900" w:hanging="622"/>
        <w:spacing w:after="0"/>
        <w:tabs>
          <w:tab w:leader="none" w:pos="1900" w:val="left"/>
        </w:tabs>
        <w:numPr>
          <w:ilvl w:val="0"/>
          <w:numId w:val="176"/>
        </w:numPr>
        <w:rPr>
          <w:rFonts w:ascii="Arial" w:cs="Arial" w:eastAsia="Arial" w:hAnsi="Arial"/>
          <w:sz w:val="19"/>
          <w:szCs w:val="19"/>
          <w:color w:val="auto"/>
        </w:rPr>
      </w:pPr>
      <w:r>
        <w:rPr>
          <w:rFonts w:ascii="Arial" w:cs="Arial" w:eastAsia="Arial" w:hAnsi="Arial"/>
          <w:sz w:val="19"/>
          <w:szCs w:val="19"/>
          <w:color w:val="auto"/>
        </w:rPr>
        <w:t>Any Bonus or Pro-Rated Bonus payable pursuant to paragraphs 11, 13 or 14 shall be paid at the lesser of</w:t>
      </w:r>
    </w:p>
    <w:p>
      <w:pPr>
        <w:ind w:left="1920" w:hanging="6"/>
        <w:spacing w:after="0" w:line="232" w:lineRule="auto"/>
        <w:tabs>
          <w:tab w:leader="none" w:pos="2268" w:val="left"/>
        </w:tabs>
        <w:numPr>
          <w:ilvl w:val="1"/>
          <w:numId w:val="176"/>
        </w:numPr>
        <w:rPr>
          <w:rFonts w:ascii="Arial" w:cs="Arial" w:eastAsia="Arial" w:hAnsi="Arial"/>
          <w:sz w:val="19"/>
          <w:szCs w:val="19"/>
          <w:color w:val="auto"/>
        </w:rPr>
      </w:pPr>
      <w:r>
        <w:rPr>
          <w:rFonts w:ascii="Arial" w:cs="Arial" w:eastAsia="Arial" w:hAnsi="Arial"/>
          <w:sz w:val="19"/>
          <w:szCs w:val="19"/>
          <w:color w:val="auto"/>
        </w:rPr>
        <w:t>your Target Bonus amount or (y) your Target Bonus amount, adjusted based on the Company Performance Factor for the relevant fiscal year.</w:t>
      </w:r>
    </w:p>
    <w:p>
      <w:pPr>
        <w:spacing w:after="0" w:line="156" w:lineRule="exact"/>
        <w:rPr>
          <w:sz w:val="20"/>
          <w:szCs w:val="20"/>
          <w:color w:val="auto"/>
        </w:rPr>
      </w:pPr>
    </w:p>
    <w:p>
      <w:pPr>
        <w:jc w:val="both"/>
        <w:ind w:firstLine="1278"/>
        <w:spacing w:after="0"/>
        <w:tabs>
          <w:tab w:leader="none" w:pos="1906" w:val="left"/>
        </w:tabs>
        <w:numPr>
          <w:ilvl w:val="0"/>
          <w:numId w:val="177"/>
        </w:numPr>
        <w:rPr>
          <w:rFonts w:ascii="Arial" w:cs="Arial" w:eastAsia="Arial" w:hAnsi="Arial"/>
          <w:sz w:val="19"/>
          <w:szCs w:val="19"/>
          <w:color w:val="auto"/>
        </w:rPr>
      </w:pPr>
      <w:r>
        <w:rPr>
          <w:rFonts w:ascii="Arial" w:cs="Arial" w:eastAsia="Arial" w:hAnsi="Arial"/>
          <w:sz w:val="19"/>
          <w:szCs w:val="19"/>
          <w:u w:val="single" w:color="auto"/>
          <w:color w:val="auto"/>
        </w:rPr>
        <w:t>Parachute Payment Adjustments</w:t>
      </w:r>
      <w:r>
        <w:rPr>
          <w:rFonts w:ascii="Arial" w:cs="Arial" w:eastAsia="Arial" w:hAnsi="Arial"/>
          <w:sz w:val="19"/>
          <w:szCs w:val="19"/>
          <w:color w:val="auto"/>
        </w:rPr>
        <w:t>. Notwithstanding anything herein to the contrary, in the event that you receive any payments or distributions, whether payable or distributed or distributable pursuant to the terms of this Agreement or otherwise, that constitute “parachute payments” within the meaning of Section 280G of the Code, and the net after-tax amount of the parachute payment is less than the net after-tax amount if the aggregate payment to be made to you were three times your “base amount” (as defined in Section 280G(b)(3) of the Code) less $1.00, then the aggregate of the amounts constituting the parachute payment shall be reduced to an amount that shall equal three times your base amount, less $1.00. The determinations to be made with respect to this paragraph 19(f) shall be made by a certified public accounting firm designated by the Company and reasonably acceptable to you.</w:t>
      </w:r>
    </w:p>
    <w:p>
      <w:pPr>
        <w:spacing w:after="0" w:line="232" w:lineRule="exact"/>
        <w:rPr>
          <w:rFonts w:ascii="Arial" w:cs="Arial" w:eastAsia="Arial" w:hAnsi="Arial"/>
          <w:sz w:val="19"/>
          <w:szCs w:val="19"/>
          <w:color w:val="auto"/>
        </w:rPr>
      </w:pPr>
    </w:p>
    <w:p>
      <w:pPr>
        <w:jc w:val="both"/>
        <w:ind w:firstLine="1278"/>
        <w:spacing w:after="0" w:line="219" w:lineRule="auto"/>
        <w:tabs>
          <w:tab w:leader="none" w:pos="1907" w:val="left"/>
        </w:tabs>
        <w:numPr>
          <w:ilvl w:val="0"/>
          <w:numId w:val="177"/>
        </w:numPr>
        <w:rPr>
          <w:rFonts w:ascii="Arial" w:cs="Arial" w:eastAsia="Arial" w:hAnsi="Arial"/>
          <w:sz w:val="19"/>
          <w:szCs w:val="19"/>
          <w:color w:val="auto"/>
        </w:rPr>
      </w:pPr>
      <w:r>
        <w:rPr>
          <w:rFonts w:ascii="Arial" w:cs="Arial" w:eastAsia="Arial" w:hAnsi="Arial"/>
          <w:sz w:val="19"/>
          <w:szCs w:val="19"/>
          <w:u w:val="single" w:color="auto"/>
          <w:color w:val="auto"/>
        </w:rPr>
        <w:t>Adjustments to Bonuses and Long-Term Incentive Compensation</w:t>
      </w:r>
      <w:r>
        <w:rPr>
          <w:rFonts w:ascii="Arial" w:cs="Arial" w:eastAsia="Arial" w:hAnsi="Arial"/>
          <w:sz w:val="19"/>
          <w:szCs w:val="19"/>
          <w:color w:val="auto"/>
        </w:rPr>
        <w:t>. Notwithstanding anything herein to the contrary, the Company shall be entitled to adjust the amount of any Bonus or any award of long-term incentive compensation if the financial statements of Paramount or the business unit on which the calculation or determination of the Bonus or award of long-term incentive compensation were based are subsequently restated and, in the judgment of Paramount, the financial statements as so restated would have resulted in a smaller Bonus or long-term incentive compensation award if such information had been known at the time the Bonus or award had originally been calculated or determined; provided, however, that no adjustment to the amount of your Bonus or long-term incentive compensation awards shall be made except as made for all similarly situated executives of the Company. In addition, in the event of such a restatement: (i) the Company may require you, and you agree, to repay to the Company the amount by which the Bonus as originally calculated or determined exceeds the Bonus as adjusted pursuant to the preceding sentence; and (ii) the Company may cancel, without any payment therefor, the portion of any award of long-term incentive compensation that exceeds the award adjusted pursuant to the preceding sentence (or, if such portion of an award cannot be canceled because (x) in the case of stock options or other similar</w:t>
      </w:r>
    </w:p>
    <w:p>
      <w:pPr>
        <w:sectPr>
          <w:pgSz w:w="11900" w:h="16838" w:orient="portrait"/>
          <w:cols w:equalWidth="0" w:num="1">
            <w:col w:w="11240"/>
          </w:cols>
          <w:pgMar w:left="320" w:top="595" w:right="339" w:bottom="1440" w:gutter="0" w:footer="0" w:header="0"/>
        </w:sectPr>
      </w:pPr>
    </w:p>
    <w:bookmarkStart w:id="198" w:name="page199"/>
    <w:bookmarkEnd w:id="198"/>
    <w:p>
      <w:pPr>
        <w:spacing w:after="0"/>
        <w:rPr>
          <w:sz w:val="20"/>
          <w:szCs w:val="20"/>
          <w:color w:val="auto"/>
        </w:rPr>
      </w:pPr>
      <w:r>
        <w:rPr>
          <w:rFonts w:ascii="Arial" w:cs="Arial" w:eastAsia="Arial" w:hAnsi="Arial"/>
          <w:sz w:val="19"/>
          <w:szCs w:val="19"/>
          <w:color w:val="auto"/>
        </w:rPr>
        <w:t>Brian Robbins</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As of December 15, 2023</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Page 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9"/>
          <w:szCs w:val="19"/>
          <w:color w:val="auto"/>
        </w:rPr>
        <w:t>awards, you have previously exercised it, the Company may require you, and you agree, to repay to the Company the amount, net</w:t>
      </w:r>
    </w:p>
    <w:p>
      <w:pPr>
        <w:spacing w:after="0" w:line="211" w:lineRule="auto"/>
        <w:rPr>
          <w:sz w:val="20"/>
          <w:szCs w:val="20"/>
          <w:color w:val="auto"/>
        </w:rPr>
      </w:pPr>
      <w:r>
        <w:rPr>
          <w:rFonts w:ascii="Arial" w:cs="Arial" w:eastAsia="Arial" w:hAnsi="Arial"/>
          <w:sz w:val="19"/>
          <w:szCs w:val="19"/>
          <w:color w:val="auto"/>
        </w:rPr>
        <w:t>of any exercise price, that you realized upon exercise or (y) in the case of restricted share units or other similar awards, shares of Class B Common Stock were delivered to you in settlement of such award, the Company may require you, and you agree to return</w:t>
      </w:r>
    </w:p>
    <w:p>
      <w:pPr>
        <w:spacing w:after="0"/>
        <w:rPr>
          <w:sz w:val="20"/>
          <w:szCs w:val="20"/>
          <w:color w:val="auto"/>
        </w:rPr>
      </w:pPr>
      <w:r>
        <w:rPr>
          <w:rFonts w:ascii="Arial" w:cs="Arial" w:eastAsia="Arial" w:hAnsi="Arial"/>
          <w:sz w:val="19"/>
          <w:szCs w:val="19"/>
          <w:color w:val="auto"/>
        </w:rPr>
        <w:t>the shares of Class B Common Stock, or if such shares were sold by you, return any proceeds realized on the sale of such shares).</w:t>
      </w:r>
    </w:p>
    <w:p>
      <w:pPr>
        <w:spacing w:after="0" w:line="360" w:lineRule="exact"/>
        <w:rPr>
          <w:sz w:val="20"/>
          <w:szCs w:val="20"/>
          <w:color w:val="auto"/>
        </w:rPr>
      </w:pPr>
    </w:p>
    <w:p>
      <w:pPr>
        <w:jc w:val="both"/>
        <w:ind w:firstLine="1278"/>
        <w:spacing w:after="0" w:line="223" w:lineRule="auto"/>
        <w:tabs>
          <w:tab w:leader="none" w:pos="1907" w:val="left"/>
        </w:tabs>
        <w:numPr>
          <w:ilvl w:val="0"/>
          <w:numId w:val="178"/>
        </w:numPr>
        <w:rPr>
          <w:rFonts w:ascii="Arial" w:cs="Arial" w:eastAsia="Arial" w:hAnsi="Arial"/>
          <w:sz w:val="19"/>
          <w:szCs w:val="19"/>
          <w:color w:val="auto"/>
        </w:rPr>
      </w:pPr>
      <w:r>
        <w:rPr>
          <w:rFonts w:ascii="Arial" w:cs="Arial" w:eastAsia="Arial" w:hAnsi="Arial"/>
          <w:sz w:val="19"/>
          <w:szCs w:val="19"/>
          <w:u w:val="single" w:color="auto"/>
          <w:color w:val="auto"/>
        </w:rPr>
        <w:t>Mediation</w:t>
      </w:r>
      <w:r>
        <w:rPr>
          <w:rFonts w:ascii="Arial" w:cs="Arial" w:eastAsia="Arial" w:hAnsi="Arial"/>
          <w:sz w:val="19"/>
          <w:szCs w:val="19"/>
          <w:color w:val="auto"/>
        </w:rPr>
        <w:t>. Prior to the commencement of any legal proceeding relating to your employment, you and the Company agree to attempt to mediate the dispute using a professional mediator from JAMS, The Resolution Experts (“JAMS”) or the International Institute for Conflict Prevention and Resolution (“</w:t>
      </w:r>
      <w:r>
        <w:rPr>
          <w:rFonts w:ascii="Arial" w:cs="Arial" w:eastAsia="Arial" w:hAnsi="Arial"/>
          <w:sz w:val="19"/>
          <w:szCs w:val="19"/>
          <w:u w:val="single" w:color="auto"/>
          <w:color w:val="auto"/>
        </w:rPr>
        <w:t>CPR</w:t>
      </w:r>
      <w:r>
        <w:rPr>
          <w:rFonts w:ascii="Arial" w:cs="Arial" w:eastAsia="Arial" w:hAnsi="Arial"/>
          <w:sz w:val="19"/>
          <w:szCs w:val="19"/>
          <w:color w:val="auto"/>
        </w:rPr>
        <w:t>”). Within a period of 30 days after a written request for mediation by either you or the Company, the parties agree to convene with the mediator, for at least one session to attempt to resolve the matter. In no event will mediation delay commencement of any legal proceeding for more than 30 days absent agreement of the parties or prevent a bona fide application by either party to a court of competent jurisdiction for emergency relief. The fees of the mediator and of the JAMS or CPR, as the case may be, shall be borne by the Company.</w:t>
      </w:r>
    </w:p>
    <w:p>
      <w:pPr>
        <w:spacing w:after="0" w:line="156" w:lineRule="exact"/>
        <w:rPr>
          <w:sz w:val="20"/>
          <w:szCs w:val="20"/>
          <w:color w:val="auto"/>
        </w:rPr>
      </w:pPr>
    </w:p>
    <w:p>
      <w:pPr>
        <w:ind w:left="1900" w:hanging="384"/>
        <w:spacing w:after="0"/>
        <w:tabs>
          <w:tab w:leader="none" w:pos="1900" w:val="left"/>
        </w:tabs>
        <w:numPr>
          <w:ilvl w:val="1"/>
          <w:numId w:val="179"/>
        </w:numPr>
        <w:rPr>
          <w:rFonts w:ascii="Arial" w:cs="Arial" w:eastAsia="Arial" w:hAnsi="Arial"/>
          <w:sz w:val="19"/>
          <w:szCs w:val="19"/>
          <w:color w:val="auto"/>
        </w:rPr>
      </w:pPr>
      <w:r>
        <w:rPr>
          <w:rFonts w:ascii="Arial" w:cs="Arial" w:eastAsia="Arial" w:hAnsi="Arial"/>
          <w:sz w:val="19"/>
          <w:szCs w:val="19"/>
          <w:u w:val="single" w:color="auto"/>
          <w:color w:val="auto"/>
        </w:rPr>
        <w:t>Additional Representations and Acknowledgments</w:t>
      </w:r>
      <w:r>
        <w:rPr>
          <w:rFonts w:ascii="Arial" w:cs="Arial" w:eastAsia="Arial" w:hAnsi="Arial"/>
          <w:sz w:val="19"/>
          <w:szCs w:val="19"/>
          <w:color w:val="auto"/>
        </w:rPr>
        <w:t>.</w:t>
      </w:r>
    </w:p>
    <w:p>
      <w:pPr>
        <w:spacing w:after="0" w:line="179" w:lineRule="exact"/>
        <w:rPr>
          <w:rFonts w:ascii="Arial" w:cs="Arial" w:eastAsia="Arial" w:hAnsi="Arial"/>
          <w:sz w:val="19"/>
          <w:szCs w:val="19"/>
          <w:color w:val="auto"/>
        </w:rPr>
      </w:pPr>
    </w:p>
    <w:p>
      <w:pPr>
        <w:jc w:val="both"/>
        <w:ind w:firstLine="1278"/>
        <w:spacing w:after="0"/>
        <w:tabs>
          <w:tab w:leader="none" w:pos="1907" w:val="left"/>
        </w:tabs>
        <w:numPr>
          <w:ilvl w:val="0"/>
          <w:numId w:val="180"/>
        </w:numPr>
        <w:rPr>
          <w:rFonts w:ascii="Arial" w:cs="Arial" w:eastAsia="Arial" w:hAnsi="Arial"/>
          <w:sz w:val="19"/>
          <w:szCs w:val="19"/>
          <w:color w:val="auto"/>
        </w:rPr>
      </w:pPr>
      <w:r>
        <w:rPr>
          <w:rFonts w:ascii="Arial" w:cs="Arial" w:eastAsia="Arial" w:hAnsi="Arial"/>
          <w:sz w:val="19"/>
          <w:szCs w:val="19"/>
          <w:u w:val="single" w:color="auto"/>
          <w:color w:val="auto"/>
        </w:rPr>
        <w:t>No Acceptance of Payments</w:t>
      </w:r>
      <w:r>
        <w:rPr>
          <w:rFonts w:ascii="Arial" w:cs="Arial" w:eastAsia="Arial" w:hAnsi="Arial"/>
          <w:sz w:val="19"/>
          <w:szCs w:val="19"/>
          <w:color w:val="auto"/>
        </w:rPr>
        <w:t>. You represent that you have not accepted or given nor shall you accept or give, directly or indirectly, any money, services or other valuable consideration from or to anyone other than the Company for the inclusion of any matter as part of any film, television, internet or other programming produced, distributed and/or developed by the Company.</w:t>
      </w:r>
    </w:p>
    <w:p>
      <w:pPr>
        <w:spacing w:after="0" w:line="338" w:lineRule="exact"/>
        <w:rPr>
          <w:rFonts w:ascii="Arial" w:cs="Arial" w:eastAsia="Arial" w:hAnsi="Arial"/>
          <w:sz w:val="19"/>
          <w:szCs w:val="19"/>
          <w:color w:val="auto"/>
        </w:rPr>
      </w:pPr>
    </w:p>
    <w:p>
      <w:pPr>
        <w:jc w:val="both"/>
        <w:ind w:firstLine="1278"/>
        <w:spacing w:after="0" w:line="223" w:lineRule="auto"/>
        <w:tabs>
          <w:tab w:leader="none" w:pos="1907" w:val="left"/>
        </w:tabs>
        <w:numPr>
          <w:ilvl w:val="0"/>
          <w:numId w:val="180"/>
        </w:numPr>
        <w:rPr>
          <w:rFonts w:ascii="Arial" w:cs="Arial" w:eastAsia="Arial" w:hAnsi="Arial"/>
          <w:sz w:val="19"/>
          <w:szCs w:val="19"/>
          <w:color w:val="auto"/>
        </w:rPr>
      </w:pPr>
      <w:r>
        <w:rPr>
          <w:rFonts w:ascii="Arial" w:cs="Arial" w:eastAsia="Arial" w:hAnsi="Arial"/>
          <w:sz w:val="19"/>
          <w:szCs w:val="19"/>
          <w:u w:val="single" w:color="auto"/>
          <w:color w:val="auto"/>
        </w:rPr>
        <w:t>Company Policies</w:t>
      </w:r>
      <w:r>
        <w:rPr>
          <w:rFonts w:ascii="Arial" w:cs="Arial" w:eastAsia="Arial" w:hAnsi="Arial"/>
          <w:sz w:val="19"/>
          <w:szCs w:val="19"/>
          <w:color w:val="auto"/>
        </w:rPr>
        <w:t>. You recognize that the Company is an equal opportunity employer. You agree that you shall comply with the Company’s employment practices and policies, as they may be amended from time to time, and with all applicable federal, state and local laws prohibiting discrimination on any basis. In addition, you agree that you shall comply with any code of conduct, ethics or business policies adopted by the Company from time to time and the Company’s other policies and procedures, as they may be amended from time to time, and provide the certifications and conflict of interest disclosures required by such policies.</w:t>
      </w:r>
    </w:p>
    <w:p>
      <w:pPr>
        <w:spacing w:after="0" w:line="159" w:lineRule="exact"/>
        <w:rPr>
          <w:rFonts w:ascii="Arial" w:cs="Arial" w:eastAsia="Arial" w:hAnsi="Arial"/>
          <w:sz w:val="19"/>
          <w:szCs w:val="19"/>
          <w:color w:val="auto"/>
        </w:rPr>
      </w:pPr>
    </w:p>
    <w:p>
      <w:pPr>
        <w:jc w:val="both"/>
        <w:ind w:firstLine="1516"/>
        <w:spacing w:after="0" w:line="227" w:lineRule="auto"/>
        <w:tabs>
          <w:tab w:leader="none" w:pos="1900" w:val="left"/>
        </w:tabs>
        <w:numPr>
          <w:ilvl w:val="1"/>
          <w:numId w:val="180"/>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Notices under this Agreement must be given in writing, by personal delivery, regular mail or receipted email, at the parties’ respective addresses shown on this Agreement (or any other address designated in writing by either party), with a copy, in the case of the Company, to the attention of Paramount’s General Counsel, and in the case of you, to Ziffren Brittenham LLP, 1801 Century Park West, Los Angeles, CA 90067, Attn: Bryan Wolf. Any notice given by regular mail shall be deemed to have been given three (3) days following such mailing.</w:t>
      </w:r>
    </w:p>
    <w:p>
      <w:pPr>
        <w:spacing w:after="0" w:line="145" w:lineRule="exact"/>
        <w:rPr>
          <w:rFonts w:ascii="Arial" w:cs="Arial" w:eastAsia="Arial" w:hAnsi="Arial"/>
          <w:sz w:val="19"/>
          <w:szCs w:val="19"/>
          <w:color w:val="auto"/>
        </w:rPr>
      </w:pPr>
    </w:p>
    <w:p>
      <w:pPr>
        <w:jc w:val="both"/>
        <w:ind w:firstLine="1516"/>
        <w:spacing w:after="0" w:line="227" w:lineRule="auto"/>
        <w:tabs>
          <w:tab w:leader="none" w:pos="1900" w:val="left"/>
        </w:tabs>
        <w:numPr>
          <w:ilvl w:val="1"/>
          <w:numId w:val="180"/>
        </w:numPr>
        <w:rPr>
          <w:rFonts w:ascii="Arial" w:cs="Arial" w:eastAsia="Arial" w:hAnsi="Arial"/>
          <w:sz w:val="19"/>
          <w:szCs w:val="19"/>
          <w:color w:val="auto"/>
        </w:rPr>
      </w:pPr>
      <w:r>
        <w:rPr>
          <w:rFonts w:ascii="Arial" w:cs="Arial" w:eastAsia="Arial" w:hAnsi="Arial"/>
          <w:sz w:val="19"/>
          <w:szCs w:val="19"/>
          <w:u w:val="single" w:color="auto"/>
          <w:color w:val="auto"/>
        </w:rPr>
        <w:t>Binding Effect; Assignment</w:t>
      </w:r>
      <w:r>
        <w:rPr>
          <w:rFonts w:ascii="Arial" w:cs="Arial" w:eastAsia="Arial" w:hAnsi="Arial"/>
          <w:sz w:val="19"/>
          <w:szCs w:val="19"/>
          <w:color w:val="auto"/>
        </w:rPr>
        <w:t>. This Agreement and rights and obligations of the Company hereunder shall not be assigned by the Company, provided that the Company may assign this Agreement to any subsidiary or affiliated company of or any successor in interest to the Company provided that such assignee assumes all of the obligations of the Company hereunder. This Agreement is for the performance of personal services by you and may not be assigned by you, except that the rights specified in Section 13 shall pass upon your death to your designated beneficiary (or, if there is no such beneficiary, your estate).</w:t>
      </w:r>
    </w:p>
    <w:p>
      <w:pPr>
        <w:sectPr>
          <w:pgSz w:w="11900" w:h="16838" w:orient="portrait"/>
          <w:cols w:equalWidth="0" w:num="1">
            <w:col w:w="11240"/>
          </w:cols>
          <w:pgMar w:left="320" w:top="595" w:right="339" w:bottom="1440" w:gutter="0" w:footer="0" w:header="0"/>
        </w:sectPr>
      </w:pPr>
    </w:p>
    <w:bookmarkStart w:id="199" w:name="page200"/>
    <w:bookmarkEnd w:id="199"/>
    <w:p>
      <w:pPr>
        <w:spacing w:after="0"/>
        <w:rPr>
          <w:sz w:val="20"/>
          <w:szCs w:val="20"/>
          <w:color w:val="auto"/>
        </w:rPr>
      </w:pPr>
      <w:r>
        <w:rPr>
          <w:rFonts w:ascii="Arial" w:cs="Arial" w:eastAsia="Arial" w:hAnsi="Arial"/>
          <w:sz w:val="19"/>
          <w:szCs w:val="19"/>
          <w:color w:val="auto"/>
        </w:rPr>
        <w:t>Brian Robbins</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As of December 15, 2023</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Page 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1516"/>
        <w:spacing w:after="0" w:line="230" w:lineRule="auto"/>
        <w:tabs>
          <w:tab w:leader="none" w:pos="1900" w:val="left"/>
        </w:tabs>
        <w:numPr>
          <w:ilvl w:val="0"/>
          <w:numId w:val="181"/>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GOVERNING LAW AND FORUM</w:t>
      </w:r>
      <w:r>
        <w:rPr>
          <w:rFonts w:ascii="Arial" w:cs="Arial" w:eastAsia="Arial" w:hAnsi="Arial"/>
          <w:sz w:val="19"/>
          <w:szCs w:val="19"/>
          <w:b w:val="1"/>
          <w:bCs w:val="1"/>
          <w:color w:val="auto"/>
        </w:rPr>
        <w:t>. You acknowledge that this agreement has been executed, in whole or in part, in California. Accordingly, you agree that this Agreement and all matters or issues arising out of or relating to your employment with the Company shall be governed by the laws of the State of California applicable to contracts entered into and performed entirely therein. Any action to enforce or otherwise relating to this Agreement and the rights and obligations hereunder shall be brought solely in the state or federal courts located in the City of Los Angeles.</w:t>
      </w:r>
    </w:p>
    <w:p>
      <w:pPr>
        <w:spacing w:after="0" w:line="134" w:lineRule="exact"/>
        <w:rPr>
          <w:rFonts w:ascii="Arial" w:cs="Arial" w:eastAsia="Arial" w:hAnsi="Arial"/>
          <w:sz w:val="19"/>
          <w:szCs w:val="19"/>
          <w:color w:val="auto"/>
        </w:rPr>
      </w:pPr>
    </w:p>
    <w:p>
      <w:pPr>
        <w:jc w:val="both"/>
        <w:ind w:firstLine="1516"/>
        <w:spacing w:after="0"/>
        <w:tabs>
          <w:tab w:leader="none" w:pos="1900" w:val="left"/>
        </w:tabs>
        <w:numPr>
          <w:ilvl w:val="0"/>
          <w:numId w:val="181"/>
        </w:numPr>
        <w:rPr>
          <w:rFonts w:ascii="Arial" w:cs="Arial" w:eastAsia="Arial" w:hAnsi="Arial"/>
          <w:sz w:val="19"/>
          <w:szCs w:val="19"/>
          <w:color w:val="auto"/>
        </w:rPr>
      </w:pPr>
      <w:r>
        <w:rPr>
          <w:rFonts w:ascii="Arial" w:cs="Arial" w:eastAsia="Arial" w:hAnsi="Arial"/>
          <w:sz w:val="19"/>
          <w:szCs w:val="19"/>
          <w:u w:val="single" w:color="auto"/>
          <w:color w:val="auto"/>
        </w:rPr>
        <w:t>No Implied Contract</w:t>
      </w:r>
      <w:r>
        <w:rPr>
          <w:rFonts w:ascii="Arial" w:cs="Arial" w:eastAsia="Arial" w:hAnsi="Arial"/>
          <w:sz w:val="19"/>
          <w:szCs w:val="19"/>
          <w:color w:val="auto"/>
        </w:rPr>
        <w:t>. Nothing contained in this Agreement shall be construed to impose any obligation on the Company or you to renew this Agreement or any portion hereof or on the Company to establish or maintain any benefit, welfare or compensation plan or program or to prevent the modification or termination of any benefit, welfare or compensation plan or program or any action or inaction with respect to any such benefit, welfare or compensation plan or program. The parties intend to be bound only upon full execution of a written agreement by both parties and no negotiation, exchange of draft, partial performance or tender of an agreement (including any extension or renewal of this Agreement) executed by one party shall be deemed to imply an agreement or the renewal or extension of any agreement relating to your employment with the Company. Neither the continuation of employment nor any other conduct shall be deemed to imply a continuing agreement upon the expiration of the Contract Period.</w:t>
      </w:r>
    </w:p>
    <w:p>
      <w:pPr>
        <w:spacing w:after="0" w:line="213" w:lineRule="exact"/>
        <w:rPr>
          <w:rFonts w:ascii="Arial" w:cs="Arial" w:eastAsia="Arial" w:hAnsi="Arial"/>
          <w:sz w:val="19"/>
          <w:szCs w:val="19"/>
          <w:color w:val="auto"/>
        </w:rPr>
      </w:pPr>
    </w:p>
    <w:p>
      <w:pPr>
        <w:ind w:firstLine="1516"/>
        <w:spacing w:after="0" w:line="259" w:lineRule="auto"/>
        <w:tabs>
          <w:tab w:leader="none" w:pos="1900" w:val="left"/>
        </w:tabs>
        <w:numPr>
          <w:ilvl w:val="0"/>
          <w:numId w:val="181"/>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In the event any provision or part of this Agreement is found to be invalid or unenforceable, only that particular provision or part so found, and not the entire Agreement, shall be inoperative.</w:t>
      </w:r>
    </w:p>
    <w:p>
      <w:pPr>
        <w:spacing w:after="0" w:line="124" w:lineRule="exact"/>
        <w:rPr>
          <w:rFonts w:ascii="Arial" w:cs="Arial" w:eastAsia="Arial" w:hAnsi="Arial"/>
          <w:sz w:val="19"/>
          <w:szCs w:val="19"/>
          <w:color w:val="auto"/>
        </w:rPr>
      </w:pPr>
    </w:p>
    <w:p>
      <w:pPr>
        <w:jc w:val="both"/>
        <w:ind w:firstLine="1516"/>
        <w:spacing w:after="0" w:line="239" w:lineRule="auto"/>
        <w:tabs>
          <w:tab w:leader="none" w:pos="1900" w:val="left"/>
        </w:tabs>
        <w:numPr>
          <w:ilvl w:val="0"/>
          <w:numId w:val="181"/>
        </w:numPr>
        <w:rPr>
          <w:rFonts w:ascii="Arial" w:cs="Arial" w:eastAsia="Arial" w:hAnsi="Arial"/>
          <w:sz w:val="19"/>
          <w:szCs w:val="19"/>
          <w:color w:val="auto"/>
        </w:rPr>
      </w:pPr>
      <w:r>
        <w:rPr>
          <w:rFonts w:ascii="Arial" w:cs="Arial" w:eastAsia="Arial" w:hAnsi="Arial"/>
          <w:sz w:val="19"/>
          <w:szCs w:val="19"/>
          <w:u w:val="single" w:color="auto"/>
          <w:color w:val="auto"/>
        </w:rPr>
        <w:t>Entire Understanding</w:t>
      </w:r>
      <w:r>
        <w:rPr>
          <w:rFonts w:ascii="Arial" w:cs="Arial" w:eastAsia="Arial" w:hAnsi="Arial"/>
          <w:sz w:val="19"/>
          <w:szCs w:val="19"/>
          <w:color w:val="auto"/>
        </w:rPr>
        <w:t>. This Agreement contains the entire understanding of the parties hereto relating to the subject matter contained in this Agreement, and</w:t>
      </w:r>
      <w:r>
        <w:rPr>
          <w:rFonts w:ascii="Arial" w:cs="Arial" w:eastAsia="Arial" w:hAnsi="Arial"/>
          <w:sz w:val="19"/>
          <w:szCs w:val="19"/>
          <w:b w:val="1"/>
          <w:bCs w:val="1"/>
          <w:color w:val="auto"/>
        </w:rPr>
        <w:t>,</w:t>
      </w:r>
      <w:r>
        <w:rPr>
          <w:rFonts w:ascii="Arial" w:cs="Arial" w:eastAsia="Arial" w:hAnsi="Arial"/>
          <w:sz w:val="19"/>
          <w:szCs w:val="19"/>
          <w:color w:val="auto"/>
        </w:rPr>
        <w:t xml:space="preserve"> except as otherwise provided herein</w:t>
      </w:r>
      <w:r>
        <w:rPr>
          <w:rFonts w:ascii="Arial" w:cs="Arial" w:eastAsia="Arial" w:hAnsi="Arial"/>
          <w:sz w:val="19"/>
          <w:szCs w:val="19"/>
          <w:b w:val="1"/>
          <w:bCs w:val="1"/>
          <w:color w:val="auto"/>
        </w:rPr>
        <w:t>,</w:t>
      </w:r>
      <w:r>
        <w:rPr>
          <w:rFonts w:ascii="Arial" w:cs="Arial" w:eastAsia="Arial" w:hAnsi="Arial"/>
          <w:sz w:val="19"/>
          <w:szCs w:val="19"/>
          <w:color w:val="auto"/>
        </w:rPr>
        <w:t xml:space="preserve"> can be modified only by a writing signed by both parties.</w:t>
      </w:r>
    </w:p>
    <w:p>
      <w:pPr>
        <w:spacing w:after="0" w:line="142" w:lineRule="exact"/>
        <w:rPr>
          <w:rFonts w:ascii="Arial" w:cs="Arial" w:eastAsia="Arial" w:hAnsi="Arial"/>
          <w:sz w:val="19"/>
          <w:szCs w:val="19"/>
          <w:color w:val="auto"/>
        </w:rPr>
      </w:pPr>
    </w:p>
    <w:p>
      <w:pPr>
        <w:ind w:firstLine="1516"/>
        <w:spacing w:after="0" w:line="259" w:lineRule="auto"/>
        <w:tabs>
          <w:tab w:leader="none" w:pos="1900" w:val="left"/>
        </w:tabs>
        <w:numPr>
          <w:ilvl w:val="0"/>
          <w:numId w:val="181"/>
        </w:numPr>
        <w:rPr>
          <w:rFonts w:ascii="Arial" w:cs="Arial" w:eastAsia="Arial" w:hAnsi="Arial"/>
          <w:sz w:val="19"/>
          <w:szCs w:val="19"/>
          <w:color w:val="auto"/>
        </w:rPr>
      </w:pPr>
      <w:r>
        <w:rPr>
          <w:rFonts w:ascii="Arial" w:cs="Arial" w:eastAsia="Arial" w:hAnsi="Arial"/>
          <w:sz w:val="19"/>
          <w:szCs w:val="19"/>
          <w:u w:val="single" w:color="auto"/>
          <w:color w:val="auto"/>
        </w:rPr>
        <w:t>Supersedes Prior Agreements</w:t>
      </w:r>
      <w:r>
        <w:rPr>
          <w:rFonts w:ascii="Arial" w:cs="Arial" w:eastAsia="Arial" w:hAnsi="Arial"/>
          <w:sz w:val="19"/>
          <w:szCs w:val="19"/>
          <w:color w:val="auto"/>
        </w:rPr>
        <w:t>. With respect to the period covered by the Contract Period, this Agreement supersedes and cancels all prior agreements relating to your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[REMAINDER OF PAGE INTENTIONALLY LEFT BLANK]</w:t>
      </w:r>
    </w:p>
    <w:p>
      <w:pPr>
        <w:sectPr>
          <w:pgSz w:w="11900" w:h="16838" w:orient="portrait"/>
          <w:cols w:equalWidth="0" w:num="1">
            <w:col w:w="11240"/>
          </w:cols>
          <w:pgMar w:left="320" w:top="595" w:right="339" w:bottom="1440" w:gutter="0" w:footer="0" w:header="0"/>
        </w:sectPr>
      </w:pPr>
    </w:p>
    <w:bookmarkStart w:id="200" w:name="page201"/>
    <w:bookmarkEnd w:id="200"/>
    <w:p>
      <w:pPr>
        <w:spacing w:after="0"/>
        <w:rPr>
          <w:sz w:val="20"/>
          <w:szCs w:val="20"/>
          <w:color w:val="auto"/>
        </w:rPr>
      </w:pPr>
      <w:r>
        <w:rPr>
          <w:rFonts w:ascii="Arial" w:cs="Arial" w:eastAsia="Arial" w:hAnsi="Arial"/>
          <w:sz w:val="19"/>
          <w:szCs w:val="19"/>
          <w:color w:val="auto"/>
        </w:rPr>
        <w:t>Brian Robbins</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As of December 15, 2023</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Page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1272"/>
        <w:spacing w:after="0" w:line="270" w:lineRule="auto"/>
        <w:rPr>
          <w:sz w:val="20"/>
          <w:szCs w:val="20"/>
          <w:color w:val="auto"/>
        </w:rPr>
      </w:pPr>
      <w:r>
        <w:rPr>
          <w:rFonts w:ascii="Arial" w:cs="Arial" w:eastAsia="Arial" w:hAnsi="Arial"/>
          <w:sz w:val="19"/>
          <w:szCs w:val="19"/>
          <w:color w:val="auto"/>
        </w:rPr>
        <w:t>Please confirm your understanding of the Agreement by signing and returning this Agreement that has been provided to you. This document shall constitute a binding agreement between us only after it also has been executed by the Company and a fully executed copy has been returned to you. Facsimile signatures, digital signatures, and signatures delivered and obtained in e-mail PDF format will be deemed originals for all purposes.</w:t>
      </w:r>
    </w:p>
    <w:p>
      <w:pPr>
        <w:spacing w:after="0" w:line="236"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Very truly yours,</w:t>
      </w:r>
    </w:p>
    <w:p>
      <w:pPr>
        <w:spacing w:after="0" w:line="310" w:lineRule="exact"/>
        <w:rPr>
          <w:sz w:val="20"/>
          <w:szCs w:val="20"/>
          <w:color w:val="auto"/>
        </w:rPr>
      </w:pPr>
    </w:p>
    <w:p>
      <w:pPr>
        <w:ind w:left="4760"/>
        <w:spacing w:after="0"/>
        <w:rPr>
          <w:sz w:val="20"/>
          <w:szCs w:val="20"/>
          <w:color w:val="auto"/>
        </w:rPr>
      </w:pPr>
      <w:r>
        <w:rPr>
          <w:rFonts w:ascii="Arial" w:cs="Arial" w:eastAsia="Arial" w:hAnsi="Arial"/>
          <w:sz w:val="19"/>
          <w:szCs w:val="19"/>
          <w:b w:val="1"/>
          <w:bCs w:val="1"/>
          <w:color w:val="auto"/>
        </w:rPr>
        <w:t>PARAMOUNT GLOBAL</w:t>
      </w:r>
    </w:p>
    <w:p>
      <w:pPr>
        <w:spacing w:after="0" w:line="247" w:lineRule="exact"/>
        <w:rPr>
          <w:sz w:val="20"/>
          <w:szCs w:val="20"/>
          <w:color w:val="auto"/>
        </w:rPr>
      </w:pPr>
    </w:p>
    <w:p>
      <w:pPr>
        <w:ind w:left="4760"/>
        <w:spacing w:after="0"/>
        <w:tabs>
          <w:tab w:leader="none" w:pos="5260" w:val="left"/>
        </w:tabs>
        <w:rPr>
          <w:sz w:val="20"/>
          <w:szCs w:val="20"/>
          <w:color w:val="auto"/>
        </w:rPr>
      </w:pPr>
      <w:r>
        <w:rPr>
          <w:rFonts w:ascii="Arial" w:cs="Arial" w:eastAsia="Arial" w:hAnsi="Arial"/>
          <w:sz w:val="19"/>
          <w:szCs w:val="19"/>
          <w:color w:val="auto"/>
        </w:rPr>
        <w:t>By:</w:t>
        <w:tab/>
        <w:t>/s/ Nancy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3302000</wp:posOffset>
            </wp:positionH>
            <wp:positionV relativeFrom="paragraph">
              <wp:posOffset>26670</wp:posOffset>
            </wp:positionV>
            <wp:extent cx="302895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5">
                      <a:extLst>
                        <a:ext uri="{28A0092B-C50C-407E-A947-70E740481C1C}"/>
                      </a:extLst>
                    </a:blip>
                    <a:srcRect/>
                    <a:stretch>
                      <a:fillRect/>
                    </a:stretch>
                  </pic:blipFill>
                  <pic:spPr bwMode="auto">
                    <a:xfrm>
                      <a:off x="0" y="0"/>
                      <a:ext cx="3028950" cy="8255"/>
                    </a:xfrm>
                    <a:prstGeom prst="rect">
                      <a:avLst/>
                    </a:prstGeom>
                    <a:noFill/>
                  </pic:spPr>
                </pic:pic>
              </a:graphicData>
            </a:graphic>
          </wp:anchor>
        </w:drawing>
      </w:r>
    </w:p>
    <w:p>
      <w:pPr>
        <w:spacing w:after="0" w:line="40" w:lineRule="exact"/>
        <w:rPr>
          <w:sz w:val="20"/>
          <w:szCs w:val="20"/>
          <w:color w:val="auto"/>
        </w:rPr>
      </w:pPr>
    </w:p>
    <w:p>
      <w:pPr>
        <w:ind w:left="5220"/>
        <w:spacing w:after="0"/>
        <w:rPr>
          <w:sz w:val="20"/>
          <w:szCs w:val="20"/>
          <w:color w:val="auto"/>
        </w:rPr>
      </w:pPr>
      <w:r>
        <w:rPr>
          <w:rFonts w:ascii="Arial" w:cs="Arial" w:eastAsia="Arial" w:hAnsi="Arial"/>
          <w:sz w:val="19"/>
          <w:szCs w:val="19"/>
          <w:color w:val="auto"/>
        </w:rPr>
        <w:t>Nancy Phillips</w:t>
      </w:r>
    </w:p>
    <w:p>
      <w:pPr>
        <w:spacing w:after="0" w:line="60" w:lineRule="exact"/>
        <w:rPr>
          <w:sz w:val="20"/>
          <w:szCs w:val="20"/>
          <w:color w:val="auto"/>
        </w:rPr>
      </w:pPr>
    </w:p>
    <w:p>
      <w:pPr>
        <w:ind w:left="5220"/>
        <w:spacing w:after="0"/>
        <w:rPr>
          <w:sz w:val="20"/>
          <w:szCs w:val="20"/>
          <w:color w:val="auto"/>
        </w:rPr>
      </w:pPr>
      <w:r>
        <w:rPr>
          <w:rFonts w:ascii="Arial" w:cs="Arial" w:eastAsia="Arial" w:hAnsi="Arial"/>
          <w:sz w:val="19"/>
          <w:szCs w:val="19"/>
          <w:color w:val="auto"/>
        </w:rPr>
        <w:t>Executive Vice President,</w:t>
      </w:r>
    </w:p>
    <w:p>
      <w:pPr>
        <w:spacing w:after="0" w:line="47" w:lineRule="exact"/>
        <w:rPr>
          <w:sz w:val="20"/>
          <w:szCs w:val="20"/>
          <w:color w:val="auto"/>
        </w:rPr>
      </w:pPr>
    </w:p>
    <w:p>
      <w:pPr>
        <w:ind w:left="5220"/>
        <w:spacing w:after="0"/>
        <w:rPr>
          <w:sz w:val="20"/>
          <w:szCs w:val="20"/>
          <w:color w:val="auto"/>
        </w:rPr>
      </w:pPr>
      <w:r>
        <w:rPr>
          <w:rFonts w:ascii="Arial" w:cs="Arial" w:eastAsia="Arial" w:hAnsi="Arial"/>
          <w:sz w:val="19"/>
          <w:szCs w:val="19"/>
          <w:color w:val="auto"/>
        </w:rPr>
        <w:t>Chief People Officer</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ACCEPTED AND AGREED:</w:t>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9"/>
          <w:szCs w:val="19"/>
          <w:color w:val="auto"/>
        </w:rPr>
        <w:t>/s/ Brian Robbins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26670</wp:posOffset>
            </wp:positionV>
            <wp:extent cx="223774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6">
                      <a:extLst>
                        <a:ext uri="{28A0092B-C50C-407E-A947-70E740481C1C}"/>
                      </a:extLst>
                    </a:blip>
                    <a:srcRect/>
                    <a:stretch>
                      <a:fillRect/>
                    </a:stretch>
                  </pic:blipFill>
                  <pic:spPr bwMode="auto">
                    <a:xfrm>
                      <a:off x="0" y="0"/>
                      <a:ext cx="2237740" cy="825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9"/>
          <w:szCs w:val="19"/>
          <w:color w:val="auto"/>
        </w:rPr>
        <w:t>Brian Robbins</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9"/>
          <w:szCs w:val="19"/>
          <w:color w:val="auto"/>
        </w:rPr>
        <w:t>Dated: 12/13/2023</w:t>
      </w:r>
    </w:p>
    <w:p>
      <w:pPr>
        <w:sectPr>
          <w:pgSz w:w="11900" w:h="16838" w:orient="portrait"/>
          <w:cols w:equalWidth="0" w:num="1">
            <w:col w:w="11240"/>
          </w:cols>
          <w:pgMar w:left="320" w:top="595" w:right="339" w:bottom="1440" w:gutter="0" w:footer="0" w:header="0"/>
        </w:sectPr>
      </w:pPr>
    </w:p>
    <w:bookmarkStart w:id="201" w:name="page202"/>
    <w:bookmarkEnd w:id="201"/>
    <w:p>
      <w:pPr>
        <w:spacing w:after="0" w:line="267" w:lineRule="exact"/>
        <w:rPr>
          <w:sz w:val="20"/>
          <w:szCs w:val="20"/>
          <w:color w:val="auto"/>
        </w:rPr>
      </w:pPr>
    </w:p>
    <w:p>
      <w:pPr>
        <w:ind w:left="10160"/>
        <w:spacing w:after="0"/>
        <w:rPr>
          <w:sz w:val="20"/>
          <w:szCs w:val="20"/>
          <w:color w:val="auto"/>
        </w:rPr>
      </w:pPr>
      <w:r>
        <w:rPr>
          <w:rFonts w:ascii="Arial" w:cs="Arial" w:eastAsia="Arial" w:hAnsi="Arial"/>
          <w:sz w:val="19"/>
          <w:szCs w:val="19"/>
          <w:b w:val="1"/>
          <w:bCs w:val="1"/>
          <w:u w:val="single" w:color="auto"/>
          <w:color w:val="auto"/>
        </w:rPr>
        <w:t>Appendix A</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[Insert name and home address]</w:t>
      </w:r>
    </w:p>
    <w:p>
      <w:pPr>
        <w:spacing w:after="0" w:line="200" w:lineRule="exact"/>
        <w:rPr>
          <w:sz w:val="20"/>
          <w:szCs w:val="20"/>
          <w:color w:val="auto"/>
        </w:rPr>
      </w:pPr>
    </w:p>
    <w:p>
      <w:pPr>
        <w:spacing w:after="0" w:line="239" w:lineRule="exact"/>
        <w:rPr>
          <w:sz w:val="20"/>
          <w:szCs w:val="20"/>
          <w:color w:val="auto"/>
        </w:rPr>
      </w:pPr>
    </w:p>
    <w:p>
      <w:pPr>
        <w:jc w:val="both"/>
        <w:ind w:firstLine="636"/>
        <w:spacing w:after="0" w:line="228" w:lineRule="auto"/>
        <w:rPr>
          <w:sz w:val="20"/>
          <w:szCs w:val="20"/>
          <w:color w:val="auto"/>
        </w:rPr>
      </w:pPr>
      <w:r>
        <w:rPr>
          <w:rFonts w:ascii="Arial" w:cs="Arial" w:eastAsia="Arial" w:hAnsi="Arial"/>
          <w:sz w:val="19"/>
          <w:szCs w:val="19"/>
          <w:color w:val="auto"/>
        </w:rPr>
        <w:t>This General Release of all Claims (this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by [insert executive’s name] (the “</w:t>
      </w:r>
      <w:r>
        <w:rPr>
          <w:rFonts w:ascii="Arial" w:cs="Arial" w:eastAsia="Arial" w:hAnsi="Arial"/>
          <w:sz w:val="19"/>
          <w:szCs w:val="19"/>
          <w:u w:val="single" w:color="auto"/>
          <w:color w:val="auto"/>
        </w:rPr>
        <w:t>Executive</w:t>
      </w:r>
      <w:r>
        <w:rPr>
          <w:rFonts w:ascii="Arial" w:cs="Arial" w:eastAsia="Arial" w:hAnsi="Arial"/>
          <w:sz w:val="19"/>
          <w:szCs w:val="19"/>
          <w:color w:val="auto"/>
        </w:rPr>
        <w:t>”) and [insert name of employer] (the “</w:t>
      </w:r>
      <w:r>
        <w:rPr>
          <w:rFonts w:ascii="Arial" w:cs="Arial" w:eastAsia="Arial" w:hAnsi="Arial"/>
          <w:sz w:val="19"/>
          <w:szCs w:val="19"/>
          <w:u w:val="single" w:color="auto"/>
          <w:color w:val="auto"/>
        </w:rPr>
        <w:t>Company</w:t>
      </w:r>
      <w:r>
        <w:rPr>
          <w:rFonts w:ascii="Arial" w:cs="Arial" w:eastAsia="Arial" w:hAnsi="Arial"/>
          <w:sz w:val="19"/>
          <w:szCs w:val="19"/>
          <w:color w:val="auto"/>
        </w:rPr>
        <w:t>”), effective as of _____________________.</w:t>
      </w:r>
      <w:r>
        <w:rPr>
          <w:rFonts w:ascii="Arial" w:cs="Arial" w:eastAsia="Arial" w:hAnsi="Arial"/>
          <w:sz w:val="25"/>
          <w:szCs w:val="25"/>
          <w:color w:val="auto"/>
          <w:vertAlign w:val="superscript"/>
        </w:rPr>
        <w:t>1</w:t>
      </w:r>
      <w:r>
        <w:rPr>
          <w:rFonts w:ascii="Arial" w:cs="Arial" w:eastAsia="Arial" w:hAnsi="Arial"/>
          <w:sz w:val="19"/>
          <w:szCs w:val="19"/>
          <w:color w:val="auto"/>
        </w:rPr>
        <w:t xml:space="preserve"> For purposes of this Agreement,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Paramount</w:t>
      </w:r>
      <w:r>
        <w:rPr>
          <w:rFonts w:ascii="Arial" w:cs="Arial" w:eastAsia="Arial" w:hAnsi="Arial"/>
          <w:sz w:val="19"/>
          <w:szCs w:val="19"/>
          <w:color w:val="auto"/>
        </w:rPr>
        <w:t>” shall mean Paramount and its subsidiaries.</w:t>
      </w:r>
    </w:p>
    <w:p>
      <w:pPr>
        <w:spacing w:after="0" w:line="214" w:lineRule="exact"/>
        <w:rPr>
          <w:sz w:val="20"/>
          <w:szCs w:val="20"/>
          <w:color w:val="auto"/>
        </w:rPr>
      </w:pPr>
    </w:p>
    <w:p>
      <w:pPr>
        <w:ind w:firstLine="636"/>
        <w:spacing w:after="0" w:line="302" w:lineRule="auto"/>
        <w:rPr>
          <w:sz w:val="20"/>
          <w:szCs w:val="20"/>
          <w:color w:val="auto"/>
        </w:rPr>
      </w:pPr>
      <w:r>
        <w:rPr>
          <w:rFonts w:ascii="Arial" w:cs="Arial" w:eastAsia="Arial" w:hAnsi="Arial"/>
          <w:sz w:val="19"/>
          <w:szCs w:val="19"/>
          <w:color w:val="auto"/>
        </w:rPr>
        <w:t>In consideration of the promises set forth in the letter agreement between the Executive and the Company, dated [insert date] (the “</w:t>
      </w:r>
      <w:r>
        <w:rPr>
          <w:rFonts w:ascii="Arial" w:cs="Arial" w:eastAsia="Arial" w:hAnsi="Arial"/>
          <w:sz w:val="19"/>
          <w:szCs w:val="19"/>
          <w:u w:val="single" w:color="auto"/>
          <w:color w:val="auto"/>
        </w:rPr>
        <w:t>Employment Agreement</w:t>
      </w:r>
      <w:r>
        <w:rPr>
          <w:rFonts w:ascii="Arial" w:cs="Arial" w:eastAsia="Arial" w:hAnsi="Arial"/>
          <w:sz w:val="19"/>
          <w:szCs w:val="19"/>
          <w:color w:val="auto"/>
        </w:rPr>
        <w:t>”), the Executive and the Company agree as follows:</w:t>
      </w:r>
    </w:p>
    <w:p>
      <w:pPr>
        <w:spacing w:after="0" w:line="113" w:lineRule="exact"/>
        <w:rPr>
          <w:sz w:val="20"/>
          <w:szCs w:val="20"/>
          <w:color w:val="auto"/>
        </w:rPr>
      </w:pPr>
    </w:p>
    <w:p>
      <w:pPr>
        <w:jc w:val="both"/>
        <w:ind w:firstLine="1516"/>
        <w:spacing w:after="0" w:line="230" w:lineRule="auto"/>
        <w:tabs>
          <w:tab w:leader="none" w:pos="1898" w:val="left"/>
        </w:tabs>
        <w:numPr>
          <w:ilvl w:val="1"/>
          <w:numId w:val="182"/>
        </w:numPr>
        <w:rPr>
          <w:rFonts w:ascii="Arial" w:cs="Arial" w:eastAsia="Arial" w:hAnsi="Arial"/>
          <w:sz w:val="19"/>
          <w:szCs w:val="19"/>
          <w:color w:val="auto"/>
        </w:rPr>
      </w:pPr>
      <w:r>
        <w:rPr>
          <w:rFonts w:ascii="Arial" w:cs="Arial" w:eastAsia="Arial" w:hAnsi="Arial"/>
          <w:sz w:val="19"/>
          <w:szCs w:val="19"/>
          <w:u w:val="single" w:color="auto"/>
          <w:color w:val="auto"/>
        </w:rPr>
        <w:t>Return of Property</w:t>
      </w:r>
      <w:r>
        <w:rPr>
          <w:rFonts w:ascii="Arial" w:cs="Arial" w:eastAsia="Arial" w:hAnsi="Arial"/>
          <w:sz w:val="19"/>
          <w:szCs w:val="19"/>
          <w:color w:val="auto"/>
        </w:rPr>
        <w:t>. All Company files, access keys and codes, desk keys, ID badges, computers, records, manuals, electronic devices, computer programs, papers, electronically stored information or documents, telephones and credit cards, and any other property of the Company in the Executive’s possession must be returned no later than the date of the Executive’s termination from the Company.</w:t>
      </w:r>
    </w:p>
    <w:p>
      <w:pPr>
        <w:spacing w:after="0" w:line="156" w:lineRule="exact"/>
        <w:rPr>
          <w:rFonts w:ascii="Arial" w:cs="Arial" w:eastAsia="Arial" w:hAnsi="Arial"/>
          <w:sz w:val="19"/>
          <w:szCs w:val="19"/>
          <w:color w:val="auto"/>
        </w:rPr>
      </w:pPr>
    </w:p>
    <w:p>
      <w:pPr>
        <w:ind w:left="1900" w:hanging="384"/>
        <w:spacing w:after="0"/>
        <w:tabs>
          <w:tab w:leader="none" w:pos="1900" w:val="left"/>
        </w:tabs>
        <w:numPr>
          <w:ilvl w:val="1"/>
          <w:numId w:val="182"/>
        </w:numPr>
        <w:rPr>
          <w:rFonts w:ascii="Arial" w:cs="Arial" w:eastAsia="Arial" w:hAnsi="Arial"/>
          <w:sz w:val="19"/>
          <w:szCs w:val="19"/>
          <w:color w:val="auto"/>
        </w:rPr>
      </w:pPr>
      <w:r>
        <w:rPr>
          <w:rFonts w:ascii="Arial" w:cs="Arial" w:eastAsia="Arial" w:hAnsi="Arial"/>
          <w:sz w:val="19"/>
          <w:szCs w:val="19"/>
          <w:u w:val="single" w:color="auto"/>
          <w:color w:val="auto"/>
        </w:rPr>
        <w:t>General Release and Waiver of Claims</w:t>
      </w:r>
      <w:r>
        <w:rPr>
          <w:rFonts w:ascii="Arial" w:cs="Arial" w:eastAsia="Arial" w:hAnsi="Arial"/>
          <w:sz w:val="19"/>
          <w:szCs w:val="19"/>
          <w:color w:val="auto"/>
        </w:rPr>
        <w:t>.</w:t>
      </w:r>
    </w:p>
    <w:p>
      <w:pPr>
        <w:spacing w:after="0" w:line="179" w:lineRule="exact"/>
        <w:rPr>
          <w:rFonts w:ascii="Arial" w:cs="Arial" w:eastAsia="Arial" w:hAnsi="Arial"/>
          <w:sz w:val="19"/>
          <w:szCs w:val="19"/>
          <w:color w:val="auto"/>
        </w:rPr>
      </w:pPr>
    </w:p>
    <w:p>
      <w:pPr>
        <w:jc w:val="both"/>
        <w:ind w:firstLine="1278"/>
        <w:spacing w:after="0" w:line="230" w:lineRule="auto"/>
        <w:tabs>
          <w:tab w:leader="none" w:pos="1907" w:val="left"/>
        </w:tabs>
        <w:numPr>
          <w:ilvl w:val="0"/>
          <w:numId w:val="183"/>
        </w:numPr>
        <w:rPr>
          <w:rFonts w:ascii="Arial" w:cs="Arial" w:eastAsia="Arial" w:hAnsi="Arial"/>
          <w:sz w:val="19"/>
          <w:szCs w:val="19"/>
          <w:color w:val="auto"/>
        </w:rPr>
      </w:pPr>
      <w:r>
        <w:rPr>
          <w:rFonts w:ascii="Arial" w:cs="Arial" w:eastAsia="Arial" w:hAnsi="Arial"/>
          <w:sz w:val="19"/>
          <w:szCs w:val="19"/>
          <w:u w:val="single" w:color="auto"/>
          <w:color w:val="auto"/>
        </w:rPr>
        <w:t>Release</w:t>
      </w:r>
      <w:r>
        <w:rPr>
          <w:rFonts w:ascii="Arial" w:cs="Arial" w:eastAsia="Arial" w:hAnsi="Arial"/>
          <w:sz w:val="19"/>
          <w:szCs w:val="19"/>
          <w:color w:val="auto"/>
        </w:rPr>
        <w:t>. In consideration of the payments and benefits provided to the Executive under the Employment Agreement and after consultation with counsel, the Executive and each of the Executive’s respective heirs, executors, administrators, representatives, agents, insurers, successors and assigns (collectively, the “</w:t>
      </w:r>
      <w:r>
        <w:rPr>
          <w:rFonts w:ascii="Arial" w:cs="Arial" w:eastAsia="Arial" w:hAnsi="Arial"/>
          <w:sz w:val="19"/>
          <w:szCs w:val="19"/>
          <w:u w:val="single" w:color="auto"/>
          <w:color w:val="auto"/>
        </w:rPr>
        <w:t>Releasors</w:t>
      </w:r>
      <w:r>
        <w:rPr>
          <w:rFonts w:ascii="Arial" w:cs="Arial" w:eastAsia="Arial" w:hAnsi="Arial"/>
          <w:sz w:val="19"/>
          <w:szCs w:val="19"/>
          <w:color w:val="auto"/>
        </w:rPr>
        <w:t>”) hereby irrevocably and unconditionally release and forever discharge the Company, Paramount and their subsidiaries and affiliates, predecessors, successors and each of their respective officers, employees, directors, shareholders and agents (“</w:t>
      </w:r>
      <w:r>
        <w:rPr>
          <w:rFonts w:ascii="Arial" w:cs="Arial" w:eastAsia="Arial" w:hAnsi="Arial"/>
          <w:sz w:val="19"/>
          <w:szCs w:val="19"/>
          <w:u w:val="single" w:color="auto"/>
          <w:color w:val="auto"/>
        </w:rPr>
        <w:t>Releasees</w:t>
      </w:r>
      <w:r>
        <w:rPr>
          <w:rFonts w:ascii="Arial" w:cs="Arial" w:eastAsia="Arial" w:hAnsi="Arial"/>
          <w:sz w:val="19"/>
          <w:szCs w:val="19"/>
          <w:color w:val="auto"/>
        </w:rPr>
        <w:t>”) from any and all claims, actions, causes of action, rights, judgments, obligations, damages, demands, accountings or liabilities of whatever kind or character (collectively, “</w:t>
      </w:r>
      <w:r>
        <w:rPr>
          <w:rFonts w:ascii="Arial" w:cs="Arial" w:eastAsia="Arial" w:hAnsi="Arial"/>
          <w:sz w:val="19"/>
          <w:szCs w:val="19"/>
          <w:u w:val="single" w:color="auto"/>
          <w:color w:val="auto"/>
        </w:rPr>
        <w:t>Claims</w:t>
      </w:r>
      <w:r>
        <w:rPr>
          <w:rFonts w:ascii="Arial" w:cs="Arial" w:eastAsia="Arial" w:hAnsi="Arial"/>
          <w:sz w:val="19"/>
          <w:szCs w:val="19"/>
          <w:color w:val="auto"/>
        </w:rPr>
        <w:t>”), including, without limitation, any Claims under any federal, state, local or foreign law, that the Releasors may have, or in the future may possess, arising out of (i) the Executive’s employment relationship with and service as an employee, officer or director of the Company, or any subsidiaries, successors, predecessors or affiliated companies and the termination of such relationship or service, and (ii) any event, condition, circumstance or obligation that occurred, existed or arose on or prior to the date hereof and relates to your employment with the Company; provided, however, that the Executive does not release, discharge or waive any rights to (i) payments and benefits provided under the Employment Agreement that are contingent upon the execution by the Executive of this Agreement or otherwise expressly survive termination thereof and (ii) any indemnification rights the Executive may have in accordance with the Company’s governance instruments or under any director and officer liability insurance maintained by the Company with respect to liabilities arising as a result of the Executive’s service as an officer and employee of the Company. Executive represents that the Executive does not have, and has not asserted, any Claims for or allegations concerning sexual or gender-based harassment with respect to the Executive’s employment with the Company.</w:t>
      </w:r>
    </w:p>
    <w:p>
      <w:pPr>
        <w:spacing w:after="0" w:line="150" w:lineRule="exact"/>
        <w:rPr>
          <w:rFonts w:ascii="Arial" w:cs="Arial" w:eastAsia="Arial" w:hAnsi="Arial"/>
          <w:sz w:val="19"/>
          <w:szCs w:val="19"/>
          <w:color w:val="auto"/>
        </w:rPr>
      </w:pPr>
    </w:p>
    <w:p>
      <w:pPr>
        <w:ind w:firstLine="1278"/>
        <w:spacing w:after="0" w:line="259" w:lineRule="auto"/>
        <w:tabs>
          <w:tab w:leader="none" w:pos="1907" w:val="left"/>
        </w:tabs>
        <w:numPr>
          <w:ilvl w:val="0"/>
          <w:numId w:val="183"/>
        </w:numPr>
        <w:rPr>
          <w:rFonts w:ascii="Arial" w:cs="Arial" w:eastAsia="Arial" w:hAnsi="Arial"/>
          <w:sz w:val="19"/>
          <w:szCs w:val="19"/>
          <w:color w:val="auto"/>
        </w:rPr>
      </w:pPr>
      <w:r>
        <w:rPr>
          <w:rFonts w:ascii="Arial" w:cs="Arial" w:eastAsia="Arial" w:hAnsi="Arial"/>
          <w:sz w:val="19"/>
          <w:szCs w:val="19"/>
          <w:u w:val="single" w:color="auto"/>
          <w:color w:val="auto"/>
        </w:rPr>
        <w:t>Section 1542 of the Civil Code of the State of California Waiver</w:t>
      </w:r>
      <w:r>
        <w:rPr>
          <w:rFonts w:ascii="Arial" w:cs="Arial" w:eastAsia="Arial" w:hAnsi="Arial"/>
          <w:sz w:val="19"/>
          <w:szCs w:val="19"/>
          <w:color w:val="auto"/>
        </w:rPr>
        <w:t>. The Executive acknowledges that the Executive may hereafter discover Claims or facts in addition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227330</wp:posOffset>
            </wp:positionV>
            <wp:extent cx="161544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7">
                      <a:extLst>
                        <a:ext uri="{28A0092B-C50C-407E-A947-70E740481C1C}"/>
                      </a:extLst>
                    </a:blip>
                    <a:srcRect/>
                    <a:stretch>
                      <a:fillRect/>
                    </a:stretch>
                  </pic:blipFill>
                  <pic:spPr bwMode="auto">
                    <a:xfrm>
                      <a:off x="0" y="0"/>
                      <a:ext cx="161544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00" w:hanging="94"/>
        <w:spacing w:after="0"/>
        <w:tabs>
          <w:tab w:leader="none" w:pos="100" w:val="left"/>
        </w:tabs>
        <w:numPr>
          <w:ilvl w:val="0"/>
          <w:numId w:val="184"/>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This date should coincide with termination of employment and should not be filled in at the time of the signing of the employment agreement.</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or different from those which the Executive now knows or believes to exist with respect to the subject matter of this release and</w:t>
      </w:r>
    </w:p>
    <w:p>
      <w:pPr>
        <w:spacing w:after="0" w:line="211" w:lineRule="auto"/>
        <w:rPr>
          <w:sz w:val="20"/>
          <w:szCs w:val="20"/>
          <w:color w:val="auto"/>
        </w:rPr>
      </w:pPr>
      <w:r>
        <w:rPr>
          <w:rFonts w:ascii="Arial" w:cs="Arial" w:eastAsia="Arial" w:hAnsi="Arial"/>
          <w:sz w:val="19"/>
          <w:szCs w:val="19"/>
          <w:color w:val="auto"/>
        </w:rPr>
        <w:t>which, if known or suspected at the time of executing this release, may have materially affected this release or the Executive’s decision to enter into it. Nevertheless, the Releasors hereby waive any right or Claim that might arise as a result of such different</w:t>
      </w:r>
    </w:p>
    <w:p>
      <w:pPr>
        <w:spacing w:after="0" w:line="218" w:lineRule="auto"/>
        <w:rPr>
          <w:sz w:val="20"/>
          <w:szCs w:val="20"/>
          <w:color w:val="auto"/>
        </w:rPr>
      </w:pPr>
      <w:r>
        <w:rPr>
          <w:rFonts w:ascii="Arial" w:cs="Arial" w:eastAsia="Arial" w:hAnsi="Arial"/>
          <w:sz w:val="19"/>
          <w:szCs w:val="19"/>
          <w:color w:val="auto"/>
        </w:rPr>
        <w:t>or additional Claims or facts and the Releasors hereby expressly waive any and all rights and benefits conferred upon the</w:t>
      </w:r>
    </w:p>
    <w:p>
      <w:pPr>
        <w:spacing w:after="0"/>
        <w:rPr>
          <w:sz w:val="20"/>
          <w:szCs w:val="20"/>
          <w:color w:val="auto"/>
        </w:rPr>
      </w:pPr>
      <w:r>
        <w:rPr>
          <w:rFonts w:ascii="Arial" w:cs="Arial" w:eastAsia="Arial" w:hAnsi="Arial"/>
          <w:sz w:val="19"/>
          <w:szCs w:val="19"/>
          <w:color w:val="auto"/>
        </w:rPr>
        <w:t>Releasors by the provisions of Section 1542 of the Civil Code of the State of California, which provides as follows:</w:t>
      </w:r>
    </w:p>
    <w:p>
      <w:pPr>
        <w:spacing w:after="0" w:line="161" w:lineRule="exact"/>
        <w:rPr>
          <w:sz w:val="20"/>
          <w:szCs w:val="20"/>
          <w:color w:val="auto"/>
        </w:rPr>
      </w:pPr>
    </w:p>
    <w:p>
      <w:pPr>
        <w:ind w:left="1280" w:right="1280"/>
        <w:spacing w:after="0" w:line="228" w:lineRule="auto"/>
        <w:rPr>
          <w:sz w:val="20"/>
          <w:szCs w:val="20"/>
          <w:color w:val="auto"/>
        </w:rPr>
      </w:pPr>
      <w:r>
        <w:rPr>
          <w:rFonts w:ascii="Arial" w:cs="Arial" w:eastAsia="Arial" w:hAnsi="Arial"/>
          <w:sz w:val="19"/>
          <w:szCs w:val="19"/>
          <w:color w:val="auto"/>
        </w:rPr>
        <w:t>A GENERAL RELEASE DOES NOT EXTEND TO CLAIMS THAT THE CREDITOR OR RELEASING PARTY DOES NOT KNOW OR SUSPECT TO EXIST IN HIS OR HER FAVOR AT THE TIME OF</w:t>
      </w:r>
    </w:p>
    <w:p>
      <w:pPr>
        <w:ind w:left="1280" w:right="1280"/>
        <w:spacing w:after="0" w:line="211" w:lineRule="auto"/>
        <w:rPr>
          <w:sz w:val="20"/>
          <w:szCs w:val="20"/>
          <w:color w:val="auto"/>
        </w:rPr>
      </w:pPr>
      <w:r>
        <w:rPr>
          <w:rFonts w:ascii="Arial" w:cs="Arial" w:eastAsia="Arial" w:hAnsi="Arial"/>
          <w:sz w:val="19"/>
          <w:szCs w:val="19"/>
          <w:color w:val="auto"/>
        </w:rPr>
        <w:t>EXECUTING THE RELEASE AND THAT, IF KNOWN BY HIM OR HER WOULD HAVE MATERIALLY AFFECTED HIS OR HER SETTLEMENT WITH THE DEBTOR OR RELEASED</w:t>
      </w:r>
    </w:p>
    <w:p>
      <w:pPr>
        <w:ind w:left="1280"/>
        <w:spacing w:after="0"/>
        <w:rPr>
          <w:sz w:val="20"/>
          <w:szCs w:val="20"/>
          <w:color w:val="auto"/>
        </w:rPr>
      </w:pPr>
      <w:r>
        <w:rPr>
          <w:rFonts w:ascii="Arial" w:cs="Arial" w:eastAsia="Arial" w:hAnsi="Arial"/>
          <w:sz w:val="19"/>
          <w:szCs w:val="19"/>
          <w:color w:val="auto"/>
        </w:rPr>
        <w:t>PARTY.</w:t>
      </w:r>
    </w:p>
    <w:p>
      <w:pPr>
        <w:spacing w:after="0" w:line="174" w:lineRule="exact"/>
        <w:rPr>
          <w:sz w:val="20"/>
          <w:szCs w:val="20"/>
          <w:color w:val="auto"/>
        </w:rPr>
      </w:pPr>
    </w:p>
    <w:p>
      <w:pPr>
        <w:jc w:val="both"/>
        <w:ind w:firstLine="1278"/>
        <w:spacing w:after="0" w:line="216" w:lineRule="auto"/>
        <w:tabs>
          <w:tab w:leader="none" w:pos="1896" w:val="left"/>
        </w:tabs>
        <w:numPr>
          <w:ilvl w:val="0"/>
          <w:numId w:val="185"/>
        </w:numPr>
        <w:rPr>
          <w:rFonts w:ascii="Arial" w:cs="Arial" w:eastAsia="Arial" w:hAnsi="Arial"/>
          <w:sz w:val="19"/>
          <w:szCs w:val="19"/>
          <w:color w:val="auto"/>
        </w:rPr>
      </w:pPr>
      <w:r>
        <w:rPr>
          <w:rFonts w:ascii="Arial" w:cs="Arial" w:eastAsia="Arial" w:hAnsi="Arial"/>
          <w:sz w:val="19"/>
          <w:szCs w:val="19"/>
          <w:u w:val="single" w:color="auto"/>
          <w:color w:val="auto"/>
        </w:rPr>
        <w:t>Specific Release of ADEA Claims</w:t>
      </w:r>
      <w:r>
        <w:rPr>
          <w:rFonts w:ascii="Arial" w:cs="Arial" w:eastAsia="Arial" w:hAnsi="Arial"/>
          <w:sz w:val="19"/>
          <w:szCs w:val="19"/>
          <w:color w:val="auto"/>
        </w:rPr>
        <w:t>. In further consideration of the payments and benefits provided to the Executive under the Employment Agreement, the Releasors hereby unconditionally release and forever discharge the Releasees from any and all Claims that the Releasors may have as of the date the Executive signs this Agreement arising under the Federal Age Discrimination in Employment Act of 1967, as amended, including the Older Workers Benefit Protection Act of 1990 (“OWBPA”), and the applicable rules and regulations promulgated thereunder (“</w:t>
      </w:r>
      <w:r>
        <w:rPr>
          <w:rFonts w:ascii="Arial" w:cs="Arial" w:eastAsia="Arial" w:hAnsi="Arial"/>
          <w:sz w:val="19"/>
          <w:szCs w:val="19"/>
          <w:u w:val="single" w:color="auto"/>
          <w:color w:val="auto"/>
        </w:rPr>
        <w:t>ADEA</w:t>
      </w:r>
      <w:r>
        <w:rPr>
          <w:rFonts w:ascii="Arial" w:cs="Arial" w:eastAsia="Arial" w:hAnsi="Arial"/>
          <w:sz w:val="19"/>
          <w:szCs w:val="19"/>
          <w:color w:val="auto"/>
        </w:rPr>
        <w:t>”). By signing this Agreement, the Executive hereby acknowledges and confirms the following: (i) the Executive was advised by the Company in connection with the Executive’s termination to consult with an attorney of the Executive’s choice prior to signing this Agreement and to have such attorney explain to the Executive the terms of this Agreement, including, without limitation, the terms relating to the Executive’s release of claims arising under ADEA, and the Executive has in fact consulted with an attorney; (ii) the Executive was given a period of not fewer than 21</w:t>
      </w:r>
      <w:r>
        <w:rPr>
          <w:rFonts w:ascii="Arial" w:cs="Arial" w:eastAsia="Arial" w:hAnsi="Arial"/>
          <w:sz w:val="19"/>
          <w:szCs w:val="19"/>
          <w:b w:val="1"/>
          <w:bCs w:val="1"/>
          <w:color w:val="auto"/>
        </w:rPr>
        <w:t>[45]</w:t>
      </w:r>
      <w:r>
        <w:rPr>
          <w:rFonts w:ascii="Arial" w:cs="Arial" w:eastAsia="Arial" w:hAnsi="Arial"/>
          <w:sz w:val="9"/>
          <w:szCs w:val="9"/>
          <w:color w:val="auto"/>
        </w:rPr>
        <w:t>2</w:t>
      </w:r>
      <w:r>
        <w:rPr>
          <w:rFonts w:ascii="Arial" w:cs="Arial" w:eastAsia="Arial" w:hAnsi="Arial"/>
          <w:sz w:val="19"/>
          <w:szCs w:val="19"/>
          <w:color w:val="auto"/>
        </w:rPr>
        <w:t xml:space="preserve"> days to consider the terms of this Agreement and to consult with an attorney of the Executive’s choosing with respect thereto; (iii) the Executive knowingly and voluntarily accepts the terms of this Agreement; and (iv) the Executive is providing this release and discharge only in exchange for consideration in addition to anything of value to which the Executive is already entitled. The Executive also understands that the Executive has seven (7) days following the date on which the Executive signs this Agreement within which to revoke the release contained in this paragraph 2(c), by providing the Company a written notice of the Executive’s revocation of the release and waiver contained in this paragraph 2(c); provided, however, that if the Executive exercises the Executive’s right to revoke the release contained in this paragraph 2(c), the Executive shall not be entitled to any amounts paid to the Executive under the termination provisions of the Employment Agreement and the Company may reclaim any such amounts paid to the Executive and may terminate any benefits and payments that are subsequently due under the Employment Agreement, except as prohibited by the ADEA and OWBPA.</w:t>
      </w:r>
    </w:p>
    <w:p>
      <w:pPr>
        <w:spacing w:after="0" w:line="159" w:lineRule="exact"/>
        <w:rPr>
          <w:rFonts w:ascii="Arial" w:cs="Arial" w:eastAsia="Arial" w:hAnsi="Arial"/>
          <w:sz w:val="19"/>
          <w:szCs w:val="19"/>
          <w:color w:val="auto"/>
        </w:rPr>
      </w:pPr>
    </w:p>
    <w:p>
      <w:pPr>
        <w:jc w:val="both"/>
        <w:ind w:firstLine="1278"/>
        <w:spacing w:after="0" w:line="234" w:lineRule="auto"/>
        <w:tabs>
          <w:tab w:leader="none" w:pos="1907" w:val="left"/>
        </w:tabs>
        <w:numPr>
          <w:ilvl w:val="0"/>
          <w:numId w:val="185"/>
        </w:numPr>
        <w:rPr>
          <w:rFonts w:ascii="Arial" w:cs="Arial" w:eastAsia="Arial" w:hAnsi="Arial"/>
          <w:sz w:val="19"/>
          <w:szCs w:val="19"/>
          <w:color w:val="auto"/>
        </w:rPr>
      </w:pPr>
      <w:r>
        <w:rPr>
          <w:rFonts w:ascii="Arial" w:cs="Arial" w:eastAsia="Arial" w:hAnsi="Arial"/>
          <w:sz w:val="19"/>
          <w:szCs w:val="19"/>
          <w:u w:val="single" w:color="auto"/>
          <w:color w:val="auto"/>
        </w:rPr>
        <w:t>No Assignment</w:t>
      </w:r>
      <w:r>
        <w:rPr>
          <w:rFonts w:ascii="Arial" w:cs="Arial" w:eastAsia="Arial" w:hAnsi="Arial"/>
          <w:sz w:val="19"/>
          <w:szCs w:val="19"/>
          <w:color w:val="auto"/>
        </w:rPr>
        <w:t>. The Executive represents and warrants that the Executive has not assigned any of the Claims being released under this Agreement. The Company may assign this Agreement, in whole or in part, to any affiliated company or subsidiary of, or any successor in interest to, the Company.</w:t>
      </w:r>
    </w:p>
    <w:p>
      <w:pPr>
        <w:spacing w:after="0" w:line="155" w:lineRule="exact"/>
        <w:rPr>
          <w:rFonts w:ascii="Arial" w:cs="Arial" w:eastAsia="Arial" w:hAnsi="Arial"/>
          <w:sz w:val="19"/>
          <w:szCs w:val="19"/>
          <w:color w:val="auto"/>
        </w:rPr>
      </w:pPr>
    </w:p>
    <w:p>
      <w:pPr>
        <w:ind w:firstLine="1516"/>
        <w:spacing w:after="0" w:line="259" w:lineRule="auto"/>
        <w:tabs>
          <w:tab w:leader="none" w:pos="1898" w:val="left"/>
        </w:tabs>
        <w:numPr>
          <w:ilvl w:val="1"/>
          <w:numId w:val="185"/>
        </w:numPr>
        <w:rPr>
          <w:rFonts w:ascii="Arial" w:cs="Arial" w:eastAsia="Arial" w:hAnsi="Arial"/>
          <w:sz w:val="19"/>
          <w:szCs w:val="19"/>
          <w:color w:val="auto"/>
        </w:rPr>
      </w:pPr>
      <w:r>
        <w:rPr>
          <w:rFonts w:ascii="Arial" w:cs="Arial" w:eastAsia="Arial" w:hAnsi="Arial"/>
          <w:sz w:val="19"/>
          <w:szCs w:val="19"/>
          <w:u w:val="single" w:color="auto"/>
          <w:color w:val="auto"/>
        </w:rPr>
        <w:t>Communications with Administrative Agencies</w:t>
      </w:r>
      <w:r>
        <w:rPr>
          <w:rFonts w:ascii="Arial" w:cs="Arial" w:eastAsia="Arial" w:hAnsi="Arial"/>
          <w:sz w:val="19"/>
          <w:szCs w:val="19"/>
          <w:color w:val="auto"/>
        </w:rPr>
        <w:t>. Nothing in this Agreement precludes or is intended to preclude the Executive from: (i) filing a complaint and/or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454660</wp:posOffset>
            </wp:positionV>
            <wp:extent cx="161544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8">
                      <a:extLst>
                        <a:ext uri="{28A0092B-C50C-407E-A947-70E740481C1C}"/>
                      </a:extLst>
                    </a:blip>
                    <a:srcRect/>
                    <a:stretch>
                      <a:fillRect/>
                    </a:stretch>
                  </pic:blipFill>
                  <pic:spPr bwMode="auto">
                    <a:xfrm>
                      <a:off x="0" y="0"/>
                      <a:ext cx="1615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00" w:hanging="94"/>
        <w:spacing w:after="0"/>
        <w:tabs>
          <w:tab w:leader="none" w:pos="100" w:val="left"/>
        </w:tabs>
        <w:numPr>
          <w:ilvl w:val="0"/>
          <w:numId w:val="186"/>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45 days in a RIF scenario</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charge with any federal, state, or local governmental agency and/or cooperating with said agency in an investigation, including but</w:t>
      </w:r>
    </w:p>
    <w:p>
      <w:pPr>
        <w:spacing w:after="0" w:line="211" w:lineRule="auto"/>
        <w:rPr>
          <w:sz w:val="20"/>
          <w:szCs w:val="20"/>
          <w:color w:val="auto"/>
        </w:rPr>
      </w:pPr>
      <w:r>
        <w:rPr>
          <w:rFonts w:ascii="Arial" w:cs="Arial" w:eastAsia="Arial" w:hAnsi="Arial"/>
          <w:sz w:val="19"/>
          <w:szCs w:val="19"/>
          <w:color w:val="auto"/>
        </w:rPr>
        <w:t>not limited to the Equal Employment Opportunity Commission and the Securities and Exchange Commission; (ii) responding to a request for information from any governmental agency, including without limitation, agencies overseeing unemployment insurance</w:t>
      </w:r>
    </w:p>
    <w:p>
      <w:pPr>
        <w:spacing w:after="0" w:line="218" w:lineRule="auto"/>
        <w:rPr>
          <w:sz w:val="20"/>
          <w:szCs w:val="20"/>
          <w:color w:val="auto"/>
        </w:rPr>
      </w:pPr>
      <w:r>
        <w:rPr>
          <w:rFonts w:ascii="Arial" w:cs="Arial" w:eastAsia="Arial" w:hAnsi="Arial"/>
          <w:sz w:val="19"/>
          <w:szCs w:val="19"/>
          <w:color w:val="auto"/>
        </w:rPr>
        <w:t>benefits and taxing authorities; or (iii) engaging in activities protected by state, local or federal law. Should any complaint, action or</w:t>
      </w:r>
    </w:p>
    <w:p>
      <w:pPr>
        <w:spacing w:after="0" w:line="211" w:lineRule="auto"/>
        <w:rPr>
          <w:sz w:val="20"/>
          <w:szCs w:val="20"/>
          <w:color w:val="auto"/>
        </w:rPr>
      </w:pPr>
      <w:r>
        <w:rPr>
          <w:rFonts w:ascii="Arial" w:cs="Arial" w:eastAsia="Arial" w:hAnsi="Arial"/>
          <w:sz w:val="19"/>
          <w:szCs w:val="19"/>
          <w:color w:val="auto"/>
        </w:rPr>
        <w:t>charge be brought against a Releasee concerning Executive’s employment with the Company or the cessation thereof (or any other matter released pursuant to paragraph 2), Executive has waived, by signing this Agreement (unless such waiver is prohibited</w:t>
      </w:r>
    </w:p>
    <w:p>
      <w:pPr>
        <w:spacing w:after="0" w:line="218" w:lineRule="auto"/>
        <w:rPr>
          <w:sz w:val="20"/>
          <w:szCs w:val="20"/>
          <w:color w:val="auto"/>
        </w:rPr>
      </w:pPr>
      <w:r>
        <w:rPr>
          <w:rFonts w:ascii="Arial" w:cs="Arial" w:eastAsia="Arial" w:hAnsi="Arial"/>
          <w:sz w:val="19"/>
          <w:szCs w:val="19"/>
          <w:color w:val="auto"/>
        </w:rPr>
        <w:t>by applicable law), any right to any individual relief, including monetary damages, in connection with such complaint or charge,</w:t>
      </w:r>
    </w:p>
    <w:p>
      <w:pPr>
        <w:spacing w:after="0" w:line="232" w:lineRule="auto"/>
        <w:rPr>
          <w:sz w:val="20"/>
          <w:szCs w:val="20"/>
          <w:color w:val="auto"/>
        </w:rPr>
      </w:pPr>
      <w:r>
        <w:rPr>
          <w:rFonts w:ascii="Arial" w:cs="Arial" w:eastAsia="Arial" w:hAnsi="Arial"/>
          <w:sz w:val="19"/>
          <w:szCs w:val="19"/>
          <w:color w:val="auto"/>
        </w:rPr>
        <w:t>regardless of who brings any such complaint or charge, except that this Agreement does not limit Executive’s right to receive an award for information provided to any governmental agency.</w:t>
      </w:r>
    </w:p>
    <w:p>
      <w:pPr>
        <w:spacing w:after="0" w:line="156" w:lineRule="exact"/>
        <w:rPr>
          <w:sz w:val="20"/>
          <w:szCs w:val="20"/>
          <w:color w:val="auto"/>
        </w:rPr>
      </w:pPr>
    </w:p>
    <w:p>
      <w:pPr>
        <w:jc w:val="both"/>
        <w:ind w:firstLine="1516"/>
        <w:spacing w:after="0" w:line="217" w:lineRule="auto"/>
        <w:tabs>
          <w:tab w:leader="none" w:pos="1898" w:val="left"/>
        </w:tabs>
        <w:numPr>
          <w:ilvl w:val="0"/>
          <w:numId w:val="187"/>
        </w:numPr>
        <w:rPr>
          <w:rFonts w:ascii="Arial" w:cs="Arial" w:eastAsia="Arial" w:hAnsi="Arial"/>
          <w:sz w:val="19"/>
          <w:szCs w:val="19"/>
          <w:color w:val="auto"/>
        </w:rPr>
      </w:pPr>
      <w:r>
        <w:rPr>
          <w:rFonts w:ascii="Arial" w:cs="Arial" w:eastAsia="Arial" w:hAnsi="Arial"/>
          <w:sz w:val="19"/>
          <w:szCs w:val="19"/>
          <w:u w:val="single" w:color="auto"/>
          <w:color w:val="auto"/>
        </w:rPr>
        <w:t>Remedies</w:t>
      </w:r>
      <w:r>
        <w:rPr>
          <w:rFonts w:ascii="Arial" w:cs="Arial" w:eastAsia="Arial" w:hAnsi="Arial"/>
          <w:sz w:val="19"/>
          <w:szCs w:val="19"/>
          <w:color w:val="auto"/>
        </w:rPr>
        <w:t>. In the event the Executive initiates or voluntarily participates in any Proceeding in violation of this Agreement, or if the Executive fails to abide by any of the terms of this Agreement or the Executive’s post-termination obligations contained in the Employment Agreement, the Company may, in addition to any other remedies it may have, reclaim any amounts paid to the Executive under the termination provisions of the Employment Agreement and terminate any benefits or payments that are subsequently due under the Employment Agreement, except as prohibited by the ADEA and OWBPA, without waiving the release granted herein. The Executive acknowledges and agrees that the remedy at law available to the Company for breach of any of the Executive’s post-termination obligations under the Employment Agreement or the Executive’s obligations under paragraphs 2 and 3 herein would be inadequate and that damages flowing from such a breach may not readily be susceptible to being measured in monetary terms. Accordingly, the Executive acknowledges, consents and agrees that, in addition to any other rights or remedies that the Company may have at law or in equity or as may otherwise be set forth in the Employment Agreement, the Company shall be entitled to seek a temporary restraining order or a preliminary or permanent injunction, or both, without bond or other security, restraining the Executive from breaching the Executive’s post-termination obligations under the Employment Agreement or the Executive’s obligations under paragraphs 2 and 3 herein. Such injunctive relief in any court shall be available to the Company, in lieu of, or prior to or pending determination in, any arbitration proceeding.</w:t>
      </w:r>
    </w:p>
    <w:p>
      <w:pPr>
        <w:spacing w:after="0" w:line="176" w:lineRule="exact"/>
        <w:rPr>
          <w:sz w:val="20"/>
          <w:szCs w:val="20"/>
          <w:color w:val="auto"/>
        </w:rPr>
      </w:pPr>
    </w:p>
    <w:p>
      <w:pPr>
        <w:jc w:val="both"/>
        <w:ind w:firstLine="636"/>
        <w:spacing w:after="0" w:line="275" w:lineRule="auto"/>
        <w:rPr>
          <w:sz w:val="20"/>
          <w:szCs w:val="20"/>
          <w:color w:val="auto"/>
        </w:rPr>
      </w:pPr>
      <w:r>
        <w:rPr>
          <w:rFonts w:ascii="Arial" w:cs="Arial" w:eastAsia="Arial" w:hAnsi="Arial"/>
          <w:sz w:val="19"/>
          <w:szCs w:val="19"/>
          <w:color w:val="auto"/>
        </w:rPr>
        <w:t>The Executive understands that by entering into this Agreement the Executive shall be limiting the availability of certain remedies that the Executive may have against the Company and limiting also the Executive’s ability to pursue certain claims against the Company.</w:t>
      </w:r>
    </w:p>
    <w:p>
      <w:pPr>
        <w:spacing w:after="0" w:line="150" w:lineRule="exact"/>
        <w:rPr>
          <w:sz w:val="20"/>
          <w:szCs w:val="20"/>
          <w:color w:val="auto"/>
        </w:rPr>
      </w:pPr>
    </w:p>
    <w:p>
      <w:pPr>
        <w:ind w:firstLine="1516"/>
        <w:spacing w:after="0" w:line="259" w:lineRule="auto"/>
        <w:tabs>
          <w:tab w:leader="none" w:pos="1898" w:val="left"/>
        </w:tabs>
        <w:numPr>
          <w:ilvl w:val="0"/>
          <w:numId w:val="188"/>
        </w:numPr>
        <w:rPr>
          <w:rFonts w:ascii="Arial" w:cs="Arial" w:eastAsia="Arial" w:hAnsi="Arial"/>
          <w:sz w:val="19"/>
          <w:szCs w:val="19"/>
          <w:color w:val="auto"/>
        </w:rPr>
      </w:pPr>
      <w:r>
        <w:rPr>
          <w:rFonts w:ascii="Arial" w:cs="Arial" w:eastAsia="Arial" w:hAnsi="Arial"/>
          <w:sz w:val="19"/>
          <w:szCs w:val="19"/>
          <w:u w:val="single" w:color="auto"/>
          <w:color w:val="auto"/>
        </w:rPr>
        <w:t>Severability Clause</w:t>
      </w:r>
      <w:r>
        <w:rPr>
          <w:rFonts w:ascii="Arial" w:cs="Arial" w:eastAsia="Arial" w:hAnsi="Arial"/>
          <w:sz w:val="19"/>
          <w:szCs w:val="19"/>
          <w:color w:val="auto"/>
        </w:rPr>
        <w:t>. In the event any provision or part of this Agreement is found to be invalid or unenforceable, only that particular provision or part so found, and not the entire Agreement, shall be inoperative.</w:t>
      </w:r>
    </w:p>
    <w:p>
      <w:pPr>
        <w:spacing w:after="0" w:line="124" w:lineRule="exact"/>
        <w:rPr>
          <w:rFonts w:ascii="Arial" w:cs="Arial" w:eastAsia="Arial" w:hAnsi="Arial"/>
          <w:sz w:val="19"/>
          <w:szCs w:val="19"/>
          <w:color w:val="auto"/>
        </w:rPr>
      </w:pPr>
    </w:p>
    <w:p>
      <w:pPr>
        <w:ind w:firstLine="1516"/>
        <w:spacing w:after="0" w:line="259" w:lineRule="auto"/>
        <w:tabs>
          <w:tab w:leader="none" w:pos="1898" w:val="left"/>
        </w:tabs>
        <w:numPr>
          <w:ilvl w:val="0"/>
          <w:numId w:val="188"/>
        </w:numPr>
        <w:rPr>
          <w:rFonts w:ascii="Arial" w:cs="Arial" w:eastAsia="Arial" w:hAnsi="Arial"/>
          <w:sz w:val="19"/>
          <w:szCs w:val="19"/>
          <w:color w:val="auto"/>
        </w:rPr>
      </w:pPr>
      <w:r>
        <w:rPr>
          <w:rFonts w:ascii="Arial" w:cs="Arial" w:eastAsia="Arial" w:hAnsi="Arial"/>
          <w:sz w:val="19"/>
          <w:szCs w:val="19"/>
          <w:u w:val="single" w:color="auto"/>
          <w:color w:val="0C0C0C"/>
        </w:rPr>
        <w:t>Nonadmission</w:t>
      </w:r>
      <w:r>
        <w:rPr>
          <w:rFonts w:ascii="Arial" w:cs="Arial" w:eastAsia="Arial" w:hAnsi="Arial"/>
          <w:sz w:val="19"/>
          <w:szCs w:val="19"/>
          <w:color w:val="0C0C0C"/>
        </w:rPr>
        <w:t xml:space="preserve">. Nothing contained in this Agreement shall </w:t>
      </w:r>
      <w:r>
        <w:rPr>
          <w:rFonts w:ascii="Arial" w:cs="Arial" w:eastAsia="Arial" w:hAnsi="Arial"/>
          <w:sz w:val="19"/>
          <w:szCs w:val="19"/>
          <w:color w:val="000000"/>
        </w:rPr>
        <w:t>be deemed or construed as an admission of</w:t>
      </w:r>
      <w:r>
        <w:rPr>
          <w:rFonts w:ascii="Arial" w:cs="Arial" w:eastAsia="Arial" w:hAnsi="Arial"/>
          <w:sz w:val="19"/>
          <w:szCs w:val="19"/>
          <w:color w:val="0C0C0C"/>
        </w:rPr>
        <w:t xml:space="preserve"> </w:t>
      </w:r>
      <w:r>
        <w:rPr>
          <w:rFonts w:ascii="Arial" w:cs="Arial" w:eastAsia="Arial" w:hAnsi="Arial"/>
          <w:sz w:val="19"/>
          <w:szCs w:val="19"/>
          <w:color w:val="000000"/>
        </w:rPr>
        <w:t>wrongdoing or liability on the part of the Company.</w:t>
      </w:r>
    </w:p>
    <w:p>
      <w:pPr>
        <w:spacing w:after="0" w:line="137" w:lineRule="exact"/>
        <w:rPr>
          <w:rFonts w:ascii="Arial" w:cs="Arial" w:eastAsia="Arial" w:hAnsi="Arial"/>
          <w:sz w:val="19"/>
          <w:szCs w:val="19"/>
          <w:color w:val="auto"/>
        </w:rPr>
      </w:pPr>
    </w:p>
    <w:p>
      <w:pPr>
        <w:jc w:val="both"/>
        <w:ind w:firstLine="1516"/>
        <w:spacing w:after="0" w:line="225" w:lineRule="auto"/>
        <w:tabs>
          <w:tab w:leader="none" w:pos="1898" w:val="left"/>
        </w:tabs>
        <w:numPr>
          <w:ilvl w:val="0"/>
          <w:numId w:val="188"/>
        </w:numPr>
        <w:rPr>
          <w:rFonts w:ascii="Arial" w:cs="Arial" w:eastAsia="Arial" w:hAnsi="Arial"/>
          <w:sz w:val="19"/>
          <w:szCs w:val="19"/>
          <w:color w:val="auto"/>
        </w:rPr>
      </w:pPr>
      <w:r>
        <w:rPr>
          <w:rFonts w:ascii="Arial" w:cs="Arial" w:eastAsia="Arial" w:hAnsi="Arial"/>
          <w:sz w:val="19"/>
          <w:szCs w:val="19"/>
          <w:u w:val="single" w:color="auto"/>
          <w:color w:val="auto"/>
        </w:rPr>
        <w:t>GOVERNING LAW AND FORUM</w:t>
      </w:r>
      <w:r>
        <w:rPr>
          <w:rFonts w:ascii="Arial" w:cs="Arial" w:eastAsia="Arial" w:hAnsi="Arial"/>
          <w:sz w:val="19"/>
          <w:szCs w:val="19"/>
          <w:color w:val="auto"/>
        </w:rPr>
        <w:t>. The Executive acknowledges that this Agreement has been executed, in whole or in part, in California. Accordingly, the Executive agrees that this Agreement and all matters or issues arising out of or relating to the Executive’s employment with the Company shall be governed by the laws of the State of California applicable to contracts entered into and performed entirely therein. Any action to enforce or otherwise relating to this Agreement and the rights and obligations hereunder shall be brought solely in the state or federal courts located in the City of Los Angeles.</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255" w:lineRule="exact"/>
        <w:rPr>
          <w:sz w:val="20"/>
          <w:szCs w:val="20"/>
          <w:color w:val="auto"/>
        </w:rPr>
      </w:pPr>
    </w:p>
    <w:p>
      <w:pPr>
        <w:jc w:val="both"/>
        <w:ind w:firstLine="1516"/>
        <w:spacing w:after="0" w:line="230" w:lineRule="auto"/>
        <w:tabs>
          <w:tab w:leader="none" w:pos="1898" w:val="left"/>
        </w:tabs>
        <w:numPr>
          <w:ilvl w:val="0"/>
          <w:numId w:val="189"/>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Notices under this Agreement must be given in writing, by personal delivery, regular mail or receipted email, at the parties’ respective addresses shown on this Agreement (or any other address designated in writing by either party), with a copy, in the case of the Company, to the attention of the Paramount General Counsel. Any notice given by regular mail shall be deemed to have been given three (3) days following such mailing.</w:t>
      </w:r>
    </w:p>
    <w:p>
      <w:pPr>
        <w:spacing w:after="0" w:line="167" w:lineRule="exact"/>
        <w:rPr>
          <w:sz w:val="20"/>
          <w:szCs w:val="20"/>
          <w:color w:val="auto"/>
        </w:rPr>
      </w:pPr>
    </w:p>
    <w:p>
      <w:pPr>
        <w:jc w:val="both"/>
        <w:ind w:firstLine="636"/>
        <w:spacing w:after="0" w:line="270" w:lineRule="auto"/>
        <w:rPr>
          <w:sz w:val="20"/>
          <w:szCs w:val="20"/>
          <w:color w:val="auto"/>
        </w:rPr>
      </w:pPr>
      <w:r>
        <w:rPr>
          <w:rFonts w:ascii="Arial" w:cs="Arial" w:eastAsia="Arial" w:hAnsi="Arial"/>
          <w:sz w:val="19"/>
          <w:szCs w:val="19"/>
          <w:b w:val="1"/>
          <w:bCs w:val="1"/>
          <w:color w:val="auto"/>
        </w:rPr>
        <w:t>THE EXECUTIVE ACKNOWLEDGES THAT THE EXECUTIVE HAS READ THIS AGREEMENT AND THAT THE EXECUTIVE FULLY KNOWS, UNDERSTANDS AND APPRECIATES ITS CONTENTS, AND THAT THE EXECUTIVE HEREBY EXECUTES THE SAME AND MAKES THIS AGREEMENT AND THE RELEASE AND AGREEMENTS PROVIDED FOR HEREIN VOLUNTARILY AND OF THE EXECUTIVE’S OWN FREE WILL.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[REMAINDER OF PAGE INTENTIONALLY LEFT BLANK]</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268"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have executed this Agreement as of the date first set forth above.</w:t>
      </w:r>
    </w:p>
    <w:p>
      <w:pPr>
        <w:spacing w:after="0" w:line="283" w:lineRule="exact"/>
        <w:rPr>
          <w:sz w:val="20"/>
          <w:szCs w:val="20"/>
          <w:color w:val="auto"/>
        </w:rPr>
      </w:pPr>
    </w:p>
    <w:p>
      <w:pPr>
        <w:ind w:left="6240"/>
        <w:spacing w:after="0"/>
        <w:rPr>
          <w:sz w:val="20"/>
          <w:szCs w:val="20"/>
          <w:color w:val="auto"/>
        </w:rPr>
      </w:pPr>
      <w:r>
        <w:rPr>
          <w:rFonts w:ascii="Arial" w:cs="Arial" w:eastAsia="Arial" w:hAnsi="Arial"/>
          <w:sz w:val="19"/>
          <w:szCs w:val="19"/>
          <w:b w:val="1"/>
          <w:bCs w:val="1"/>
          <w:color w:val="auto"/>
        </w:rPr>
        <w:t>[INSERT NAME OF EMPLOYER]</w:t>
      </w:r>
    </w:p>
    <w:p>
      <w:pPr>
        <w:spacing w:after="0" w:line="200" w:lineRule="exact"/>
        <w:rPr>
          <w:sz w:val="20"/>
          <w:szCs w:val="20"/>
          <w:color w:val="auto"/>
        </w:rPr>
      </w:pPr>
    </w:p>
    <w:p>
      <w:pPr>
        <w:spacing w:after="0" w:line="326" w:lineRule="exact"/>
        <w:rPr>
          <w:sz w:val="20"/>
          <w:szCs w:val="20"/>
          <w:color w:val="auto"/>
        </w:rPr>
      </w:pPr>
    </w:p>
    <w:p>
      <w:pPr>
        <w:ind w:left="624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26670</wp:posOffset>
            </wp:positionV>
            <wp:extent cx="25660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9">
                      <a:extLst>
                        <a:ext uri="{28A0092B-C50C-407E-A947-70E740481C1C}"/>
                      </a:extLst>
                    </a:blip>
                    <a:srcRect/>
                    <a:stretch>
                      <a:fillRect/>
                    </a:stretch>
                  </pic:blipFill>
                  <pic:spPr bwMode="auto">
                    <a:xfrm>
                      <a:off x="0" y="0"/>
                      <a:ext cx="2566035" cy="8255"/>
                    </a:xfrm>
                    <a:prstGeom prst="rect">
                      <a:avLst/>
                    </a:prstGeom>
                    <a:noFill/>
                  </pic:spPr>
                </pic:pic>
              </a:graphicData>
            </a:graphic>
          </wp:anchor>
        </w:drawing>
      </w:r>
    </w:p>
    <w:p>
      <w:pPr>
        <w:spacing w:after="0" w:line="27" w:lineRule="exact"/>
        <w:rPr>
          <w:sz w:val="20"/>
          <w:szCs w:val="20"/>
          <w:color w:val="auto"/>
        </w:rPr>
      </w:pPr>
    </w:p>
    <w:p>
      <w:pPr>
        <w:ind w:left="6580"/>
        <w:spacing w:after="0"/>
        <w:rPr>
          <w:sz w:val="20"/>
          <w:szCs w:val="20"/>
          <w:color w:val="auto"/>
        </w:rPr>
      </w:pPr>
      <w:r>
        <w:rPr>
          <w:rFonts w:ascii="Arial" w:cs="Arial" w:eastAsia="Arial" w:hAnsi="Arial"/>
          <w:sz w:val="19"/>
          <w:szCs w:val="19"/>
          <w:color w:val="auto"/>
        </w:rPr>
        <w:t>[Insert name of Company representative]</w:t>
      </w:r>
    </w:p>
    <w:p>
      <w:pPr>
        <w:spacing w:after="0" w:line="37" w:lineRule="exact"/>
        <w:rPr>
          <w:sz w:val="20"/>
          <w:szCs w:val="20"/>
          <w:color w:val="auto"/>
        </w:rPr>
      </w:pPr>
    </w:p>
    <w:p>
      <w:pPr>
        <w:ind w:left="6580"/>
        <w:spacing w:after="0"/>
        <w:rPr>
          <w:sz w:val="20"/>
          <w:szCs w:val="20"/>
          <w:color w:val="auto"/>
        </w:rPr>
      </w:pPr>
      <w:r>
        <w:rPr>
          <w:rFonts w:ascii="Arial" w:cs="Arial" w:eastAsia="Arial" w:hAnsi="Arial"/>
          <w:sz w:val="19"/>
          <w:szCs w:val="19"/>
          <w:color w:val="auto"/>
        </w:rPr>
        <w:t>Insert title of Company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3947160</wp:posOffset>
            </wp:positionH>
            <wp:positionV relativeFrom="paragraph">
              <wp:posOffset>351790</wp:posOffset>
            </wp:positionV>
            <wp:extent cx="278511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0">
                      <a:extLst>
                        <a:ext uri="{28A0092B-C50C-407E-A947-70E740481C1C}"/>
                      </a:extLst>
                    </a:blip>
                    <a:srcRect/>
                    <a:stretch>
                      <a:fillRect/>
                    </a:stretch>
                  </pic:blipFill>
                  <pic:spPr bwMode="auto">
                    <a:xfrm>
                      <a:off x="0" y="0"/>
                      <a:ext cx="2785110" cy="825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[Insert name of Executive]</w:t>
      </w:r>
    </w:p>
    <w:p>
      <w:pPr>
        <w:spacing w:after="0" w:line="28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13970</wp:posOffset>
            </wp:positionV>
            <wp:extent cx="240601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1">
                      <a:extLst>
                        <a:ext uri="{28A0092B-C50C-407E-A947-70E740481C1C}"/>
                      </a:extLst>
                    </a:blip>
                    <a:srcRect/>
                    <a:stretch>
                      <a:fillRect/>
                    </a:stretch>
                  </pic:blipFill>
                  <pic:spPr bwMode="auto">
                    <a:xfrm>
                      <a:off x="0" y="0"/>
                      <a:ext cx="2406015" cy="8255"/>
                    </a:xfrm>
                    <a:prstGeom prst="rect">
                      <a:avLst/>
                    </a:prstGeom>
                    <a:noFill/>
                  </pic:spPr>
                </pic:pic>
              </a:graphicData>
            </a:graphic>
          </wp:anchor>
        </w:drawing>
      </w:r>
    </w:p>
    <w:p>
      <w:pPr>
        <w:sectPr>
          <w:pgSz w:w="11900" w:h="16838" w:orient="portrait"/>
          <w:cols w:equalWidth="0" w:num="1">
            <w:col w:w="10100"/>
          </w:cols>
          <w:pgMar w:left="960" w:top="1440" w:right="83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19"/>
          <w:szCs w:val="19"/>
          <w:b w:val="1"/>
          <w:bCs w:val="1"/>
          <w:color w:val="auto"/>
        </w:rPr>
        <w:t>Exhibit 10(hh)</w:t>
      </w:r>
    </w:p>
    <w:p>
      <w:pPr>
        <w:spacing w:after="0" w:line="200" w:lineRule="exact"/>
        <w:rPr>
          <w:sz w:val="20"/>
          <w:szCs w:val="20"/>
          <w:color w:val="auto"/>
        </w:rPr>
      </w:pPr>
    </w:p>
    <w:p>
      <w:pPr>
        <w:spacing w:after="0" w:line="302" w:lineRule="exact"/>
        <w:rPr>
          <w:sz w:val="20"/>
          <w:szCs w:val="20"/>
          <w:color w:val="auto"/>
        </w:rPr>
      </w:pPr>
    </w:p>
    <w:p>
      <w:pPr>
        <w:ind w:left="6180"/>
        <w:spacing w:after="0"/>
        <w:rPr>
          <w:sz w:val="20"/>
          <w:szCs w:val="20"/>
          <w:color w:val="auto"/>
        </w:rPr>
      </w:pPr>
      <w:r>
        <w:rPr>
          <w:rFonts w:ascii="Arial" w:cs="Arial" w:eastAsia="Arial" w:hAnsi="Arial"/>
          <w:sz w:val="19"/>
          <w:szCs w:val="19"/>
          <w:color w:val="auto"/>
        </w:rPr>
        <w:t>June 7, 2024</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Brian Robbins</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[address on file]</w:t>
      </w: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Dear Brian:</w:t>
      </w:r>
    </w:p>
    <w:p>
      <w:pPr>
        <w:spacing w:after="0" w:line="179" w:lineRule="exact"/>
        <w:rPr>
          <w:sz w:val="20"/>
          <w:szCs w:val="20"/>
          <w:color w:val="auto"/>
        </w:rPr>
      </w:pPr>
    </w:p>
    <w:p>
      <w:pPr>
        <w:jc w:val="both"/>
        <w:ind w:right="100" w:firstLine="636"/>
        <w:spacing w:after="0" w:line="275" w:lineRule="auto"/>
        <w:rPr>
          <w:sz w:val="20"/>
          <w:szCs w:val="20"/>
          <w:color w:val="auto"/>
        </w:rPr>
      </w:pPr>
      <w:r>
        <w:rPr>
          <w:rFonts w:ascii="Arial" w:cs="Arial" w:eastAsia="Arial" w:hAnsi="Arial"/>
          <w:sz w:val="19"/>
          <w:szCs w:val="19"/>
          <w:color w:val="auto"/>
        </w:rPr>
        <w:t>Reference is made to that certain employment agreement between you and the Company dated as of December 15, 2023 (your “</w:t>
      </w:r>
      <w:r>
        <w:rPr>
          <w:rFonts w:ascii="Arial" w:cs="Arial" w:eastAsia="Arial" w:hAnsi="Arial"/>
          <w:sz w:val="19"/>
          <w:szCs w:val="19"/>
          <w:u w:val="single" w:color="auto"/>
          <w:color w:val="auto"/>
        </w:rPr>
        <w:t>Employment Agreement</w:t>
      </w:r>
      <w:r>
        <w:rPr>
          <w:rFonts w:ascii="Arial" w:cs="Arial" w:eastAsia="Arial" w:hAnsi="Arial"/>
          <w:sz w:val="19"/>
          <w:szCs w:val="19"/>
          <w:color w:val="auto"/>
        </w:rPr>
        <w:t>”). All defined terms used but not defined herein shall have the meanings set forth in your Employment Agreement, as applicable.</w:t>
      </w:r>
    </w:p>
    <w:p>
      <w:pPr>
        <w:spacing w:after="0" w:line="9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This letter, when fully executed below, amends your Employment Agreement as follows:</w:t>
      </w:r>
    </w:p>
    <w:p>
      <w:pPr>
        <w:spacing w:after="0" w:line="179" w:lineRule="exact"/>
        <w:rPr>
          <w:sz w:val="20"/>
          <w:szCs w:val="20"/>
          <w:color w:val="auto"/>
        </w:rPr>
      </w:pPr>
    </w:p>
    <w:p>
      <w:pPr>
        <w:ind w:left="960" w:right="520" w:hanging="322"/>
        <w:spacing w:after="0" w:line="275" w:lineRule="auto"/>
        <w:tabs>
          <w:tab w:leader="none" w:pos="950" w:val="left"/>
        </w:tabs>
        <w:numPr>
          <w:ilvl w:val="0"/>
          <w:numId w:val="190"/>
        </w:numPr>
        <w:rPr>
          <w:rFonts w:ascii="Arial" w:cs="Arial" w:eastAsia="Arial" w:hAnsi="Arial"/>
          <w:sz w:val="19"/>
          <w:szCs w:val="19"/>
          <w:color w:val="auto"/>
        </w:rPr>
      </w:pPr>
      <w:r>
        <w:rPr>
          <w:rFonts w:ascii="Arial" w:cs="Arial" w:eastAsia="Arial" w:hAnsi="Arial"/>
          <w:sz w:val="19"/>
          <w:szCs w:val="19"/>
          <w:color w:val="auto"/>
        </w:rPr>
        <w:t>Paragraph 2 of the Employment Agreement shall be amended to reflect that, beginning May 1, 2024, you are a member of the Company’s Office of the CEO in addition to your duties as President and Chief Executive Officer, Paramount Pictures and Nickelodeon Studios and Chief Content Officer, Kids and Family, Paramount+.</w:t>
      </w:r>
    </w:p>
    <w:p>
      <w:pPr>
        <w:spacing w:after="0" w:line="110" w:lineRule="exact"/>
        <w:rPr>
          <w:rFonts w:ascii="Arial" w:cs="Arial" w:eastAsia="Arial" w:hAnsi="Arial"/>
          <w:sz w:val="19"/>
          <w:szCs w:val="19"/>
          <w:color w:val="auto"/>
        </w:rPr>
      </w:pPr>
    </w:p>
    <w:p>
      <w:pPr>
        <w:ind w:left="960" w:right="280" w:hanging="322"/>
        <w:spacing w:after="0" w:line="275" w:lineRule="auto"/>
        <w:tabs>
          <w:tab w:leader="none" w:pos="950" w:val="left"/>
        </w:tabs>
        <w:numPr>
          <w:ilvl w:val="0"/>
          <w:numId w:val="190"/>
        </w:numPr>
        <w:rPr>
          <w:rFonts w:ascii="Arial" w:cs="Arial" w:eastAsia="Arial" w:hAnsi="Arial"/>
          <w:sz w:val="19"/>
          <w:szCs w:val="19"/>
          <w:color w:val="auto"/>
        </w:rPr>
      </w:pPr>
      <w:r>
        <w:rPr>
          <w:rFonts w:ascii="Arial" w:cs="Arial" w:eastAsia="Arial" w:hAnsi="Arial"/>
          <w:sz w:val="19"/>
          <w:szCs w:val="19"/>
          <w:color w:val="auto"/>
        </w:rPr>
        <w:t>Paragraph 3(b) shall be amended to provide that, for the period of time during which you serve as a member of the Company’s Office of the CEO, your STIP target shall increase to 225% of your Salary. The increased target is in effect beginning May 1, 2024 through the date on which you are relieved of your duties with the Office of the CEO.</w:t>
      </w:r>
    </w:p>
    <w:p>
      <w:pPr>
        <w:spacing w:after="0" w:line="110" w:lineRule="exact"/>
        <w:rPr>
          <w:sz w:val="20"/>
          <w:szCs w:val="20"/>
          <w:color w:val="auto"/>
        </w:rPr>
      </w:pPr>
    </w:p>
    <w:p>
      <w:pPr>
        <w:jc w:val="both"/>
        <w:ind w:right="120" w:firstLine="636"/>
        <w:spacing w:after="0" w:line="288" w:lineRule="auto"/>
        <w:rPr>
          <w:sz w:val="20"/>
          <w:szCs w:val="20"/>
          <w:color w:val="auto"/>
        </w:rPr>
      </w:pPr>
      <w:r>
        <w:rPr>
          <w:rFonts w:ascii="Arial" w:cs="Arial" w:eastAsia="Arial" w:hAnsi="Arial"/>
          <w:sz w:val="19"/>
          <w:szCs w:val="19"/>
          <w:color w:val="auto"/>
        </w:rPr>
        <w:t>Except as herein amended, all other terms and conditions of your Employment Agreement shall remain the same and your Employment Agreement as herein amended shall remain in full force and effect.</w:t>
      </w:r>
    </w:p>
    <w:p>
      <w:pPr>
        <w:spacing w:after="0" w:line="98" w:lineRule="exact"/>
        <w:rPr>
          <w:sz w:val="20"/>
          <w:szCs w:val="20"/>
          <w:color w:val="auto"/>
        </w:rPr>
      </w:pPr>
    </w:p>
    <w:p>
      <w:pPr>
        <w:jc w:val="both"/>
        <w:ind w:right="100" w:firstLine="636"/>
        <w:spacing w:after="0" w:line="275" w:lineRule="auto"/>
        <w:rPr>
          <w:sz w:val="20"/>
          <w:szCs w:val="20"/>
          <w:color w:val="auto"/>
        </w:rPr>
      </w:pPr>
      <w:r>
        <w:rPr>
          <w:rFonts w:ascii="Arial" w:cs="Arial" w:eastAsia="Arial" w:hAnsi="Arial"/>
          <w:sz w:val="19"/>
          <w:szCs w:val="19"/>
          <w:color w:val="auto"/>
        </w:rPr>
        <w:t>If the foregoing correctly sets forth our understanding, please sign and return this letter. This document shall constitute a binding agreement between us only after it also has been executed by the Company and a fully executed copy has been returned to you.</w:t>
      </w:r>
    </w:p>
    <w:p>
      <w:pPr>
        <w:spacing w:after="0" w:line="200" w:lineRule="exact"/>
        <w:rPr>
          <w:sz w:val="20"/>
          <w:szCs w:val="20"/>
          <w:color w:val="auto"/>
        </w:rPr>
      </w:pPr>
    </w:p>
    <w:p>
      <w:pPr>
        <w:spacing w:after="0" w:line="202" w:lineRule="exact"/>
        <w:rPr>
          <w:sz w:val="20"/>
          <w:szCs w:val="20"/>
          <w:color w:val="auto"/>
        </w:rPr>
      </w:pPr>
    </w:p>
    <w:p>
      <w:pPr>
        <w:ind w:left="6360"/>
        <w:spacing w:after="0"/>
        <w:rPr>
          <w:sz w:val="20"/>
          <w:szCs w:val="20"/>
          <w:color w:val="auto"/>
        </w:rPr>
      </w:pPr>
      <w:r>
        <w:rPr>
          <w:rFonts w:ascii="Arial" w:cs="Arial" w:eastAsia="Arial" w:hAnsi="Arial"/>
          <w:sz w:val="19"/>
          <w:szCs w:val="19"/>
          <w:color w:val="auto"/>
        </w:rPr>
        <w:t>Very truly yours,</w:t>
      </w:r>
    </w:p>
    <w:p>
      <w:pPr>
        <w:spacing w:after="0" w:line="310" w:lineRule="exact"/>
        <w:rPr>
          <w:sz w:val="20"/>
          <w:szCs w:val="20"/>
          <w:color w:val="auto"/>
        </w:rPr>
      </w:pPr>
    </w:p>
    <w:p>
      <w:pPr>
        <w:ind w:left="6360"/>
        <w:spacing w:after="0"/>
        <w:rPr>
          <w:sz w:val="20"/>
          <w:szCs w:val="20"/>
          <w:color w:val="auto"/>
        </w:rPr>
      </w:pPr>
      <w:r>
        <w:rPr>
          <w:rFonts w:ascii="Arial" w:cs="Arial" w:eastAsia="Arial" w:hAnsi="Arial"/>
          <w:sz w:val="19"/>
          <w:szCs w:val="19"/>
          <w:b w:val="1"/>
          <w:bCs w:val="1"/>
          <w:color w:val="auto"/>
        </w:rPr>
        <w:t>PARAMOUNT GLOBAL</w:t>
      </w:r>
    </w:p>
    <w:p>
      <w:pPr>
        <w:spacing w:after="0" w:line="247" w:lineRule="exact"/>
        <w:rPr>
          <w:sz w:val="20"/>
          <w:szCs w:val="20"/>
          <w:color w:val="auto"/>
        </w:rPr>
      </w:pPr>
    </w:p>
    <w:p>
      <w:pPr>
        <w:ind w:left="6360"/>
        <w:spacing w:after="0"/>
        <w:tabs>
          <w:tab w:leader="none" w:pos="6800" w:val="left"/>
        </w:tabs>
        <w:rPr>
          <w:sz w:val="20"/>
          <w:szCs w:val="20"/>
          <w:color w:val="auto"/>
        </w:rPr>
      </w:pPr>
      <w:r>
        <w:rPr>
          <w:rFonts w:ascii="Arial" w:cs="Arial" w:eastAsia="Arial" w:hAnsi="Arial"/>
          <w:sz w:val="19"/>
          <w:szCs w:val="19"/>
          <w:color w:val="auto"/>
        </w:rPr>
        <w:t>By:</w:t>
        <w:tab/>
        <w:t>/s/ Nancy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4290060</wp:posOffset>
            </wp:positionH>
            <wp:positionV relativeFrom="paragraph">
              <wp:posOffset>26670</wp:posOffset>
            </wp:positionV>
            <wp:extent cx="273431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2">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40" w:lineRule="exact"/>
        <w:rPr>
          <w:sz w:val="20"/>
          <w:szCs w:val="20"/>
          <w:color w:val="auto"/>
        </w:rPr>
      </w:pPr>
    </w:p>
    <w:p>
      <w:pPr>
        <w:ind w:left="6780"/>
        <w:spacing w:after="0"/>
        <w:tabs>
          <w:tab w:leader="none" w:pos="7500" w:val="left"/>
        </w:tabs>
        <w:rPr>
          <w:sz w:val="20"/>
          <w:szCs w:val="20"/>
          <w:color w:val="auto"/>
        </w:rPr>
      </w:pPr>
      <w:r>
        <w:rPr>
          <w:rFonts w:ascii="Arial" w:cs="Arial" w:eastAsia="Arial" w:hAnsi="Arial"/>
          <w:sz w:val="19"/>
          <w:szCs w:val="19"/>
          <w:color w:val="auto"/>
        </w:rPr>
        <w:t>Name:</w:t>
        <w:tab/>
        <w:t>Nancy Phillips</w:t>
      </w:r>
    </w:p>
    <w:p>
      <w:pPr>
        <w:spacing w:after="0" w:line="64" w:lineRule="exact"/>
        <w:rPr>
          <w:sz w:val="20"/>
          <w:szCs w:val="20"/>
          <w:color w:val="auto"/>
        </w:rPr>
      </w:pPr>
    </w:p>
    <w:p>
      <w:pPr>
        <w:ind w:left="6780"/>
        <w:spacing w:after="0"/>
        <w:tabs>
          <w:tab w:leader="none" w:pos="75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color w:val="auto"/>
        </w:rPr>
        <w:t>Executive Vice President,</w:t>
      </w:r>
    </w:p>
    <w:p>
      <w:pPr>
        <w:spacing w:after="0" w:line="42" w:lineRule="exact"/>
        <w:rPr>
          <w:sz w:val="20"/>
          <w:szCs w:val="20"/>
          <w:color w:val="auto"/>
        </w:rPr>
      </w:pPr>
    </w:p>
    <w:p>
      <w:pPr>
        <w:ind w:left="7520"/>
        <w:spacing w:after="0"/>
        <w:rPr>
          <w:sz w:val="20"/>
          <w:szCs w:val="20"/>
          <w:color w:val="auto"/>
        </w:rPr>
      </w:pPr>
      <w:r>
        <w:rPr>
          <w:rFonts w:ascii="Arial" w:cs="Arial" w:eastAsia="Arial" w:hAnsi="Arial"/>
          <w:sz w:val="19"/>
          <w:szCs w:val="19"/>
          <w:color w:val="auto"/>
        </w:rPr>
        <w:t>Chief People Officer</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ACCEPTED AND AGREED:</w:t>
      </w:r>
    </w:p>
    <w:p>
      <w:pPr>
        <w:spacing w:after="0" w:line="300" w:lineRule="exact"/>
        <w:rPr>
          <w:sz w:val="20"/>
          <w:szCs w:val="20"/>
          <w:color w:val="auto"/>
        </w:rPr>
      </w:pPr>
    </w:p>
    <w:p>
      <w:pPr>
        <w:spacing w:after="0"/>
        <w:rPr>
          <w:sz w:val="20"/>
          <w:szCs w:val="20"/>
          <w:color w:val="auto"/>
        </w:rPr>
      </w:pPr>
      <w:r>
        <w:rPr>
          <w:rFonts w:ascii="Arial" w:cs="Arial" w:eastAsia="Arial" w:hAnsi="Arial"/>
          <w:sz w:val="19"/>
          <w:szCs w:val="19"/>
          <w:color w:val="auto"/>
        </w:rPr>
        <w:t>/s/ Brian Robbins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26670</wp:posOffset>
            </wp:positionV>
            <wp:extent cx="213677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3">
                      <a:extLst>
                        <a:ext uri="{28A0092B-C50C-407E-A947-70E740481C1C}"/>
                      </a:extLst>
                    </a:blip>
                    <a:srcRect/>
                    <a:stretch>
                      <a:fillRect/>
                    </a:stretch>
                  </pic:blipFill>
                  <pic:spPr bwMode="auto">
                    <a:xfrm>
                      <a:off x="0" y="0"/>
                      <a:ext cx="2136775" cy="825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Brian Robbins</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Dated: Jun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287020</wp:posOffset>
            </wp:positionV>
            <wp:extent cx="790575" cy="5721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4">
                      <a:extLst>
                        <a:ext uri="{28A0092B-C50C-407E-A947-70E740481C1C}"/>
                      </a:extLst>
                    </a:blip>
                    <a:srcRect/>
                    <a:stretch>
                      <a:fillRect/>
                    </a:stretch>
                  </pic:blipFill>
                  <pic:spPr bwMode="auto">
                    <a:xfrm>
                      <a:off x="0" y="0"/>
                      <a:ext cx="790575" cy="572135"/>
                    </a:xfrm>
                    <a:prstGeom prst="rect">
                      <a:avLst/>
                    </a:prstGeom>
                    <a:noFill/>
                  </pic:spPr>
                </pic:pic>
              </a:graphicData>
            </a:graphic>
          </wp:anchor>
        </w:drawing>
      </w:r>
    </w:p>
    <w:p>
      <w:pPr>
        <w:sectPr>
          <w:pgSz w:w="11900" w:h="16838" w:orient="portrait"/>
          <w:cols w:equalWidth="0" w:num="1">
            <w:col w:w="11060"/>
          </w:cols>
          <w:pgMar w:left="500" w:top="100" w:right="33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19"/>
          <w:szCs w:val="19"/>
          <w:b w:val="1"/>
          <w:bCs w:val="1"/>
          <w:color w:val="auto"/>
        </w:rPr>
        <w:t>Exhibit 10(ii)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1"/>
          <w:szCs w:val="21"/>
          <w:color w:val="auto"/>
        </w:rPr>
        <w:t>as of October 8, 2024</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Brian Robbins</w:t>
      </w:r>
    </w:p>
    <w:p>
      <w:pPr>
        <w:ind w:left="20"/>
        <w:spacing w:after="0" w:line="234" w:lineRule="auto"/>
        <w:rPr>
          <w:sz w:val="20"/>
          <w:szCs w:val="20"/>
          <w:color w:val="auto"/>
        </w:rPr>
      </w:pPr>
      <w:r>
        <w:rPr>
          <w:rFonts w:ascii="Times New Roman" w:cs="Times New Roman" w:eastAsia="Times New Roman" w:hAnsi="Times New Roman"/>
          <w:sz w:val="21"/>
          <w:szCs w:val="21"/>
          <w:color w:val="auto"/>
        </w:rPr>
        <w:t>c/o last address on file</w:t>
      </w:r>
    </w:p>
    <w:p>
      <w:pPr>
        <w:spacing w:after="0"/>
        <w:rPr>
          <w:sz w:val="20"/>
          <w:szCs w:val="20"/>
          <w:color w:val="auto"/>
        </w:rPr>
      </w:pPr>
      <w:r>
        <w:rPr>
          <w:rFonts w:ascii="Times New Roman" w:cs="Times New Roman" w:eastAsia="Times New Roman" w:hAnsi="Times New Roman"/>
          <w:sz w:val="21"/>
          <w:szCs w:val="21"/>
          <w:color w:val="auto"/>
        </w:rPr>
        <w:t>with the Company</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Dear Brian:</w:t>
      </w:r>
    </w:p>
    <w:p>
      <w:pPr>
        <w:spacing w:after="0" w:line="222" w:lineRule="exact"/>
        <w:rPr>
          <w:sz w:val="20"/>
          <w:szCs w:val="20"/>
          <w:color w:val="auto"/>
        </w:rPr>
      </w:pPr>
    </w:p>
    <w:p>
      <w:pPr>
        <w:jc w:val="both"/>
        <w:ind w:left="20" w:right="100" w:firstLine="636"/>
        <w:spacing w:after="0" w:line="262" w:lineRule="auto"/>
        <w:rPr>
          <w:sz w:val="20"/>
          <w:szCs w:val="20"/>
          <w:color w:val="auto"/>
        </w:rPr>
      </w:pPr>
      <w:r>
        <w:rPr>
          <w:rFonts w:ascii="Times New Roman" w:cs="Times New Roman" w:eastAsia="Times New Roman" w:hAnsi="Times New Roman"/>
          <w:sz w:val="21"/>
          <w:szCs w:val="21"/>
          <w:color w:val="auto"/>
        </w:rPr>
        <w:t>Reference is made to that certain employment agreement between you and Paramount Global (the “Company”), dated as of December 15, 2023 and subsequently amended effective June 7, 2024 (your “Employment Agreement”). All defined terms used without being defined herein shall have the meanings ascribed to them in your Employment Agreement. This letter, when fully executed below, further amends your Employment Agreement, effective on the date shown above unless otherwise provided herein, as set forth below (the “Amendment”).</w:t>
      </w:r>
    </w:p>
    <w:p>
      <w:pPr>
        <w:spacing w:after="0" w:line="166" w:lineRule="exact"/>
        <w:rPr>
          <w:sz w:val="20"/>
          <w:szCs w:val="20"/>
          <w:color w:val="auto"/>
        </w:rPr>
      </w:pPr>
    </w:p>
    <w:p>
      <w:pPr>
        <w:jc w:val="both"/>
        <w:ind w:left="20" w:right="100" w:firstLine="627"/>
        <w:spacing w:after="0" w:line="274" w:lineRule="auto"/>
        <w:tabs>
          <w:tab w:leader="none" w:pos="881"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terms of the amendment to your Employment Agreement, dated June 7, 2024, shall no longer be of any force or effect. The Company hereby acknowledges that you have served as a member of the Office of the Chief Executive Officer of the Company and have performed duties consistent with that office since May 1, 2024.</w:t>
      </w:r>
    </w:p>
    <w:p>
      <w:pPr>
        <w:spacing w:after="0" w:line="153" w:lineRule="exact"/>
        <w:rPr>
          <w:rFonts w:ascii="Times New Roman" w:cs="Times New Roman" w:eastAsia="Times New Roman" w:hAnsi="Times New Roman"/>
          <w:sz w:val="21"/>
          <w:szCs w:val="21"/>
          <w:color w:val="auto"/>
        </w:rPr>
      </w:pPr>
    </w:p>
    <w:p>
      <w:pPr>
        <w:ind w:left="880" w:hanging="233"/>
        <w:spacing w:after="0"/>
        <w:tabs>
          <w:tab w:leader="none" w:pos="880"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Paragraph 2 of your Employment Agreement is hereby amended by adding the following new paragraph to the end</w:t>
      </w:r>
    </w:p>
    <w:p>
      <w:pPr>
        <w:spacing w:after="0" w:line="34" w:lineRule="exact"/>
        <w:rPr>
          <w:rFonts w:ascii="Times New Roman" w:cs="Times New Roman" w:eastAsia="Times New Roman" w:hAnsi="Times New Roman"/>
          <w:sz w:val="21"/>
          <w:szCs w:val="21"/>
          <w:color w:val="auto"/>
        </w:rPr>
      </w:pPr>
    </w:p>
    <w:p>
      <w:pPr>
        <w:ind w:left="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thereof:</w:t>
      </w:r>
    </w:p>
    <w:p>
      <w:pPr>
        <w:spacing w:after="0" w:line="198" w:lineRule="exact"/>
        <w:rPr>
          <w:sz w:val="20"/>
          <w:szCs w:val="20"/>
          <w:color w:val="auto"/>
        </w:rPr>
      </w:pPr>
    </w:p>
    <w:p>
      <w:pPr>
        <w:jc w:val="both"/>
        <w:ind w:left="640" w:right="740"/>
        <w:spacing w:after="0" w:line="257" w:lineRule="auto"/>
        <w:rPr>
          <w:sz w:val="20"/>
          <w:szCs w:val="20"/>
          <w:color w:val="auto"/>
        </w:rPr>
      </w:pPr>
      <w:r>
        <w:rPr>
          <w:rFonts w:ascii="Times New Roman" w:cs="Times New Roman" w:eastAsia="Times New Roman" w:hAnsi="Times New Roman"/>
          <w:sz w:val="21"/>
          <w:szCs w:val="21"/>
          <w:color w:val="auto"/>
        </w:rPr>
        <w:t>“In addition to your duties, authorities and responsibilities as President and Chief Executive Officer, Paramount Pictures and Nickelodeon Studios and Chief Content Officer, Kids &amp; Family, Paramount+, you shall also serve as a Co-Chief Executive Officer of the Company and, together with one or more of your other colleagues serving as Co- Chief Executive Officers of the Company, shall perform all duties reasonable and consistent with such office as are customary for Chief Executive Officers of a public company comparable to Paramount and as may be assigned to you from time to time by the Board of Directors of the Company (the “Board”), and you shall report directly to the Board (either collectively or to any one or more individual members of the Board).”</w:t>
      </w:r>
    </w:p>
    <w:p>
      <w:pPr>
        <w:spacing w:after="0" w:line="200" w:lineRule="exact"/>
        <w:rPr>
          <w:sz w:val="20"/>
          <w:szCs w:val="20"/>
          <w:color w:val="auto"/>
        </w:rPr>
      </w:pPr>
    </w:p>
    <w:p>
      <w:pPr>
        <w:spacing w:after="0" w:line="242" w:lineRule="exact"/>
        <w:rPr>
          <w:sz w:val="20"/>
          <w:szCs w:val="20"/>
          <w:color w:val="auto"/>
        </w:rPr>
      </w:pPr>
    </w:p>
    <w:p>
      <w:pPr>
        <w:jc w:val="both"/>
        <w:ind w:left="20" w:right="100" w:firstLine="627"/>
        <w:spacing w:after="0" w:line="267" w:lineRule="auto"/>
        <w:tabs>
          <w:tab w:leader="none" w:pos="881"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Effective as of May 1, 2024, paragraph 3(b)(ii) of your Employment Agreement is hereby amended to increase your Target Bonus to 225% of your Salary. For purposes of clarity and avoidance of doubt, your Target Bonus for the 2024 fiscal year will be “blended” to reflect your Target Bonus in effect prior to and on and after May 1, 2024.</w:t>
      </w:r>
    </w:p>
    <w:p>
      <w:pPr>
        <w:spacing w:after="0" w:line="161" w:lineRule="exact"/>
        <w:rPr>
          <w:rFonts w:ascii="Times New Roman" w:cs="Times New Roman" w:eastAsia="Times New Roman" w:hAnsi="Times New Roman"/>
          <w:sz w:val="21"/>
          <w:szCs w:val="21"/>
          <w:color w:val="auto"/>
        </w:rPr>
      </w:pPr>
    </w:p>
    <w:p>
      <w:pPr>
        <w:ind w:left="20" w:right="100" w:firstLine="627"/>
        <w:spacing w:after="0" w:line="285" w:lineRule="auto"/>
        <w:tabs>
          <w:tab w:leader="none" w:pos="881"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Paragraph 11(a)(ii) of your Employment Agreement shall be amended to modify clauses (i) and (ii) in their entirety to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612140</wp:posOffset>
            </wp:positionV>
            <wp:extent cx="732155" cy="5302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5">
                      <a:extLst>
                        <a:ext uri="{28A0092B-C50C-407E-A947-70E740481C1C}"/>
                      </a:extLst>
                    </a:blip>
                    <a:srcRect/>
                    <a:stretch>
                      <a:fillRect/>
                    </a:stretch>
                  </pic:blipFill>
                  <pic:spPr bwMode="auto">
                    <a:xfrm>
                      <a:off x="0" y="0"/>
                      <a:ext cx="732155" cy="530225"/>
                    </a:xfrm>
                    <a:prstGeom prst="rect">
                      <a:avLst/>
                    </a:prstGeom>
                    <a:noFill/>
                  </pic:spPr>
                </pic:pic>
              </a:graphicData>
            </a:graphic>
          </wp:anchor>
        </w:drawing>
      </w:r>
    </w:p>
    <w:p>
      <w:pPr>
        <w:sectPr>
          <w:pgSz w:w="11900" w:h="16838" w:orient="portrait"/>
          <w:cols w:equalWidth="0" w:num="1">
            <w:col w:w="10840"/>
          </w:cols>
          <w:pgMar w:left="720" w:top="100" w:right="3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21"/>
          <w:szCs w:val="21"/>
          <w:color w:val="auto"/>
        </w:rPr>
        <w:t>Brian Robbins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 of October 8, 2024</w:t>
      </w:r>
    </w:p>
    <w:p>
      <w:pPr>
        <w:spacing w:after="0"/>
        <w:rPr>
          <w:sz w:val="20"/>
          <w:szCs w:val="20"/>
          <w:color w:val="auto"/>
        </w:rPr>
      </w:pPr>
      <w:r>
        <w:rPr>
          <w:rFonts w:ascii="Times New Roman" w:cs="Times New Roman" w:eastAsia="Times New Roman" w:hAnsi="Times New Roman"/>
          <w:sz w:val="21"/>
          <w:szCs w:val="21"/>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000" w:right="640"/>
        <w:spacing w:after="0" w:line="267" w:lineRule="auto"/>
        <w:rPr>
          <w:sz w:val="20"/>
          <w:szCs w:val="20"/>
          <w:color w:val="auto"/>
        </w:rPr>
      </w:pPr>
      <w:r>
        <w:rPr>
          <w:rFonts w:ascii="Times New Roman" w:cs="Times New Roman" w:eastAsia="Times New Roman" w:hAnsi="Times New Roman"/>
          <w:sz w:val="21"/>
          <w:szCs w:val="21"/>
          <w:color w:val="auto"/>
        </w:rPr>
        <w:t>“(i) the assignment to you of duties or responsibilities substantially inconsistent with your position(s) or duties, including as Co-Chief Executive Officer of the Company; (ii) the withdrawal of material portions of your duties, authority or responsibilities, including as Co-Chief Executive Officer of the Company;”</w:t>
      </w:r>
    </w:p>
    <w:p>
      <w:pPr>
        <w:spacing w:after="0" w:line="161" w:lineRule="exact"/>
        <w:rPr>
          <w:sz w:val="20"/>
          <w:szCs w:val="20"/>
          <w:color w:val="auto"/>
        </w:rPr>
      </w:pPr>
    </w:p>
    <w:p>
      <w:pPr>
        <w:ind w:left="380" w:right="20" w:firstLine="628"/>
        <w:spacing w:after="0" w:line="285" w:lineRule="auto"/>
        <w:tabs>
          <w:tab w:leader="none" w:pos="1241"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Paragraph 11(a)(ii) of your Employment Agreement is hereby further amended to add the following sentence to the end thereof:</w:t>
      </w:r>
    </w:p>
    <w:p>
      <w:pPr>
        <w:spacing w:after="0" w:line="155" w:lineRule="exact"/>
        <w:rPr>
          <w:sz w:val="20"/>
          <w:szCs w:val="20"/>
          <w:color w:val="auto"/>
        </w:rPr>
      </w:pPr>
    </w:p>
    <w:p>
      <w:pPr>
        <w:jc w:val="both"/>
        <w:ind w:left="1000" w:right="640"/>
        <w:spacing w:after="0" w:line="267" w:lineRule="auto"/>
        <w:rPr>
          <w:sz w:val="20"/>
          <w:szCs w:val="20"/>
          <w:color w:val="auto"/>
        </w:rPr>
      </w:pPr>
      <w:r>
        <w:rPr>
          <w:rFonts w:ascii="Times New Roman" w:cs="Times New Roman" w:eastAsia="Times New Roman" w:hAnsi="Times New Roman"/>
          <w:sz w:val="21"/>
          <w:szCs w:val="21"/>
          <w:color w:val="auto"/>
        </w:rPr>
        <w:t>“Notwithstanding the provisions of paragraph 11(a)(i) above, the parties acknowledge and agree that the actions or events described in clauses (i) and (ii) of the preceding sentence are incapable of cure such that the last sentence of paragraph 11(a)(i) shall not be applicable in either such circumstance.”</w:t>
      </w:r>
    </w:p>
    <w:p>
      <w:pPr>
        <w:spacing w:after="0" w:line="161" w:lineRule="exact"/>
        <w:rPr>
          <w:sz w:val="20"/>
          <w:szCs w:val="20"/>
          <w:color w:val="auto"/>
        </w:rPr>
      </w:pPr>
    </w:p>
    <w:p>
      <w:pPr>
        <w:jc w:val="both"/>
        <w:ind w:left="380" w:firstLine="627"/>
        <w:spacing w:after="0" w:line="266" w:lineRule="auto"/>
        <w:tabs>
          <w:tab w:leader="none" w:pos="1241"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clarity and avoidance of doubt, the termination payments and benefits described in paragraph 11(c) of your Employment Agreement and in any other severance plan or program applicable to you (including the Paramount Global Executive Change in Control Severance Protection Plan) shall be determined based on your Target Bonus as amended herein.</w:t>
      </w:r>
    </w:p>
    <w:p>
      <w:pPr>
        <w:spacing w:after="0" w:line="161" w:lineRule="exact"/>
        <w:rPr>
          <w:rFonts w:ascii="Times New Roman" w:cs="Times New Roman" w:eastAsia="Times New Roman" w:hAnsi="Times New Roman"/>
          <w:sz w:val="21"/>
          <w:szCs w:val="21"/>
          <w:color w:val="auto"/>
        </w:rPr>
      </w:pPr>
    </w:p>
    <w:p>
      <w:pPr>
        <w:ind w:left="380" w:firstLine="628"/>
        <w:spacing w:after="0" w:line="285" w:lineRule="auto"/>
        <w:tabs>
          <w:tab w:leader="none" w:pos="1241"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provided herein, your acceptance of the arrangements described in this Amendment shall in no way constitute a waiver of any rights you may have under your Employment Agreement.</w:t>
      </w:r>
    </w:p>
    <w:p>
      <w:pPr>
        <w:spacing w:after="0" w:line="141" w:lineRule="exact"/>
        <w:rPr>
          <w:rFonts w:ascii="Times New Roman" w:cs="Times New Roman" w:eastAsia="Times New Roman" w:hAnsi="Times New Roman"/>
          <w:sz w:val="21"/>
          <w:szCs w:val="21"/>
          <w:color w:val="auto"/>
        </w:rPr>
      </w:pPr>
    </w:p>
    <w:p>
      <w:pPr>
        <w:jc w:val="both"/>
        <w:ind w:left="380" w:firstLine="628"/>
        <w:spacing w:after="0" w:line="262" w:lineRule="auto"/>
        <w:tabs>
          <w:tab w:leader="none" w:pos="1241"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may be executed in one or more counterparts, including by facsimile, and all counterparts shall constitute one fully executed agreement. The signature of any party to any counterpart shall be deemed a signature to, and may be appended to, any other counterpart. Additionally, the parties agree that this Amendment may be electronically signed, and that electronic signatures appearing on this letter are the same as handwritten signatures for the purposes of validity, enforcement, and admissibility.</w:t>
      </w:r>
    </w:p>
    <w:p>
      <w:pPr>
        <w:spacing w:after="0" w:line="165" w:lineRule="exact"/>
        <w:rPr>
          <w:rFonts w:ascii="Times New Roman" w:cs="Times New Roman" w:eastAsia="Times New Roman" w:hAnsi="Times New Roman"/>
          <w:sz w:val="21"/>
          <w:szCs w:val="21"/>
          <w:color w:val="auto"/>
        </w:rPr>
      </w:pPr>
    </w:p>
    <w:p>
      <w:pPr>
        <w:ind w:left="380" w:firstLine="628"/>
        <w:spacing w:after="0" w:line="285" w:lineRule="auto"/>
        <w:tabs>
          <w:tab w:leader="none" w:pos="1241"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herein amended, all other terms and conditions of your Employment Agreement shall remain the same and your Employment Agreement as herein amended shall remain in full force and effect.</w:t>
      </w:r>
    </w:p>
    <w:p>
      <w:pPr>
        <w:spacing w:after="0" w:line="1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[REMAINDER OF PAGE INTENTIONALLY LEFT BLANK]</w:t>
      </w:r>
    </w:p>
    <w:p>
      <w:pPr>
        <w:sectPr>
          <w:pgSz w:w="11900" w:h="16838" w:orient="portrait"/>
          <w:cols w:equalWidth="0" w:num="1">
            <w:col w:w="11100"/>
          </w:cols>
          <w:pgMar w:left="360" w:top="192" w:right="439" w:bottom="1440" w:gutter="0" w:footer="0" w:header="0"/>
        </w:sectPr>
      </w:pPr>
    </w:p>
    <w:bookmarkStart w:id="209" w:name="page210"/>
    <w:bookmarkEnd w:id="209"/>
    <w:p>
      <w:pPr>
        <w:ind w:left="20"/>
        <w:spacing w:after="0"/>
        <w:rPr>
          <w:sz w:val="20"/>
          <w:szCs w:val="20"/>
          <w:color w:val="auto"/>
        </w:rPr>
      </w:pPr>
      <w:r>
        <w:rPr>
          <w:rFonts w:ascii="Times New Roman" w:cs="Times New Roman" w:eastAsia="Times New Roman" w:hAnsi="Times New Roman"/>
          <w:sz w:val="21"/>
          <w:szCs w:val="21"/>
          <w:color w:val="auto"/>
        </w:rPr>
        <w:t>Brian Robbins</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as of October 8, 2024</w:t>
      </w:r>
    </w:p>
    <w:p>
      <w:pPr>
        <w:ind w:left="20"/>
        <w:spacing w:after="0"/>
        <w:rPr>
          <w:sz w:val="20"/>
          <w:szCs w:val="20"/>
          <w:color w:val="auto"/>
        </w:rPr>
      </w:pPr>
      <w:r>
        <w:rPr>
          <w:rFonts w:ascii="Times New Roman" w:cs="Times New Roman" w:eastAsia="Times New Roman" w:hAnsi="Times New Roman"/>
          <w:sz w:val="21"/>
          <w:szCs w:val="21"/>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400" w:firstLine="636"/>
        <w:spacing w:after="0" w:line="267" w:lineRule="auto"/>
        <w:rPr>
          <w:sz w:val="20"/>
          <w:szCs w:val="20"/>
          <w:color w:val="auto"/>
        </w:rPr>
      </w:pPr>
      <w:r>
        <w:rPr>
          <w:rFonts w:ascii="Times New Roman" w:cs="Times New Roman" w:eastAsia="Times New Roman" w:hAnsi="Times New Roman"/>
          <w:sz w:val="21"/>
          <w:szCs w:val="21"/>
          <w:color w:val="auto"/>
        </w:rPr>
        <w:t>If the foregoing correctly sets forth our understanding, please sign and return this letter. This document shall constitute a binding agreement between us only after it also has been executed by the Company and a fully executed copy has been returned to you.</w:t>
      </w:r>
    </w:p>
    <w:p>
      <w:pPr>
        <w:spacing w:after="0" w:line="200" w:lineRule="exact"/>
        <w:rPr>
          <w:sz w:val="20"/>
          <w:szCs w:val="20"/>
          <w:color w:val="auto"/>
        </w:rPr>
      </w:pP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Very truly yours,</w:t>
      </w:r>
    </w:p>
    <w:p>
      <w:pPr>
        <w:spacing w:after="0" w:line="2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b w:val="1"/>
          <w:bCs w:val="1"/>
          <w:color w:val="auto"/>
        </w:rPr>
        <w:t>PARAMOUNT GLOBAL</w:t>
      </w:r>
    </w:p>
    <w:p>
      <w:pPr>
        <w:spacing w:after="0" w:line="240" w:lineRule="exact"/>
        <w:rPr>
          <w:sz w:val="20"/>
          <w:szCs w:val="20"/>
          <w:color w:val="auto"/>
        </w:rPr>
      </w:pPr>
    </w:p>
    <w:p>
      <w:pPr>
        <w:ind w:left="5640"/>
        <w:spacing w:after="0"/>
        <w:tabs>
          <w:tab w:leader="none" w:pos="6140" w:val="left"/>
        </w:tabs>
        <w:rPr>
          <w:sz w:val="20"/>
          <w:szCs w:val="20"/>
          <w:color w:val="auto"/>
        </w:rPr>
      </w:pPr>
      <w:r>
        <w:rPr>
          <w:rFonts w:ascii="Times New Roman" w:cs="Times New Roman" w:eastAsia="Times New Roman" w:hAnsi="Times New Roman"/>
          <w:sz w:val="21"/>
          <w:szCs w:val="21"/>
          <w:color w:val="auto"/>
        </w:rPr>
        <w:t>By:</w:t>
        <w:tab/>
        <w:t>/s/ Nancy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24130</wp:posOffset>
            </wp:positionV>
            <wp:extent cx="27514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6">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4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21"/>
          <w:szCs w:val="21"/>
          <w:color w:val="auto"/>
        </w:rPr>
        <w:t>Nancy Phillips</w:t>
      </w:r>
    </w:p>
    <w:p>
      <w:pPr>
        <w:spacing w:after="0" w:line="3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21"/>
          <w:szCs w:val="21"/>
          <w:color w:val="auto"/>
        </w:rPr>
        <w:t>EVP, Chief People Officer</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ACCEPTED AND AGREED: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Brian Robbins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Brian Robbins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-152400</wp:posOffset>
            </wp:positionV>
            <wp:extent cx="235585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7">
                      <a:extLst>
                        <a:ext uri="{28A0092B-C50C-407E-A947-70E740481C1C}"/>
                      </a:extLst>
                    </a:blip>
                    <a:srcRect/>
                    <a:stretch>
                      <a:fillRect/>
                    </a:stretch>
                  </pic:blipFill>
                  <pic:spPr bwMode="auto">
                    <a:xfrm>
                      <a:off x="0" y="0"/>
                      <a:ext cx="2355850" cy="82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10/10/24</w:t>
      </w:r>
    </w:p>
    <w:p>
      <w:pPr>
        <w:sectPr>
          <w:pgSz w:w="11900" w:h="16838" w:orient="portrait"/>
          <w:cols w:equalWidth="0" w:num="1">
            <w:col w:w="11120"/>
          </w:cols>
          <w:pgMar w:left="340" w:top="192" w:right="439" w:bottom="1440" w:gutter="0" w:footer="0" w:header="0"/>
        </w:sectPr>
      </w:pPr>
    </w:p>
    <w:bookmarkStart w:id="210" w:name="page211"/>
    <w:bookmarkEnd w:id="210"/>
    <w:p>
      <w:pPr>
        <w:ind w:left="7720"/>
        <w:spacing w:after="0"/>
        <w:rPr>
          <w:sz w:val="20"/>
          <w:szCs w:val="20"/>
          <w:color w:val="auto"/>
        </w:rPr>
      </w:pPr>
      <w:r>
        <w:rPr>
          <w:rFonts w:ascii="Times New Roman" w:cs="Times New Roman" w:eastAsia="Times New Roman" w:hAnsi="Times New Roman"/>
          <w:sz w:val="19"/>
          <w:szCs w:val="19"/>
          <w:b w:val="1"/>
          <w:bCs w:val="1"/>
          <w:color w:val="auto"/>
        </w:rPr>
        <w:t>Exhibit 10(w)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12700</wp:posOffset>
            </wp:positionV>
            <wp:extent cx="6848475" cy="16154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8">
                      <a:extLst>
                        <a:ext uri="{28A0092B-C50C-407E-A947-70E740481C1C}"/>
                      </a:extLst>
                    </a:blip>
                    <a:srcRect/>
                    <a:stretch>
                      <a:fillRect/>
                    </a:stretch>
                  </pic:blipFill>
                  <pic:spPr bwMode="auto">
                    <a:xfrm>
                      <a:off x="0" y="0"/>
                      <a:ext cx="6848475" cy="1615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9"/>
          <w:szCs w:val="19"/>
          <w:color w:val="auto"/>
        </w:rPr>
        <w:t>As of September 1, 2023</w:t>
      </w:r>
    </w:p>
    <w:p>
      <w:pPr>
        <w:spacing w:after="0" w:line="200" w:lineRule="exact"/>
        <w:rPr>
          <w:sz w:val="20"/>
          <w:szCs w:val="20"/>
          <w:color w:val="auto"/>
        </w:rPr>
      </w:pPr>
    </w:p>
    <w:p>
      <w:pPr>
        <w:spacing w:after="0" w:line="2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Mr. George Cheeks</w:t>
      </w:r>
    </w:p>
    <w:p>
      <w:pPr>
        <w:spacing w:after="0" w:line="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[address on file]</w:t>
      </w: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Dear George:</w:t>
      </w:r>
    </w:p>
    <w:p>
      <w:pPr>
        <w:spacing w:after="0" w:line="232" w:lineRule="exact"/>
        <w:rPr>
          <w:sz w:val="20"/>
          <w:szCs w:val="20"/>
          <w:color w:val="auto"/>
        </w:rPr>
      </w:pPr>
    </w:p>
    <w:p>
      <w:pPr>
        <w:jc w:val="both"/>
        <w:ind w:left="120" w:right="159" w:firstLine="636"/>
        <w:spacing w:after="0" w:line="273" w:lineRule="auto"/>
        <w:rPr>
          <w:sz w:val="20"/>
          <w:szCs w:val="20"/>
          <w:color w:val="auto"/>
        </w:rPr>
      </w:pPr>
      <w:r>
        <w:rPr>
          <w:rFonts w:ascii="Times New Roman" w:cs="Times New Roman" w:eastAsia="Times New Roman" w:hAnsi="Times New Roman"/>
          <w:sz w:val="19"/>
          <w:szCs w:val="19"/>
          <w:color w:val="auto"/>
        </w:rPr>
        <w:t>Paramount Global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agrees to employ you, and you accept such employment, on the terms and conditions set forth in this letter agreement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For purposes of this Agreement, “</w:t>
      </w:r>
      <w:r>
        <w:rPr>
          <w:rFonts w:ascii="Times New Roman" w:cs="Times New Roman" w:eastAsia="Times New Roman" w:hAnsi="Times New Roman"/>
          <w:sz w:val="19"/>
          <w:szCs w:val="19"/>
          <w:u w:val="single" w:color="auto"/>
          <w:color w:val="auto"/>
        </w:rPr>
        <w:t>Paramount</w:t>
      </w:r>
      <w:r>
        <w:rPr>
          <w:rFonts w:ascii="Times New Roman" w:cs="Times New Roman" w:eastAsia="Times New Roman" w:hAnsi="Times New Roman"/>
          <w:sz w:val="19"/>
          <w:szCs w:val="19"/>
          <w:color w:val="auto"/>
        </w:rPr>
        <w:t>” shall mean Paramount Global and its subsidiaries.</w:t>
      </w:r>
    </w:p>
    <w:p>
      <w:pPr>
        <w:spacing w:after="0" w:line="169" w:lineRule="exact"/>
        <w:rPr>
          <w:sz w:val="20"/>
          <w:szCs w:val="20"/>
          <w:color w:val="auto"/>
        </w:rPr>
      </w:pPr>
    </w:p>
    <w:p>
      <w:pPr>
        <w:jc w:val="both"/>
        <w:ind w:left="120" w:right="179" w:firstLine="718"/>
        <w:spacing w:after="0" w:line="264" w:lineRule="auto"/>
        <w:tabs>
          <w:tab w:leader="none" w:pos="1418" w:val="left"/>
        </w:tabs>
        <w:numPr>
          <w:ilvl w:val="1"/>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Contract Period</w:t>
      </w:r>
      <w:r>
        <w:rPr>
          <w:rFonts w:ascii="Times New Roman" w:cs="Times New Roman" w:eastAsia="Times New Roman" w:hAnsi="Times New Roman"/>
          <w:sz w:val="19"/>
          <w:szCs w:val="19"/>
          <w:color w:val="auto"/>
        </w:rPr>
        <w:t>. The term of your employment under this Agreement shall begin on September 1, 2023 (the “</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and, unless terminated earlier as set forth herein, shall continue through and including December 31, 2027. The period from the Effective Date through December 31, 2027 is referred to as the “</w:t>
      </w:r>
      <w:r>
        <w:rPr>
          <w:rFonts w:ascii="Times New Roman" w:cs="Times New Roman" w:eastAsia="Times New Roman" w:hAnsi="Times New Roman"/>
          <w:sz w:val="19"/>
          <w:szCs w:val="19"/>
          <w:u w:val="single" w:color="auto"/>
          <w:color w:val="auto"/>
        </w:rPr>
        <w:t>Contract Period</w:t>
      </w:r>
      <w:r>
        <w:rPr>
          <w:rFonts w:ascii="Times New Roman" w:cs="Times New Roman" w:eastAsia="Times New Roman" w:hAnsi="Times New Roman"/>
          <w:sz w:val="19"/>
          <w:szCs w:val="19"/>
          <w:color w:val="auto"/>
        </w:rPr>
        <w:t>”, even if your employment terminates earlier for any reason.</w:t>
      </w:r>
    </w:p>
    <w:p>
      <w:pPr>
        <w:spacing w:after="0" w:line="178" w:lineRule="exact"/>
        <w:rPr>
          <w:rFonts w:ascii="Times New Roman" w:cs="Times New Roman" w:eastAsia="Times New Roman" w:hAnsi="Times New Roman"/>
          <w:sz w:val="19"/>
          <w:szCs w:val="19"/>
          <w:color w:val="auto"/>
        </w:rPr>
      </w:pPr>
    </w:p>
    <w:p>
      <w:pPr>
        <w:jc w:val="both"/>
        <w:ind w:left="120" w:right="159" w:firstLine="718"/>
        <w:spacing w:after="0" w:line="259" w:lineRule="auto"/>
        <w:tabs>
          <w:tab w:leader="none" w:pos="1418" w:val="left"/>
        </w:tabs>
        <w:numPr>
          <w:ilvl w:val="1"/>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Duties</w:t>
      </w:r>
      <w:r>
        <w:rPr>
          <w:rFonts w:ascii="Times New Roman" w:cs="Times New Roman" w:eastAsia="Times New Roman" w:hAnsi="Times New Roman"/>
          <w:sz w:val="19"/>
          <w:szCs w:val="19"/>
          <w:color w:val="auto"/>
        </w:rPr>
        <w:t>. You shall devote your entire business time, attention and energies to the business of the Company during your employment with the Company. You shall be the sole President and Chief Executive Officer, CBS Group and Chief Content Officer, News and Sports, Paramount+, and you shall perform all duties reasonable and consistent with such office as may be assigned to you from time to time by, and you shall report directly to, the President and Chief Executive Officer, Paramount. Notwithstanding the foregoing, you shall be permitted to engage in charitable, civic or other non- business activities and to serve as a member of the board of directors of not-for-profit organizations. You shall be the highest-ranking executive of the CBS Entertainment Group. You shall render your services under this Agreement from the Company’s executive offices in the New York metropolitan area or such other location mutually agreeable to you and the Company (except for services rendered during business trips as may be reasonably necessary), and you shall not be required to relocate outside of the New York metropolitan area.</w:t>
      </w:r>
    </w:p>
    <w:p>
      <w:pPr>
        <w:spacing w:after="0" w:line="175" w:lineRule="exact"/>
        <w:rPr>
          <w:rFonts w:ascii="Times New Roman" w:cs="Times New Roman" w:eastAsia="Times New Roman" w:hAnsi="Times New Roman"/>
          <w:sz w:val="19"/>
          <w:szCs w:val="19"/>
          <w:color w:val="auto"/>
        </w:rPr>
      </w:pPr>
    </w:p>
    <w:p>
      <w:pPr>
        <w:ind w:left="1400" w:hanging="562"/>
        <w:spacing w:after="0"/>
        <w:tabs>
          <w:tab w:leader="none" w:pos="1400" w:val="left"/>
        </w:tabs>
        <w:numPr>
          <w:ilvl w:val="1"/>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Compensation</w:t>
      </w:r>
      <w:r>
        <w:rPr>
          <w:rFonts w:ascii="Times New Roman" w:cs="Times New Roman" w:eastAsia="Times New Roman" w:hAnsi="Times New Roman"/>
          <w:sz w:val="19"/>
          <w:szCs w:val="19"/>
          <w:color w:val="auto"/>
        </w:rPr>
        <w:t>.</w:t>
      </w:r>
    </w:p>
    <w:p>
      <w:pPr>
        <w:spacing w:after="0" w:line="232" w:lineRule="exact"/>
        <w:rPr>
          <w:rFonts w:ascii="Times New Roman" w:cs="Times New Roman" w:eastAsia="Times New Roman" w:hAnsi="Times New Roman"/>
          <w:sz w:val="19"/>
          <w:szCs w:val="19"/>
          <w:color w:val="auto"/>
        </w:rPr>
      </w:pPr>
    </w:p>
    <w:p>
      <w:pPr>
        <w:jc w:val="both"/>
        <w:ind w:left="120" w:right="179" w:firstLine="638"/>
        <w:spacing w:after="0" w:line="263" w:lineRule="auto"/>
        <w:tabs>
          <w:tab w:leader="none" w:pos="1422"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Salary</w:t>
      </w:r>
      <w:r>
        <w:rPr>
          <w:rFonts w:ascii="Times New Roman" w:cs="Times New Roman" w:eastAsia="Times New Roman" w:hAnsi="Times New Roman"/>
          <w:sz w:val="19"/>
          <w:szCs w:val="19"/>
          <w:color w:val="auto"/>
        </w:rPr>
        <w:t>. The Company shall pay you base salary (as may be increased, “Salary”) at a rate of Two Million Seven Hundred Fifty Thousand Dollars ($2,750,000) per year for all of your services as an employee. Your Salary shall be subject to annual merit reviews while you are actively employed during the Contract Period and may at that time, be increased but not decreased. Your Salary, less deductions and income and payroll tax withholding as may be required under applicable law, shall be payable in accordance with the Company’s ordinary payroll policy, but no less frequently than monthly.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-5080</wp:posOffset>
            </wp:positionV>
            <wp:extent cx="6848475" cy="9251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9">
                      <a:extLst>
                        <a:ext uri="{28A0092B-C50C-407E-A947-70E740481C1C}"/>
                      </a:extLst>
                    </a:blip>
                    <a:srcRect/>
                    <a:stretch>
                      <a:fillRect/>
                    </a:stretch>
                  </pic:blipFill>
                  <pic:spPr bwMode="auto">
                    <a:xfrm>
                      <a:off x="0" y="0"/>
                      <a:ext cx="6848475" cy="925195"/>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9"/>
          <w:szCs w:val="19"/>
          <w:color w:val="auto"/>
        </w:rPr>
        <w:t>Mr. George Cheeks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of September 1, 2023</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00" w:right="159" w:firstLine="639"/>
        <w:spacing w:after="0" w:line="285" w:lineRule="auto"/>
        <w:tabs>
          <w:tab w:leader="none" w:pos="2500"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Bonus</w:t>
      </w:r>
      <w:r>
        <w:rPr>
          <w:rFonts w:ascii="Times New Roman" w:cs="Times New Roman" w:eastAsia="Times New Roman" w:hAnsi="Times New Roman"/>
          <w:sz w:val="19"/>
          <w:szCs w:val="19"/>
          <w:color w:val="auto"/>
        </w:rPr>
        <w:t>. You also shall be eligible to earn a bonus (“Bonus”) or a Pro-Rated Bonus (as defined in paragraph 19(e)(ii)), as applicable, determined as set forth below and in paragraph 19(e)(ii).</w:t>
      </w:r>
    </w:p>
    <w:p>
      <w:pPr>
        <w:spacing w:after="0" w:line="156" w:lineRule="exact"/>
        <w:rPr>
          <w:rFonts w:ascii="Times New Roman" w:cs="Times New Roman" w:eastAsia="Times New Roman" w:hAnsi="Times New Roman"/>
          <w:sz w:val="19"/>
          <w:szCs w:val="19"/>
          <w:color w:val="auto"/>
        </w:rPr>
      </w:pPr>
    </w:p>
    <w:p>
      <w:pPr>
        <w:jc w:val="both"/>
        <w:ind w:left="3100" w:right="159" w:hanging="626"/>
        <w:spacing w:after="0" w:line="264" w:lineRule="auto"/>
        <w:tabs>
          <w:tab w:leader="none" w:pos="3098" w:val="left"/>
        </w:tabs>
        <w:numPr>
          <w:ilvl w:val="3"/>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Your Bonus for each Company fiscal year, regardless of whether such fiscal year is a 12-month period or a shorter period of time, shall be determined in accordance with the Company’s annual bonus plan in effect from time to time, as determined by the Board of Directors of Paramount (the “Board”) or a Committee of the Board (the “</w:t>
      </w:r>
      <w:r>
        <w:rPr>
          <w:rFonts w:ascii="Times New Roman" w:cs="Times New Roman" w:eastAsia="Times New Roman" w:hAnsi="Times New Roman"/>
          <w:sz w:val="19"/>
          <w:szCs w:val="19"/>
          <w:u w:val="single" w:color="auto"/>
          <w:color w:val="auto"/>
        </w:rPr>
        <w:t>STIP</w:t>
      </w:r>
      <w:r>
        <w:rPr>
          <w:rFonts w:ascii="Times New Roman" w:cs="Times New Roman" w:eastAsia="Times New Roman" w:hAnsi="Times New Roman"/>
          <w:sz w:val="19"/>
          <w:szCs w:val="19"/>
          <w:color w:val="auto"/>
        </w:rPr>
        <w:t>”).</w:t>
      </w:r>
    </w:p>
    <w:p>
      <w:pPr>
        <w:spacing w:after="0" w:line="178" w:lineRule="exact"/>
        <w:rPr>
          <w:rFonts w:ascii="Times New Roman" w:cs="Times New Roman" w:eastAsia="Times New Roman" w:hAnsi="Times New Roman"/>
          <w:sz w:val="19"/>
          <w:szCs w:val="19"/>
          <w:color w:val="auto"/>
        </w:rPr>
      </w:pPr>
    </w:p>
    <w:p>
      <w:pPr>
        <w:jc w:val="both"/>
        <w:ind w:left="3120" w:right="159" w:hanging="645"/>
        <w:spacing w:after="0" w:line="261" w:lineRule="auto"/>
        <w:tabs>
          <w:tab w:leader="none" w:pos="3119" w:val="left"/>
        </w:tabs>
        <w:numPr>
          <w:ilvl w:val="3"/>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Your target Bonus for each Company fiscal year during the Contract Period shall be 185% of your Salary (your “</w:t>
      </w:r>
      <w:r>
        <w:rPr>
          <w:rFonts w:ascii="Times New Roman" w:cs="Times New Roman" w:eastAsia="Times New Roman" w:hAnsi="Times New Roman"/>
          <w:sz w:val="19"/>
          <w:szCs w:val="19"/>
          <w:u w:val="single" w:color="auto"/>
          <w:color w:val="auto"/>
        </w:rPr>
        <w:t>Target Bonus</w:t>
      </w:r>
      <w:r>
        <w:rPr>
          <w:rFonts w:ascii="Times New Roman" w:cs="Times New Roman" w:eastAsia="Times New Roman" w:hAnsi="Times New Roman"/>
          <w:sz w:val="19"/>
          <w:szCs w:val="19"/>
          <w:color w:val="auto"/>
        </w:rPr>
        <w:t>”) and shall be adjusted based on the Company’s performance (the “</w:t>
      </w:r>
      <w:r>
        <w:rPr>
          <w:rFonts w:ascii="Times New Roman" w:cs="Times New Roman" w:eastAsia="Times New Roman" w:hAnsi="Times New Roman"/>
          <w:sz w:val="19"/>
          <w:szCs w:val="19"/>
          <w:u w:val="single" w:color="auto"/>
          <w:color w:val="auto"/>
        </w:rPr>
        <w:t>Company Performance Factor</w:t>
      </w:r>
      <w:r>
        <w:rPr>
          <w:rFonts w:ascii="Times New Roman" w:cs="Times New Roman" w:eastAsia="Times New Roman" w:hAnsi="Times New Roman"/>
          <w:sz w:val="19"/>
          <w:szCs w:val="19"/>
          <w:color w:val="auto"/>
        </w:rPr>
        <w:t>”) and your individual performance (the “</w:t>
      </w:r>
      <w:r>
        <w:rPr>
          <w:rFonts w:ascii="Times New Roman" w:cs="Times New Roman" w:eastAsia="Times New Roman" w:hAnsi="Times New Roman"/>
          <w:sz w:val="19"/>
          <w:szCs w:val="19"/>
          <w:u w:val="single" w:color="auto"/>
          <w:color w:val="auto"/>
        </w:rPr>
        <w:t>Individual Performance Factor</w:t>
      </w:r>
      <w:r>
        <w:rPr>
          <w:rFonts w:ascii="Times New Roman" w:cs="Times New Roman" w:eastAsia="Times New Roman" w:hAnsi="Times New Roman"/>
          <w:sz w:val="19"/>
          <w:szCs w:val="19"/>
          <w:color w:val="auto"/>
        </w:rPr>
        <w:t>”), in each case as determined by the Board or a committee of the Board and as further provided in the STIP; provided, however, that the Board or a committee of the Board will review your Target Bonus during the Contract Term and may increase, but not decrease, your Target Bonus at that time. The result of such review shall be reported to you promptly after it occurs.</w:t>
      </w:r>
    </w:p>
    <w:p>
      <w:pPr>
        <w:spacing w:after="0" w:line="179" w:lineRule="exact"/>
        <w:rPr>
          <w:rFonts w:ascii="Times New Roman" w:cs="Times New Roman" w:eastAsia="Times New Roman" w:hAnsi="Times New Roman"/>
          <w:sz w:val="19"/>
          <w:szCs w:val="19"/>
          <w:color w:val="auto"/>
        </w:rPr>
      </w:pPr>
    </w:p>
    <w:p>
      <w:pPr>
        <w:jc w:val="both"/>
        <w:ind w:left="1200" w:right="159" w:firstLine="638"/>
        <w:spacing w:after="0" w:line="261" w:lineRule="auto"/>
        <w:tabs>
          <w:tab w:leader="none" w:pos="2502" w:val="left"/>
        </w:tabs>
        <w:numPr>
          <w:ilvl w:val="1"/>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Long-Term Incentive Compensation</w:t>
      </w:r>
      <w:r>
        <w:rPr>
          <w:rFonts w:ascii="Times New Roman" w:cs="Times New Roman" w:eastAsia="Times New Roman" w:hAnsi="Times New Roman"/>
          <w:sz w:val="19"/>
          <w:szCs w:val="19"/>
          <w:color w:val="auto"/>
        </w:rPr>
        <w:t>. During your employment under this Agreement, you shall be eligible to participate in the Company’s equity incentive plan in effect from time to time, at a level appropriate to your position and individual performance as determined by the Board or a committee of the Board, in its discretion, based on a target value of Five Million Dollars ($5,000,000) per annum. The annual design and actual grant date value of your award shall be determined and subject to modification (in a manner consistent with and no less favorable than award principles applicable to similarly situated executives of the Company) by the Board or a committee of the Board.</w:t>
      </w:r>
    </w:p>
    <w:p>
      <w:pPr>
        <w:spacing w:after="0" w:line="178" w:lineRule="exact"/>
        <w:rPr>
          <w:rFonts w:ascii="Times New Roman" w:cs="Times New Roman" w:eastAsia="Times New Roman" w:hAnsi="Times New Roman"/>
          <w:sz w:val="19"/>
          <w:szCs w:val="19"/>
          <w:color w:val="auto"/>
        </w:rPr>
      </w:pPr>
    </w:p>
    <w:p>
      <w:pPr>
        <w:jc w:val="both"/>
        <w:ind w:left="1200" w:right="159" w:firstLine="639"/>
        <w:spacing w:after="0" w:line="263" w:lineRule="auto"/>
        <w:tabs>
          <w:tab w:leader="none" w:pos="2500" w:val="left"/>
        </w:tabs>
        <w:numPr>
          <w:ilvl w:val="1"/>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Compensation During Short-Term Disability</w:t>
      </w:r>
      <w:r>
        <w:rPr>
          <w:rFonts w:ascii="Times New Roman" w:cs="Times New Roman" w:eastAsia="Times New Roman" w:hAnsi="Times New Roman"/>
          <w:sz w:val="19"/>
          <w:szCs w:val="19"/>
          <w:color w:val="auto"/>
        </w:rPr>
        <w:t>. Your compensation for any period that you are absent due to a short-term disability (“</w:t>
      </w:r>
      <w:r>
        <w:rPr>
          <w:rFonts w:ascii="Times New Roman" w:cs="Times New Roman" w:eastAsia="Times New Roman" w:hAnsi="Times New Roman"/>
          <w:sz w:val="19"/>
          <w:szCs w:val="19"/>
          <w:u w:val="single" w:color="auto"/>
          <w:color w:val="auto"/>
        </w:rPr>
        <w:t>STD</w:t>
      </w:r>
      <w:r>
        <w:rPr>
          <w:rFonts w:ascii="Times New Roman" w:cs="Times New Roman" w:eastAsia="Times New Roman" w:hAnsi="Times New Roman"/>
          <w:sz w:val="19"/>
          <w:szCs w:val="19"/>
          <w:color w:val="auto"/>
        </w:rPr>
        <w:t>”) and are receiving compensation under a Company STD plan sponsored or maintained by the Company shall be determined in accordance with the terms of such STD plan. The compensation provided to you under the applicable STD plan shall be in lieu of the Salary provided under this Agreement. Your participation in any other Company benefit plans or programs during the STD period shall be governed by the terms of the applicable plan or program documents, award agreements and certificates.</w:t>
      </w:r>
    </w:p>
    <w:p>
      <w:pPr>
        <w:spacing w:after="0" w:line="166" w:lineRule="exact"/>
        <w:rPr>
          <w:rFonts w:ascii="Times New Roman" w:cs="Times New Roman" w:eastAsia="Times New Roman" w:hAnsi="Times New Roman"/>
          <w:sz w:val="19"/>
          <w:szCs w:val="19"/>
          <w:color w:val="auto"/>
        </w:rPr>
      </w:pPr>
    </w:p>
    <w:p>
      <w:pPr>
        <w:jc w:val="both"/>
        <w:ind w:left="1200" w:right="159" w:firstLine="718"/>
        <w:spacing w:after="0" w:line="267" w:lineRule="auto"/>
        <w:tabs>
          <w:tab w:leader="none" w:pos="2498" w:val="left"/>
        </w:tabs>
        <w:numPr>
          <w:ilvl w:val="2"/>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Benefits</w:t>
      </w:r>
      <w:r>
        <w:rPr>
          <w:rFonts w:ascii="Times New Roman" w:cs="Times New Roman" w:eastAsia="Times New Roman" w:hAnsi="Times New Roman"/>
          <w:sz w:val="19"/>
          <w:szCs w:val="19"/>
          <w:color w:val="auto"/>
        </w:rPr>
        <w:t>. During your employment under this Agreement, you shall be eligible to participate in any vacation programs, medical and dental plans and life insurance plans, STD and long- term disability (“</w:t>
      </w:r>
      <w:r>
        <w:rPr>
          <w:rFonts w:ascii="Times New Roman" w:cs="Times New Roman" w:eastAsia="Times New Roman" w:hAnsi="Times New Roman"/>
          <w:sz w:val="19"/>
          <w:szCs w:val="19"/>
          <w:u w:val="single" w:color="auto"/>
          <w:color w:val="auto"/>
        </w:rPr>
        <w:t>LTD</w:t>
      </w:r>
      <w:r>
        <w:rPr>
          <w:rFonts w:ascii="Times New Roman" w:cs="Times New Roman" w:eastAsia="Times New Roman" w:hAnsi="Times New Roman"/>
          <w:sz w:val="19"/>
          <w:szCs w:val="19"/>
          <w:color w:val="auto"/>
        </w:rPr>
        <w:t>”) plans, retirement and other employee benefit plans the Company may have, establish or maintain from time to time and for which you qualify pursuant to the terms of the applicable plan, at the same levels as similarly situated executives.</w:t>
      </w:r>
    </w:p>
    <w:p>
      <w:pPr>
        <w:spacing w:after="0" w:line="162" w:lineRule="exact"/>
        <w:rPr>
          <w:rFonts w:ascii="Times New Roman" w:cs="Times New Roman" w:eastAsia="Times New Roman" w:hAnsi="Times New Roman"/>
          <w:sz w:val="19"/>
          <w:szCs w:val="19"/>
          <w:color w:val="auto"/>
        </w:rPr>
      </w:pPr>
    </w:p>
    <w:p>
      <w:pPr>
        <w:jc w:val="both"/>
        <w:ind w:left="1200" w:right="159" w:firstLine="718"/>
        <w:spacing w:after="0" w:line="280" w:lineRule="auto"/>
        <w:tabs>
          <w:tab w:leader="none" w:pos="2498" w:val="left"/>
        </w:tabs>
        <w:numPr>
          <w:ilvl w:val="2"/>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Business Expenses</w:t>
      </w:r>
      <w:r>
        <w:rPr>
          <w:rFonts w:ascii="Times New Roman" w:cs="Times New Roman" w:eastAsia="Times New Roman" w:hAnsi="Times New Roman"/>
          <w:sz w:val="19"/>
          <w:szCs w:val="19"/>
          <w:color w:val="auto"/>
        </w:rPr>
        <w:t>. During your employment under this Agreement, the Company shall reimburse you for such reasonable travel and other expenses, incurred in the performance of your duties in accordance with the Company’s policies, as are customarily reimbursed to Company executives at your level.</w:t>
      </w:r>
    </w:p>
    <w:p>
      <w:pPr>
        <w:spacing w:after="0" w:line="149" w:lineRule="exact"/>
        <w:rPr>
          <w:rFonts w:ascii="Times New Roman" w:cs="Times New Roman" w:eastAsia="Times New Roman" w:hAnsi="Times New Roman"/>
          <w:sz w:val="19"/>
          <w:szCs w:val="19"/>
          <w:color w:val="auto"/>
        </w:rPr>
      </w:pPr>
    </w:p>
    <w:p>
      <w:pPr>
        <w:ind w:left="2460" w:hanging="542"/>
        <w:spacing w:after="0"/>
        <w:tabs>
          <w:tab w:leader="none" w:pos="2460" w:val="left"/>
        </w:tabs>
        <w:numPr>
          <w:ilvl w:val="2"/>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Non-Competition and Non-Solicitation</w:t>
      </w:r>
      <w:r>
        <w:rPr>
          <w:rFonts w:ascii="Times New Roman" w:cs="Times New Roman" w:eastAsia="Times New Roman" w:hAnsi="Times New Roman"/>
          <w:sz w:val="19"/>
          <w:szCs w:val="19"/>
          <w:color w:val="auto"/>
        </w:rPr>
        <w:t>.</w:t>
      </w:r>
    </w:p>
    <w:p>
      <w:pPr>
        <w:spacing w:after="0" w:line="232" w:lineRule="exact"/>
        <w:rPr>
          <w:rFonts w:ascii="Times New Roman" w:cs="Times New Roman" w:eastAsia="Times New Roman" w:hAnsi="Times New Roman"/>
          <w:sz w:val="19"/>
          <w:szCs w:val="19"/>
          <w:color w:val="auto"/>
        </w:rPr>
      </w:pPr>
    </w:p>
    <w:p>
      <w:pPr>
        <w:ind w:left="2460" w:hanging="621"/>
        <w:spacing w:after="0"/>
        <w:tabs>
          <w:tab w:leader="none" w:pos="2460" w:val="left"/>
        </w:tabs>
        <w:numPr>
          <w:ilvl w:val="1"/>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Non-Competition</w:t>
      </w:r>
      <w:r>
        <w:rPr>
          <w:rFonts w:ascii="Times New Roman" w:cs="Times New Roman" w:eastAsia="Times New Roman" w:hAnsi="Times New Roman"/>
          <w:sz w:val="19"/>
          <w:szCs w:val="19"/>
          <w:color w:val="auto"/>
        </w:rPr>
        <w:t>.</w:t>
      </w:r>
    </w:p>
    <w:p>
      <w:pPr>
        <w:sectPr>
          <w:pgSz w:w="11900" w:h="16838" w:orient="portrait"/>
          <w:cols w:equalWidth="0" w:num="1">
            <w:col w:w="10099"/>
          </w:cols>
          <w:pgMar w:left="360" w:top="183" w:right="1440"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9"/>
          <w:szCs w:val="19"/>
          <w:color w:val="auto"/>
        </w:rPr>
        <w:t>Mr. George Cheeks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of September 1, 2023</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3120" w:right="159" w:hanging="646"/>
        <w:spacing w:after="0" w:line="258" w:lineRule="auto"/>
        <w:tabs>
          <w:tab w:leader="none" w:pos="3117"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Your employment with the Company is on an exclusive and full-time basis, and while you are employed by the Company, you shall not engage in any other business activity which is in conflict with your duties and obligations (including your commitment of time) to the Company. During the Non-Competition Period, you shall not directly or indirectly engage in or participate as an owner, partner, holder or beneficiary of stock, stock options or other equity interest, officer, employee, director, manager, partner or agent of, or consultant for, any business competitive with any business of Paramount without the prior written consent of Paramount. This provision shall not limit your right to own and have options or other rights to purchase not more than one percent (1%) of any of the debt or equity securities of any business organization that is then filing reports with the Securities and Exchange Commission pursuant to Section 13 or 15(d) of the Securities Exchange Act of 1934, as amended, unless such ownership constitutes a significant portion of your net worth. Following your active employment with the Company, you shall not be in violation of this provision by providing services to a unit, division, subsidiary or affiliate of an entity engaging in a Competitive Business if such unit, division, subsidiary or affiliate does not engage in a Competitive Business and you do not provide services with respect to the Competitive Business.</w:t>
      </w:r>
    </w:p>
    <w:p>
      <w:pPr>
        <w:spacing w:after="0" w:line="181" w:lineRule="exact"/>
        <w:rPr>
          <w:rFonts w:ascii="Times New Roman" w:cs="Times New Roman" w:eastAsia="Times New Roman" w:hAnsi="Times New Roman"/>
          <w:sz w:val="19"/>
          <w:szCs w:val="19"/>
          <w:color w:val="auto"/>
        </w:rPr>
      </w:pPr>
    </w:p>
    <w:p>
      <w:pPr>
        <w:ind w:left="3120" w:right="179" w:hanging="645"/>
        <w:spacing w:after="0" w:line="285" w:lineRule="auto"/>
        <w:tabs>
          <w:tab w:leader="none" w:pos="3119"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u w:val="single" w:color="auto"/>
          <w:color w:val="auto"/>
        </w:rPr>
        <w:t>Non-Competition Period</w:t>
      </w:r>
      <w:r>
        <w:rPr>
          <w:rFonts w:ascii="Times New Roman" w:cs="Times New Roman" w:eastAsia="Times New Roman" w:hAnsi="Times New Roman"/>
          <w:sz w:val="19"/>
          <w:szCs w:val="19"/>
          <w:color w:val="auto"/>
        </w:rPr>
        <w:t>” begins on the Effective Date and ends on the last day of the Contract Period, provided that:</w:t>
      </w:r>
    </w:p>
    <w:p>
      <w:pPr>
        <w:spacing w:after="0" w:line="156" w:lineRule="exact"/>
        <w:rPr>
          <w:rFonts w:ascii="Times New Roman" w:cs="Times New Roman" w:eastAsia="Times New Roman" w:hAnsi="Times New Roman"/>
          <w:sz w:val="19"/>
          <w:szCs w:val="19"/>
          <w:color w:val="auto"/>
        </w:rPr>
      </w:pPr>
    </w:p>
    <w:p>
      <w:pPr>
        <w:jc w:val="both"/>
        <w:ind w:left="3740" w:right="159" w:hanging="630"/>
        <w:spacing w:after="0" w:line="261" w:lineRule="auto"/>
        <w:tabs>
          <w:tab w:leader="none" w:pos="3739" w:val="left"/>
        </w:tabs>
        <w:numPr>
          <w:ilvl w:val="1"/>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Company terminates your employment without Cause or you resign for Good Reason before the end of the Contract Period, then the Non-Competition Period shall end on the earlier of (i) the end of the period in which you are receiving payments pursuant to paragraph 11(b)(i) or (ii) the effective date of your waiver in writing of any right to receive or continue to receive compensation and benefits under paragraph 11. You shall be deemed to have irrevocably provided such waiver if you commence competing employment.</w:t>
      </w:r>
    </w:p>
    <w:p>
      <w:pPr>
        <w:spacing w:after="0" w:line="178" w:lineRule="exact"/>
        <w:rPr>
          <w:rFonts w:ascii="Times New Roman" w:cs="Times New Roman" w:eastAsia="Times New Roman" w:hAnsi="Times New Roman"/>
          <w:sz w:val="19"/>
          <w:szCs w:val="19"/>
          <w:color w:val="auto"/>
        </w:rPr>
      </w:pPr>
    </w:p>
    <w:p>
      <w:pPr>
        <w:ind w:left="3740" w:hanging="630"/>
        <w:spacing w:after="0"/>
        <w:tabs>
          <w:tab w:leader="none" w:pos="3740" w:val="left"/>
        </w:tabs>
        <w:numPr>
          <w:ilvl w:val="1"/>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Company terminates your employment for Cause or you resign other</w:t>
      </w:r>
    </w:p>
    <w:p>
      <w:pPr>
        <w:spacing w:after="0" w:line="3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than for Good Reason, the Non-Competition Period shall end on the earlier of</w:t>
      </w:r>
    </w:p>
    <w:p>
      <w:pPr>
        <w:spacing w:after="0" w:line="14" w:lineRule="exact"/>
        <w:rPr>
          <w:sz w:val="20"/>
          <w:szCs w:val="20"/>
          <w:color w:val="auto"/>
        </w:rPr>
      </w:pPr>
    </w:p>
    <w:p>
      <w:pPr>
        <w:ind w:left="3740" w:right="179" w:firstLine="7"/>
        <w:spacing w:after="0" w:line="275" w:lineRule="auto"/>
        <w:tabs>
          <w:tab w:leader="none" w:pos="3993" w:val="left"/>
        </w:tabs>
        <w:numPr>
          <w:ilvl w:val="3"/>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last day of the Contract Period or (ii) eighteen (18) months after such termination or resignation.</w:t>
      </w:r>
    </w:p>
    <w:p>
      <w:pPr>
        <w:spacing w:after="0" w:line="153" w:lineRule="exact"/>
        <w:rPr>
          <w:rFonts w:ascii="Times New Roman" w:cs="Times New Roman" w:eastAsia="Times New Roman" w:hAnsi="Times New Roman"/>
          <w:sz w:val="19"/>
          <w:szCs w:val="19"/>
          <w:color w:val="auto"/>
        </w:rPr>
      </w:pPr>
    </w:p>
    <w:p>
      <w:pPr>
        <w:ind w:left="2460" w:hanging="621"/>
        <w:spacing w:after="0"/>
        <w:tabs>
          <w:tab w:leader="none" w:pos="2460" w:val="left"/>
        </w:tabs>
        <w:numPr>
          <w:ilvl w:val="0"/>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Non-Solicitation</w:t>
      </w:r>
      <w:r>
        <w:rPr>
          <w:rFonts w:ascii="Times New Roman" w:cs="Times New Roman" w:eastAsia="Times New Roman" w:hAnsi="Times New Roman"/>
          <w:sz w:val="19"/>
          <w:szCs w:val="19"/>
          <w:color w:val="auto"/>
        </w:rPr>
        <w:t>.</w:t>
      </w:r>
    </w:p>
    <w:p>
      <w:pPr>
        <w:spacing w:after="0" w:line="232" w:lineRule="exact"/>
        <w:rPr>
          <w:rFonts w:ascii="Times New Roman" w:cs="Times New Roman" w:eastAsia="Times New Roman" w:hAnsi="Times New Roman"/>
          <w:sz w:val="19"/>
          <w:szCs w:val="19"/>
          <w:color w:val="auto"/>
        </w:rPr>
      </w:pPr>
    </w:p>
    <w:p>
      <w:pPr>
        <w:jc w:val="both"/>
        <w:ind w:left="3120" w:right="179" w:hanging="646"/>
        <w:spacing w:after="0" w:line="273" w:lineRule="auto"/>
        <w:tabs>
          <w:tab w:leader="none" w:pos="3117" w:val="left"/>
        </w:tabs>
        <w:numPr>
          <w:ilvl w:val="1"/>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the Non-Solicitation Period, except in the performance of your duties for the Company, you shall not directly or indirectly engage or attempt to engage in any of the following acts:</w:t>
      </w:r>
    </w:p>
    <w:p>
      <w:pPr>
        <w:spacing w:after="0" w:line="168" w:lineRule="exact"/>
        <w:rPr>
          <w:rFonts w:ascii="Times New Roman" w:cs="Times New Roman" w:eastAsia="Times New Roman" w:hAnsi="Times New Roman"/>
          <w:sz w:val="19"/>
          <w:szCs w:val="19"/>
          <w:color w:val="auto"/>
        </w:rPr>
      </w:pPr>
    </w:p>
    <w:p>
      <w:pPr>
        <w:jc w:val="both"/>
        <w:ind w:left="3740" w:right="159" w:hanging="630"/>
        <w:spacing w:after="0" w:line="262" w:lineRule="auto"/>
        <w:tabs>
          <w:tab w:leader="none" w:pos="3739" w:val="left"/>
        </w:tabs>
        <w:numPr>
          <w:ilvl w:val="2"/>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 or solicit the employment of any person who is then, or has been within six (6) months prior thereto, an employee of Paramount (provided, that,</w:t>
      </w:r>
    </w:p>
    <w:p>
      <w:pPr>
        <w:spacing w:after="0" w:line="1" w:lineRule="exact"/>
        <w:rPr>
          <w:rFonts w:ascii="Times New Roman" w:cs="Times New Roman" w:eastAsia="Times New Roman" w:hAnsi="Times New Roman"/>
          <w:sz w:val="19"/>
          <w:szCs w:val="19"/>
          <w:color w:val="auto"/>
        </w:rPr>
      </w:pPr>
    </w:p>
    <w:p>
      <w:pPr>
        <w:jc w:val="both"/>
        <w:ind w:left="3740" w:right="159" w:firstLine="7"/>
        <w:spacing w:after="0" w:line="264" w:lineRule="auto"/>
        <w:tabs>
          <w:tab w:leader="none" w:pos="4015" w:val="left"/>
        </w:tabs>
        <w:numPr>
          <w:ilvl w:val="3"/>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general advertisement for employees not directed specifically at current or former employees of the Company and (y) for the avoidance of doubt, any employing or solicitation by an employer of yours not directed by you shall not violate this provision); or</w:t>
      </w:r>
    </w:p>
    <w:p>
      <w:pPr>
        <w:sectPr>
          <w:pgSz w:w="11900" w:h="16838" w:orient="portrait"/>
          <w:cols w:equalWidth="0" w:num="1">
            <w:col w:w="10099"/>
          </w:cols>
          <w:pgMar w:left="360" w:top="183" w:right="1440"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9"/>
          <w:szCs w:val="19"/>
          <w:color w:val="auto"/>
        </w:rPr>
        <w:t>Mr. George Cheeks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of September 1, 2023</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3740" w:right="159" w:hanging="630"/>
        <w:spacing w:after="0" w:line="258" w:lineRule="auto"/>
        <w:tabs>
          <w:tab w:leader="none" w:pos="3739" w:val="left"/>
        </w:tabs>
        <w:numPr>
          <w:ilvl w:val="5"/>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Interfere with, disturb or interrupt the relationships (whether or not such relationships have been reduced to formal contracts) of Paramount with any customer, supplier, independent contractor, consultant, joint venture or other business partner (to the extent each of the limitations in this paragraph 6(b)(i)</w:t>
      </w:r>
    </w:p>
    <w:p>
      <w:pPr>
        <w:spacing w:after="0" w:line="2" w:lineRule="exact"/>
        <w:rPr>
          <w:rFonts w:ascii="Times New Roman" w:cs="Times New Roman" w:eastAsia="Times New Roman" w:hAnsi="Times New Roman"/>
          <w:sz w:val="19"/>
          <w:szCs w:val="19"/>
          <w:color w:val="auto"/>
        </w:rPr>
      </w:pPr>
    </w:p>
    <w:p>
      <w:pPr>
        <w:ind w:left="4020" w:hanging="273"/>
        <w:spacing w:after="0"/>
        <w:tabs>
          <w:tab w:leader="none" w:pos="4020" w:val="left"/>
        </w:tabs>
        <w:numPr>
          <w:ilvl w:val="6"/>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permitted by applicable law).</w:t>
      </w:r>
    </w:p>
    <w:p>
      <w:pPr>
        <w:spacing w:after="0" w:line="217" w:lineRule="exact"/>
        <w:rPr>
          <w:rFonts w:ascii="Times New Roman" w:cs="Times New Roman" w:eastAsia="Times New Roman" w:hAnsi="Times New Roman"/>
          <w:sz w:val="19"/>
          <w:szCs w:val="19"/>
          <w:color w:val="auto"/>
        </w:rPr>
      </w:pPr>
    </w:p>
    <w:p>
      <w:pPr>
        <w:jc w:val="both"/>
        <w:ind w:left="3120" w:right="179" w:hanging="645"/>
        <w:spacing w:after="0" w:line="273" w:lineRule="auto"/>
        <w:tabs>
          <w:tab w:leader="none" w:pos="3119" w:val="left"/>
        </w:tabs>
        <w:numPr>
          <w:ilvl w:val="4"/>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u w:val="single" w:color="auto"/>
          <w:color w:val="auto"/>
        </w:rPr>
        <w:t>Non-Solicitation Period</w:t>
      </w:r>
      <w:r>
        <w:rPr>
          <w:rFonts w:ascii="Times New Roman" w:cs="Times New Roman" w:eastAsia="Times New Roman" w:hAnsi="Times New Roman"/>
          <w:sz w:val="19"/>
          <w:szCs w:val="19"/>
          <w:color w:val="auto"/>
        </w:rPr>
        <w:t>” begins on the Effective Date and ends on the last day of the Contract Period, or, if longer, eighteen (18) months after the Company terminates your employment for Cause or you resign other than for Good Reason.</w:t>
      </w:r>
    </w:p>
    <w:p>
      <w:pPr>
        <w:spacing w:after="0" w:line="155" w:lineRule="exact"/>
        <w:rPr>
          <w:rFonts w:ascii="Times New Roman" w:cs="Times New Roman" w:eastAsia="Times New Roman" w:hAnsi="Times New Roman"/>
          <w:sz w:val="19"/>
          <w:szCs w:val="19"/>
          <w:color w:val="auto"/>
        </w:rPr>
      </w:pPr>
    </w:p>
    <w:p>
      <w:pPr>
        <w:jc w:val="both"/>
        <w:ind w:left="1200" w:right="159" w:firstLine="638"/>
        <w:spacing w:after="0" w:line="267" w:lineRule="auto"/>
        <w:tabs>
          <w:tab w:leader="none" w:pos="2502" w:val="left"/>
        </w:tabs>
        <w:numPr>
          <w:ilvl w:val="2"/>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If any court determines that any portion of this paragraph 6 is invalid or unenforceable, the remainder of this paragraph 6 shall not thereby be affected and shall be given full effect without regard to the invalid provisions. If any court construes any of the provisions of this Section 6, or any part thereof, to be unreasonable because of the duration or scope of such provision, such court shall have the power to reduce the duration or scope of such provision and to enforce such provision as so reduced.</w:t>
      </w:r>
    </w:p>
    <w:p>
      <w:pPr>
        <w:spacing w:after="0" w:line="162" w:lineRule="exact"/>
        <w:rPr>
          <w:rFonts w:ascii="Times New Roman" w:cs="Times New Roman" w:eastAsia="Times New Roman" w:hAnsi="Times New Roman"/>
          <w:sz w:val="19"/>
          <w:szCs w:val="19"/>
          <w:color w:val="auto"/>
        </w:rPr>
      </w:pPr>
    </w:p>
    <w:p>
      <w:pPr>
        <w:ind w:left="2480" w:hanging="562"/>
        <w:spacing w:after="0"/>
        <w:tabs>
          <w:tab w:leader="none" w:pos="2480" w:val="left"/>
        </w:tabs>
        <w:numPr>
          <w:ilvl w:val="3"/>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Confidentiality and Other Obligations</w:t>
      </w:r>
      <w:r>
        <w:rPr>
          <w:rFonts w:ascii="Times New Roman" w:cs="Times New Roman" w:eastAsia="Times New Roman" w:hAnsi="Times New Roman"/>
          <w:sz w:val="19"/>
          <w:szCs w:val="19"/>
          <w:color w:val="auto"/>
        </w:rPr>
        <w:t>.</w:t>
      </w:r>
    </w:p>
    <w:p>
      <w:pPr>
        <w:spacing w:after="0" w:line="232" w:lineRule="exact"/>
        <w:rPr>
          <w:rFonts w:ascii="Times New Roman" w:cs="Times New Roman" w:eastAsia="Times New Roman" w:hAnsi="Times New Roman"/>
          <w:sz w:val="19"/>
          <w:szCs w:val="19"/>
          <w:color w:val="auto"/>
        </w:rPr>
      </w:pPr>
    </w:p>
    <w:p>
      <w:pPr>
        <w:jc w:val="both"/>
        <w:ind w:left="1200" w:right="159" w:firstLine="639"/>
        <w:spacing w:after="0" w:line="260" w:lineRule="auto"/>
        <w:tabs>
          <w:tab w:leader="none" w:pos="2502" w:val="left"/>
        </w:tabs>
        <w:numPr>
          <w:ilvl w:val="2"/>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Confidential Information</w:t>
      </w:r>
      <w:r>
        <w:rPr>
          <w:rFonts w:ascii="Times New Roman" w:cs="Times New Roman" w:eastAsia="Times New Roman" w:hAnsi="Times New Roman"/>
          <w:sz w:val="19"/>
          <w:szCs w:val="19"/>
          <w:color w:val="auto"/>
        </w:rPr>
        <w:t>. You shall not use for any purpose or disclose to any third party any information relating to the Company, the Company’s clients or other parties with which the Company has a relationship, or that may provide the Company with a competitive advantage (“</w:t>
      </w:r>
      <w:r>
        <w:rPr>
          <w:rFonts w:ascii="Times New Roman" w:cs="Times New Roman" w:eastAsia="Times New Roman" w:hAnsi="Times New Roman"/>
          <w:sz w:val="19"/>
          <w:szCs w:val="19"/>
          <w:u w:val="single" w:color="auto"/>
          <w:color w:val="auto"/>
        </w:rPr>
        <w:t>Confidential Information</w:t>
      </w:r>
      <w:r>
        <w:rPr>
          <w:rFonts w:ascii="Times New Roman" w:cs="Times New Roman" w:eastAsia="Times New Roman" w:hAnsi="Times New Roman"/>
          <w:sz w:val="19"/>
          <w:szCs w:val="19"/>
          <w:color w:val="auto"/>
        </w:rPr>
        <w:t>”), other than (i) in the performance of your duties under this Agreement consistent with the Company’s policies or</w:t>
      </w:r>
    </w:p>
    <w:p>
      <w:pPr>
        <w:spacing w:after="0" w:line="2" w:lineRule="exact"/>
        <w:rPr>
          <w:rFonts w:ascii="Times New Roman" w:cs="Times New Roman" w:eastAsia="Times New Roman" w:hAnsi="Times New Roman"/>
          <w:sz w:val="19"/>
          <w:szCs w:val="19"/>
          <w:color w:val="auto"/>
        </w:rPr>
      </w:pPr>
    </w:p>
    <w:p>
      <w:pPr>
        <w:ind w:left="1480" w:hanging="277"/>
        <w:spacing w:after="0"/>
        <w:tabs>
          <w:tab w:leader="none" w:pos="1480" w:val="left"/>
        </w:tabs>
        <w:numPr>
          <w:ilvl w:val="0"/>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may otherwise be required by law or legal process or governmental investigation; provided, however, that</w:t>
      </w:r>
    </w:p>
    <w:p>
      <w:pPr>
        <w:spacing w:after="0" w:line="13" w:lineRule="exact"/>
        <w:rPr>
          <w:sz w:val="20"/>
          <w:szCs w:val="20"/>
          <w:color w:val="auto"/>
        </w:rPr>
      </w:pPr>
    </w:p>
    <w:p>
      <w:pPr>
        <w:jc w:val="both"/>
        <w:ind w:left="1200" w:right="159"/>
        <w:spacing w:after="0" w:line="257" w:lineRule="auto"/>
        <w:rPr>
          <w:sz w:val="20"/>
          <w:szCs w:val="20"/>
          <w:color w:val="auto"/>
        </w:rPr>
      </w:pPr>
      <w:r>
        <w:rPr>
          <w:rFonts w:ascii="Times New Roman" w:cs="Times New Roman" w:eastAsia="Times New Roman" w:hAnsi="Times New Roman"/>
          <w:sz w:val="19"/>
          <w:szCs w:val="19"/>
          <w:color w:val="auto"/>
        </w:rPr>
        <w:t>nothing in the foregoing prohibits you from reporting what you in good faith believe to be violations of federal law to any governmental agency you in good faith believe to have responsibility for enforcement of such law or from making any other disclosure that is protected under the whistleblower protections of federal law. Additionally, you are hereby notified that the immunity provisions in Section 1833 of title 18 of the United States Code provide that an individual cannot be held criminally or civilly liable under any federal or state trade secret law for any disclosure of a trade secret that is made (x) in confidence to federal, state or local government officials, either directly or indirectly, or to an attorney, and is solely for the purpose of reporting or investigating a suspected violation of the law, (y) under seal in a complaint or other document filed in a lawsuit or other proceeding, or (z) to your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 Confidential Information shall include, without limitation, trade secrets; inventions (whether or not patentable); technology and business processes; business, product or marketing plans; negotiating strategies; sales and other forecasts; financial information; client lists or other intellectual property; information relating to compensation and benefits; public information that becomes proprietary as a result of the Company’s compilation of that information for use in its business; documents (including any electronic record, videotapes or audiotapes) and oral communications incorporating Confidential Information. You shall also comply with any and all confidentiality obligations of the Company to a third party of which you are aware, whether arising under a written agreement or otherwise. Information shall not be deemed Confidential Information if it is or becomes generally available to the public other than as a result of an unauthorized disclosure or action by you or at your direction.</w:t>
      </w:r>
    </w:p>
    <w:p>
      <w:pPr>
        <w:sectPr>
          <w:pgSz w:w="11900" w:h="16838" w:orient="portrait"/>
          <w:cols w:equalWidth="0" w:num="1">
            <w:col w:w="10099"/>
          </w:cols>
          <w:pgMar w:left="360" w:top="183" w:right="1440"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9"/>
          <w:szCs w:val="19"/>
          <w:color w:val="auto"/>
        </w:rPr>
        <w:t>Mr. George Cheeks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of September 1, 2023</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1200" w:right="159" w:firstLine="639"/>
        <w:spacing w:after="0" w:line="263" w:lineRule="auto"/>
        <w:tabs>
          <w:tab w:leader="none" w:pos="2500"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Interviews, Speeches or Writings about the Company</w:t>
      </w:r>
      <w:r>
        <w:rPr>
          <w:rFonts w:ascii="Times New Roman" w:cs="Times New Roman" w:eastAsia="Times New Roman" w:hAnsi="Times New Roman"/>
          <w:sz w:val="19"/>
          <w:szCs w:val="19"/>
          <w:color w:val="auto"/>
        </w:rPr>
        <w:t>. Except in the performance of your duties under this Agreement consistent with the Company’s policies, you shall obtain the express authorization of the Company before (i) giving any speeches or interviews or (ii) preparing or assisting any person or entity in the preparation of any books, articles, radio broadcasts, electronic communications, television or motion picture productions or other creations, in either case concerning the Company or any of its respective businesses, officers, directors, agents, employees, suppliers or customers.</w:t>
      </w:r>
    </w:p>
    <w:p>
      <w:pPr>
        <w:spacing w:after="0" w:line="166" w:lineRule="exact"/>
        <w:rPr>
          <w:rFonts w:ascii="Times New Roman" w:cs="Times New Roman" w:eastAsia="Times New Roman" w:hAnsi="Times New Roman"/>
          <w:sz w:val="19"/>
          <w:szCs w:val="19"/>
          <w:color w:val="auto"/>
        </w:rPr>
      </w:pPr>
    </w:p>
    <w:p>
      <w:pPr>
        <w:jc w:val="both"/>
        <w:ind w:left="1200" w:right="159" w:firstLine="639"/>
        <w:spacing w:after="0" w:line="263" w:lineRule="auto"/>
        <w:tabs>
          <w:tab w:leader="none" w:pos="2502"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Non-Disparagement</w:t>
      </w:r>
      <w:r>
        <w:rPr>
          <w:rFonts w:ascii="Times New Roman" w:cs="Times New Roman" w:eastAsia="Times New Roman" w:hAnsi="Times New Roman"/>
          <w:sz w:val="19"/>
          <w:szCs w:val="19"/>
          <w:color w:val="auto"/>
        </w:rPr>
        <w:t>. You shall not, directly or indirectly, in any communications with any reporter, author, producer or any similar person or entity, the press or other media, or any customer, client or supplier of the Company, criticize, ridicule or make any statement which is negative, disparages or is derogatory of the Company or any of its directors or senior officers. Notwithstanding the foregoing, neither you nor the Company shall be prohibited from making truthful statements in response to statements by the other party that criticize or ridicule or are disparaging or derogatory provided that the responsive statements do not ridicule, disparage or derogate the other party.</w:t>
      </w:r>
    </w:p>
    <w:p>
      <w:pPr>
        <w:spacing w:after="0" w:line="165" w:lineRule="exact"/>
        <w:rPr>
          <w:rFonts w:ascii="Times New Roman" w:cs="Times New Roman" w:eastAsia="Times New Roman" w:hAnsi="Times New Roman"/>
          <w:sz w:val="19"/>
          <w:szCs w:val="19"/>
          <w:color w:val="auto"/>
        </w:rPr>
      </w:pPr>
    </w:p>
    <w:p>
      <w:pPr>
        <w:jc w:val="both"/>
        <w:ind w:left="1200" w:right="159" w:firstLine="639"/>
        <w:spacing w:after="0" w:line="267" w:lineRule="auto"/>
        <w:tabs>
          <w:tab w:leader="none" w:pos="2500"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Scope and Duration.</w:t>
      </w:r>
      <w:r>
        <w:rPr>
          <w:rFonts w:ascii="Times New Roman" w:cs="Times New Roman" w:eastAsia="Times New Roman" w:hAnsi="Times New Roman"/>
          <w:sz w:val="19"/>
          <w:szCs w:val="19"/>
          <w:color w:val="auto"/>
        </w:rPr>
        <w:t xml:space="preserve"> The provisions of paragraph 7(a) shall be in effect during the Contract Period and at all times thereafter. The provisions of paragraphs 7(b) and 7(c) shall be in effect during the Contract Period and for one (1) year thereafter and such provisions shall apply to all formats and platforms now known or hereafter developed, whether written, printed, oral or electronic, including without limitation e-mails, “blogs”, internet sites, chat or news rooms, podcasts or any online forum.</w:t>
      </w:r>
    </w:p>
    <w:p>
      <w:pPr>
        <w:spacing w:after="0" w:line="162" w:lineRule="exact"/>
        <w:rPr>
          <w:rFonts w:ascii="Times New Roman" w:cs="Times New Roman" w:eastAsia="Times New Roman" w:hAnsi="Times New Roman"/>
          <w:sz w:val="19"/>
          <w:szCs w:val="19"/>
          <w:color w:val="auto"/>
        </w:rPr>
      </w:pPr>
    </w:p>
    <w:p>
      <w:pPr>
        <w:ind w:left="2480" w:hanging="562"/>
        <w:spacing w:after="0"/>
        <w:tabs>
          <w:tab w:leader="none" w:pos="2480" w:val="left"/>
        </w:tabs>
        <w:numPr>
          <w:ilvl w:val="2"/>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Company Property</w:t>
      </w:r>
      <w:r>
        <w:rPr>
          <w:rFonts w:ascii="Times New Roman" w:cs="Times New Roman" w:eastAsia="Times New Roman" w:hAnsi="Times New Roman"/>
          <w:sz w:val="19"/>
          <w:szCs w:val="19"/>
          <w:color w:val="auto"/>
        </w:rPr>
        <w:t>.</w:t>
      </w:r>
    </w:p>
    <w:p>
      <w:pPr>
        <w:spacing w:after="0" w:line="232" w:lineRule="exact"/>
        <w:rPr>
          <w:rFonts w:ascii="Times New Roman" w:cs="Times New Roman" w:eastAsia="Times New Roman" w:hAnsi="Times New Roman"/>
          <w:sz w:val="19"/>
          <w:szCs w:val="19"/>
          <w:color w:val="auto"/>
        </w:rPr>
      </w:pPr>
    </w:p>
    <w:p>
      <w:pPr>
        <w:ind w:left="2460" w:hanging="621"/>
        <w:spacing w:after="0"/>
        <w:tabs>
          <w:tab w:leader="none" w:pos="2460" w:val="left"/>
        </w:tabs>
        <w:numPr>
          <w:ilvl w:val="1"/>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Company Ownership</w:t>
      </w:r>
      <w:r>
        <w:rPr>
          <w:rFonts w:ascii="Times New Roman" w:cs="Times New Roman" w:eastAsia="Times New Roman" w:hAnsi="Times New Roman"/>
          <w:sz w:val="19"/>
          <w:szCs w:val="19"/>
          <w:color w:val="auto"/>
        </w:rPr>
        <w:t>.</w:t>
      </w:r>
    </w:p>
    <w:p>
      <w:pPr>
        <w:spacing w:after="0" w:line="218" w:lineRule="exact"/>
        <w:rPr>
          <w:rFonts w:ascii="Times New Roman" w:cs="Times New Roman" w:eastAsia="Times New Roman" w:hAnsi="Times New Roman"/>
          <w:sz w:val="19"/>
          <w:szCs w:val="19"/>
          <w:color w:val="auto"/>
        </w:rPr>
      </w:pPr>
    </w:p>
    <w:p>
      <w:pPr>
        <w:jc w:val="both"/>
        <w:ind w:left="3120" w:right="159" w:hanging="646"/>
        <w:spacing w:after="0" w:line="263" w:lineRule="auto"/>
        <w:tabs>
          <w:tab w:leader="none" w:pos="3117" w:val="left"/>
        </w:tabs>
        <w:numPr>
          <w:ilvl w:val="3"/>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results and proceeds of your services to the Company, whether or not created during the Contract Period, including, without limitation, any works of authorship resulting from your services and any works in progress resulting from such services, shall be works-made-for-hire and the Company shall be deemed the sole owner throughout the universe of any and all rights of every nature in such works, with the right to use, license or dispose of the works in perpetuity in any manner the Company determines in its sole discretion without any further payment to you, whether such rights and means of use are now known or hereafter defined or discovered.</w:t>
      </w:r>
    </w:p>
    <w:p>
      <w:pPr>
        <w:spacing w:after="0" w:line="164" w:lineRule="exact"/>
        <w:rPr>
          <w:rFonts w:ascii="Times New Roman" w:cs="Times New Roman" w:eastAsia="Times New Roman" w:hAnsi="Times New Roman"/>
          <w:sz w:val="19"/>
          <w:szCs w:val="19"/>
          <w:color w:val="auto"/>
        </w:rPr>
      </w:pPr>
    </w:p>
    <w:p>
      <w:pPr>
        <w:jc w:val="both"/>
        <w:ind w:left="3120" w:right="159" w:hanging="645"/>
        <w:spacing w:after="0" w:line="259" w:lineRule="auto"/>
        <w:tabs>
          <w:tab w:leader="none" w:pos="3119" w:val="left"/>
        </w:tabs>
        <w:numPr>
          <w:ilvl w:val="3"/>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for any reason, any of the results and proceeds of your services to the Company are not legally deemed a work-made-for-hire and/or there are any rights in such results and proceeds which do not accrue to the Company under this paragraph 8(a), then you hereby irrevocably assign any and all of your right, title and interest thereto, including, without limitation, any and all copyrights, patents, trade secrets, trademarks and/or other rights of every nature in the work, and the Company shall have the sole right to use, license or dispose of the work in perpetuity throughout the universe in any manner the Company determines in its sole discretion without any further payment to you, whether such rights and means of use are now known or hereafter defined or discovered.</w:t>
      </w:r>
    </w:p>
    <w:p>
      <w:pPr>
        <w:spacing w:after="0" w:line="200" w:lineRule="exact"/>
        <w:rPr>
          <w:rFonts w:ascii="Times New Roman" w:cs="Times New Roman" w:eastAsia="Times New Roman" w:hAnsi="Times New Roman"/>
          <w:sz w:val="19"/>
          <w:szCs w:val="19"/>
          <w:color w:val="auto"/>
        </w:rPr>
      </w:pPr>
    </w:p>
    <w:p>
      <w:pPr>
        <w:spacing w:after="0" w:line="222" w:lineRule="exact"/>
        <w:rPr>
          <w:rFonts w:ascii="Times New Roman" w:cs="Times New Roman" w:eastAsia="Times New Roman" w:hAnsi="Times New Roman"/>
          <w:sz w:val="19"/>
          <w:szCs w:val="19"/>
          <w:color w:val="auto"/>
        </w:rPr>
      </w:pPr>
    </w:p>
    <w:p>
      <w:pPr>
        <w:jc w:val="both"/>
        <w:ind w:left="3120" w:right="159" w:hanging="646"/>
        <w:spacing w:after="0" w:line="273" w:lineRule="auto"/>
        <w:tabs>
          <w:tab w:leader="none" w:pos="3119" w:val="left"/>
        </w:tabs>
        <w:numPr>
          <w:ilvl w:val="3"/>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request by the Company, whether or not during the Contract Period, at the Company’s expense, you shall do any and all things which the Company reasonably may deem useful or desirable to establish or document the</w:t>
      </w:r>
    </w:p>
    <w:p>
      <w:pPr>
        <w:sectPr>
          <w:pgSz w:w="11900" w:h="16838" w:orient="portrait"/>
          <w:cols w:equalWidth="0" w:num="1">
            <w:col w:w="10099"/>
          </w:cols>
          <w:pgMar w:left="360" w:top="183" w:right="1440"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9"/>
          <w:szCs w:val="19"/>
          <w:color w:val="auto"/>
        </w:rPr>
        <w:t>Mr. George Cheeks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of September 1, 2023</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3100" w:right="159"/>
        <w:spacing w:after="0" w:line="261" w:lineRule="auto"/>
        <w:rPr>
          <w:sz w:val="20"/>
          <w:szCs w:val="20"/>
          <w:color w:val="auto"/>
        </w:rPr>
      </w:pPr>
      <w:r>
        <w:rPr>
          <w:rFonts w:ascii="Times New Roman" w:cs="Times New Roman" w:eastAsia="Times New Roman" w:hAnsi="Times New Roman"/>
          <w:sz w:val="19"/>
          <w:szCs w:val="19"/>
          <w:color w:val="auto"/>
        </w:rPr>
        <w:t>Company’s rights in the results and proceeds of your services to the Company, including, without limitation, the execution of appropriate copyright, trademark and/or patent applications, assignments or similar documents. You hereby irrevocably designate the General Counsel, Secretary or any Assistant Secretary of the Company as your attorney-in-fact with the power to take such action and execute such documents on your behalf. To the extent you have any rights in such results and proceeds that cannot be assigned as described above, you unconditionally and irrevocably waive the enforcement of such rights.</w:t>
      </w:r>
    </w:p>
    <w:p>
      <w:pPr>
        <w:spacing w:after="0" w:line="166" w:lineRule="exact"/>
        <w:rPr>
          <w:sz w:val="20"/>
          <w:szCs w:val="20"/>
          <w:color w:val="auto"/>
        </w:rPr>
      </w:pPr>
    </w:p>
    <w:p>
      <w:pPr>
        <w:jc w:val="both"/>
        <w:ind w:left="3100" w:right="179" w:hanging="627"/>
        <w:spacing w:after="0" w:line="273" w:lineRule="auto"/>
        <w:tabs>
          <w:tab w:leader="none" w:pos="3088" w:val="left"/>
        </w:tabs>
        <w:numPr>
          <w:ilvl w:val="1"/>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provisions of this paragraph 8(a) do not limit, restrict, or constitute a waiver by the Company of any ownership rights to which the Company may be entitled by operation of law by virtue of being your employer.</w:t>
      </w:r>
    </w:p>
    <w:p>
      <w:pPr>
        <w:spacing w:after="0" w:line="168" w:lineRule="exact"/>
        <w:rPr>
          <w:rFonts w:ascii="Times New Roman" w:cs="Times New Roman" w:eastAsia="Times New Roman" w:hAnsi="Times New Roman"/>
          <w:sz w:val="19"/>
          <w:szCs w:val="19"/>
          <w:color w:val="auto"/>
        </w:rPr>
      </w:pPr>
    </w:p>
    <w:p>
      <w:pPr>
        <w:jc w:val="both"/>
        <w:ind w:left="3100" w:right="159" w:hanging="626"/>
        <w:spacing w:after="0" w:line="263" w:lineRule="auto"/>
        <w:tabs>
          <w:tab w:leader="none" w:pos="3088" w:val="left"/>
        </w:tabs>
        <w:numPr>
          <w:ilvl w:val="1"/>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and the Company acknowledge and understand that the provisions of this paragraph 8 requiring assignment of inventions to the Company do not apply to any invention which qualifies fully under the provisions of California Labor Code Section 2870, to the extent that such provision applies to you. You agree to advise the Company promptly in writing of any inventions that you believe meet the criteria in California Labor Code Section 2870.</w:t>
      </w:r>
    </w:p>
    <w:p>
      <w:pPr>
        <w:spacing w:after="0" w:line="180" w:lineRule="exact"/>
        <w:rPr>
          <w:rFonts w:ascii="Times New Roman" w:cs="Times New Roman" w:eastAsia="Times New Roman" w:hAnsi="Times New Roman"/>
          <w:sz w:val="19"/>
          <w:szCs w:val="19"/>
          <w:color w:val="auto"/>
        </w:rPr>
      </w:pPr>
    </w:p>
    <w:p>
      <w:pPr>
        <w:jc w:val="both"/>
        <w:ind w:left="1200" w:right="159" w:firstLine="639"/>
        <w:spacing w:after="0" w:line="263" w:lineRule="auto"/>
        <w:tabs>
          <w:tab w:leader="none" w:pos="2500"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Return of Property</w:t>
      </w:r>
      <w:r>
        <w:rPr>
          <w:rFonts w:ascii="Times New Roman" w:cs="Times New Roman" w:eastAsia="Times New Roman" w:hAnsi="Times New Roman"/>
          <w:sz w:val="19"/>
          <w:szCs w:val="19"/>
          <w:color w:val="auto"/>
        </w:rPr>
        <w:t>. All documents, data, recordings, or other property, whether tangible or intangible, including all information stored in electronic form, obtained or prepared by or for you and utilized by you in the course of your employment with the Company shall remain the exclusive property of the Company and shall remain in the Company’s exclusive possession at the conclusion of your employment. Notwithstanding the foregoing, you may retain your calendars, contacts and personal correspondence and any information reasonably needed for your personal tax preparation.</w:t>
      </w:r>
    </w:p>
    <w:p>
      <w:pPr>
        <w:spacing w:after="0" w:line="167" w:lineRule="exact"/>
        <w:rPr>
          <w:sz w:val="20"/>
          <w:szCs w:val="20"/>
          <w:color w:val="auto"/>
        </w:rPr>
      </w:pPr>
    </w:p>
    <w:p>
      <w:pPr>
        <w:ind w:left="2480" w:hanging="562"/>
        <w:spacing w:after="0"/>
        <w:tabs>
          <w:tab w:leader="none" w:pos="2480" w:val="left"/>
        </w:tabs>
        <w:numPr>
          <w:ilvl w:val="1"/>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Legal Matters</w:t>
      </w:r>
      <w:r>
        <w:rPr>
          <w:rFonts w:ascii="Times New Roman" w:cs="Times New Roman" w:eastAsia="Times New Roman" w:hAnsi="Times New Roman"/>
          <w:sz w:val="19"/>
          <w:szCs w:val="19"/>
          <w:color w:val="auto"/>
        </w:rPr>
        <w:t>.</w:t>
      </w:r>
    </w:p>
    <w:p>
      <w:pPr>
        <w:spacing w:after="0" w:line="232" w:lineRule="exact"/>
        <w:rPr>
          <w:rFonts w:ascii="Times New Roman" w:cs="Times New Roman" w:eastAsia="Times New Roman" w:hAnsi="Times New Roman"/>
          <w:sz w:val="19"/>
          <w:szCs w:val="19"/>
          <w:color w:val="auto"/>
        </w:rPr>
      </w:pPr>
    </w:p>
    <w:p>
      <w:pPr>
        <w:jc w:val="both"/>
        <w:ind w:left="1200" w:right="159" w:firstLine="639"/>
        <w:spacing w:after="0" w:line="259" w:lineRule="auto"/>
        <w:tabs>
          <w:tab w:leader="none" w:pos="2502" w:val="left"/>
        </w:tabs>
        <w:numPr>
          <w:ilvl w:val="0"/>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Communication</w:t>
      </w:r>
      <w:r>
        <w:rPr>
          <w:rFonts w:ascii="Times New Roman" w:cs="Times New Roman" w:eastAsia="Times New Roman" w:hAnsi="Times New Roman"/>
          <w:sz w:val="19"/>
          <w:szCs w:val="19"/>
          <w:color w:val="auto"/>
        </w:rPr>
        <w:t>. Except as required by law or legal process or at the request of the Company, you shall not communicate with anyone (other than your attorneys who agree to keep such matters confidential), except to the extent necessary in the performance of your duties under this Agreement in accordance with the Company’s policies, with respect to the facts or subject matter of any claim, litigation, regulatory or administrative proceeding directly or indirectly involving the Company (“</w:t>
      </w:r>
      <w:r>
        <w:rPr>
          <w:rFonts w:ascii="Times New Roman" w:cs="Times New Roman" w:eastAsia="Times New Roman" w:hAnsi="Times New Roman"/>
          <w:sz w:val="19"/>
          <w:szCs w:val="19"/>
          <w:u w:val="single" w:color="auto"/>
          <w:color w:val="auto"/>
        </w:rPr>
        <w:t>Company Legal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Matter</w:t>
      </w:r>
      <w:r>
        <w:rPr>
          <w:rFonts w:ascii="Times New Roman" w:cs="Times New Roman" w:eastAsia="Times New Roman" w:hAnsi="Times New Roman"/>
          <w:sz w:val="19"/>
          <w:szCs w:val="19"/>
          <w:color w:val="auto"/>
        </w:rPr>
        <w:t>”) without obtaining the prior consent of the Company or its counsel; provided, however, that nothing in the foregoing prohibits you from reporting what you in good faith believe to be violations of federal law to any governmental agency you in good faith believe to have responsibility for enforcement of such law or from making any other disclosure that is protected under the whistleblower protections of federal law.</w:t>
      </w:r>
    </w:p>
    <w:p>
      <w:pPr>
        <w:spacing w:after="0" w:line="183" w:lineRule="exact"/>
        <w:rPr>
          <w:rFonts w:ascii="Times New Roman" w:cs="Times New Roman" w:eastAsia="Times New Roman" w:hAnsi="Times New Roman"/>
          <w:sz w:val="19"/>
          <w:szCs w:val="19"/>
          <w:color w:val="auto"/>
        </w:rPr>
      </w:pPr>
    </w:p>
    <w:p>
      <w:pPr>
        <w:jc w:val="both"/>
        <w:ind w:left="1200" w:right="159" w:firstLine="639"/>
        <w:spacing w:after="0" w:line="261" w:lineRule="auto"/>
        <w:tabs>
          <w:tab w:leader="none" w:pos="2500" w:val="left"/>
        </w:tabs>
        <w:numPr>
          <w:ilvl w:val="0"/>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Cooperation</w:t>
      </w:r>
      <w:r>
        <w:rPr>
          <w:rFonts w:ascii="Times New Roman" w:cs="Times New Roman" w:eastAsia="Times New Roman" w:hAnsi="Times New Roman"/>
          <w:sz w:val="19"/>
          <w:szCs w:val="19"/>
          <w:color w:val="auto"/>
        </w:rPr>
        <w:t>. You agree to cooperate with the Company and its attorneys in connection with any Company Legal Matter or Company investigation. Your cooperation shall include, without limitation, providing assistance to and meeting with the Company’s counsel, experts or consultants, and providing truthful testimony in pretrial and trial or hearing proceedings. In the event that your cooperation is requested after the termination of your employment, the Company shall (i) seek to minimize interruptions to your schedule to the extent consistent with its interests in the matter; and (ii) reimburse you for all reasonable and appropriate out-of-pocket expenses actually incurred by you in connection with such cooperation upon reasonable substantiation of such expenses.</w:t>
      </w:r>
    </w:p>
    <w:p>
      <w:pPr>
        <w:sectPr>
          <w:pgSz w:w="11900" w:h="16838" w:orient="portrait"/>
          <w:cols w:equalWidth="0" w:num="1">
            <w:col w:w="10099"/>
          </w:cols>
          <w:pgMar w:left="360" w:top="183" w:right="1440"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9"/>
          <w:szCs w:val="19"/>
          <w:color w:val="auto"/>
        </w:rPr>
        <w:t>Mr. George Cheeks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of September 1, 2023</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1200" w:right="159" w:firstLine="639"/>
        <w:spacing w:after="0" w:line="273" w:lineRule="auto"/>
        <w:tabs>
          <w:tab w:leader="none" w:pos="2502" w:val="left"/>
        </w:tabs>
        <w:numPr>
          <w:ilvl w:val="0"/>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Testimony</w:t>
      </w:r>
      <w:r>
        <w:rPr>
          <w:rFonts w:ascii="Times New Roman" w:cs="Times New Roman" w:eastAsia="Times New Roman" w:hAnsi="Times New Roman"/>
          <w:sz w:val="19"/>
          <w:szCs w:val="19"/>
          <w:color w:val="auto"/>
        </w:rPr>
        <w:t>. Except as required by law or legal process or at the request of the Company, you shall not testify in any lawsuit or other proceeding which directly or indirectly involves the Company, or which is reasonably likely to create the impression that such testimony is endorsed or approved by the Company.</w:t>
      </w:r>
    </w:p>
    <w:p>
      <w:pPr>
        <w:spacing w:after="0" w:line="155" w:lineRule="exact"/>
        <w:rPr>
          <w:rFonts w:ascii="Times New Roman" w:cs="Times New Roman" w:eastAsia="Times New Roman" w:hAnsi="Times New Roman"/>
          <w:sz w:val="19"/>
          <w:szCs w:val="19"/>
          <w:color w:val="auto"/>
        </w:rPr>
      </w:pPr>
    </w:p>
    <w:p>
      <w:pPr>
        <w:jc w:val="both"/>
        <w:ind w:left="1200" w:right="159" w:firstLine="639"/>
        <w:spacing w:after="0" w:line="263" w:lineRule="auto"/>
        <w:tabs>
          <w:tab w:leader="none" w:pos="2500" w:val="left"/>
        </w:tabs>
        <w:numPr>
          <w:ilvl w:val="0"/>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to Company</w:t>
      </w:r>
      <w:r>
        <w:rPr>
          <w:rFonts w:ascii="Times New Roman" w:cs="Times New Roman" w:eastAsia="Times New Roman" w:hAnsi="Times New Roman"/>
          <w:sz w:val="19"/>
          <w:szCs w:val="19"/>
          <w:color w:val="auto"/>
        </w:rPr>
        <w:t>. If you are requested or if you receive legal process requiring you to provide testimony, information or documents (including electronic documents) in any Company Legal Matter or that otherwise relates, directly or indirectly, to the Company or any of its officers, directors, employees or affiliates, you shall give prompt notice of such event to Paramount’s General Counsel and you shall follow any lawful direction of Paramount’s General Counsel or his/her designee with respect to your response to such request or legal process.</w:t>
      </w:r>
    </w:p>
    <w:p>
      <w:pPr>
        <w:spacing w:after="0" w:line="180" w:lineRule="exact"/>
        <w:rPr>
          <w:rFonts w:ascii="Times New Roman" w:cs="Times New Roman" w:eastAsia="Times New Roman" w:hAnsi="Times New Roman"/>
          <w:sz w:val="19"/>
          <w:szCs w:val="19"/>
          <w:color w:val="auto"/>
        </w:rPr>
      </w:pPr>
    </w:p>
    <w:p>
      <w:pPr>
        <w:jc w:val="both"/>
        <w:ind w:left="1200" w:right="179" w:firstLine="639"/>
        <w:spacing w:after="0" w:line="264" w:lineRule="auto"/>
        <w:tabs>
          <w:tab w:leader="none" w:pos="2502" w:val="left"/>
        </w:tabs>
        <w:numPr>
          <w:ilvl w:val="0"/>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Adverse Party</w:t>
      </w:r>
      <w:r>
        <w:rPr>
          <w:rFonts w:ascii="Times New Roman" w:cs="Times New Roman" w:eastAsia="Times New Roman" w:hAnsi="Times New Roman"/>
          <w:sz w:val="19"/>
          <w:szCs w:val="19"/>
          <w:color w:val="auto"/>
        </w:rPr>
        <w:t>. The provisions of this paragraph 9 shall not apply to any litigation or other proceeding in which you are a party adverse to the Company; provided, however, that the Company expressly reserves its rights under paragraph 7 and its attorney-client and other privileges and immunities, including, without limitation, with respect to its documents and Confidential Information, except if expressly waived in writing by Paramount’s General Counsel or his/her designee.</w:t>
      </w:r>
    </w:p>
    <w:p>
      <w:pPr>
        <w:spacing w:after="0" w:line="176" w:lineRule="exact"/>
        <w:rPr>
          <w:rFonts w:ascii="Times New Roman" w:cs="Times New Roman" w:eastAsia="Times New Roman" w:hAnsi="Times New Roman"/>
          <w:sz w:val="19"/>
          <w:szCs w:val="19"/>
          <w:color w:val="auto"/>
        </w:rPr>
      </w:pPr>
    </w:p>
    <w:p>
      <w:pPr>
        <w:jc w:val="both"/>
        <w:ind w:left="1200" w:right="159" w:firstLine="639"/>
        <w:spacing w:after="0" w:line="263" w:lineRule="auto"/>
        <w:tabs>
          <w:tab w:leader="none" w:pos="2507" w:val="left"/>
        </w:tabs>
        <w:numPr>
          <w:ilvl w:val="0"/>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Duration</w:t>
      </w:r>
      <w:r>
        <w:rPr>
          <w:rFonts w:ascii="Times New Roman" w:cs="Times New Roman" w:eastAsia="Times New Roman" w:hAnsi="Times New Roman"/>
          <w:sz w:val="19"/>
          <w:szCs w:val="19"/>
          <w:color w:val="auto"/>
        </w:rPr>
        <w:t>. The provisions of this paragraph 9 shall apply during the Contract Period and at all times thereafter and shall survive the termination of your employment with the Company, with respect to any Company Legal Matter arising out of or relating to the business in which you were engaged during your employment with the Company. As to all other Company Legal Matters, the provisions of this paragraph 9 shall apply during the Contract Period and for one year thereafter or, if longer, during the pendency of any Company Legal Matter which was commenced, or which the Company received notice of, during such period.</w:t>
      </w:r>
    </w:p>
    <w:p>
      <w:pPr>
        <w:spacing w:after="0" w:line="166" w:lineRule="exact"/>
        <w:rPr>
          <w:rFonts w:ascii="Times New Roman" w:cs="Times New Roman" w:eastAsia="Times New Roman" w:hAnsi="Times New Roman"/>
          <w:sz w:val="19"/>
          <w:szCs w:val="19"/>
          <w:color w:val="auto"/>
        </w:rPr>
      </w:pPr>
    </w:p>
    <w:p>
      <w:pPr>
        <w:ind w:left="2460" w:hanging="542"/>
        <w:spacing w:after="0"/>
        <w:tabs>
          <w:tab w:leader="none" w:pos="2460" w:val="left"/>
        </w:tabs>
        <w:numPr>
          <w:ilvl w:val="1"/>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for Cause</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jc w:val="both"/>
        <w:ind w:left="1200" w:right="159" w:firstLine="639"/>
        <w:spacing w:after="0" w:line="263" w:lineRule="auto"/>
        <w:tabs>
          <w:tab w:leader="none" w:pos="2502" w:val="left"/>
        </w:tabs>
        <w:numPr>
          <w:ilvl w:val="1"/>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Payments</w:t>
      </w:r>
      <w:r>
        <w:rPr>
          <w:rFonts w:ascii="Times New Roman" w:cs="Times New Roman" w:eastAsia="Times New Roman" w:hAnsi="Times New Roman"/>
          <w:sz w:val="19"/>
          <w:szCs w:val="19"/>
          <w:color w:val="auto"/>
        </w:rPr>
        <w:t>. The Company may terminate your employment under this Agreement for Cause and thereafter shall have no further obligations to you under this Agreement or otherwise, except for any earned but unpaid Salary through and including the date of termination of employment and any other amounts or benefits required to be paid or provided by law or under any plan of the Company (the “</w:t>
      </w:r>
      <w:r>
        <w:rPr>
          <w:rFonts w:ascii="Times New Roman" w:cs="Times New Roman" w:eastAsia="Times New Roman" w:hAnsi="Times New Roman"/>
          <w:sz w:val="19"/>
          <w:szCs w:val="19"/>
          <w:u w:val="single" w:color="auto"/>
          <w:color w:val="auto"/>
        </w:rPr>
        <w:t>Accrued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Compensation and Benefits</w:t>
      </w:r>
      <w:r>
        <w:rPr>
          <w:rFonts w:ascii="Times New Roman" w:cs="Times New Roman" w:eastAsia="Times New Roman" w:hAnsi="Times New Roman"/>
          <w:sz w:val="19"/>
          <w:szCs w:val="19"/>
          <w:color w:val="auto"/>
        </w:rPr>
        <w:t>”). Without limiting the generality of the preceding sentence, upon termination of your employment for Cause, you shall have no further right to any Bonus or to exercise or redeem any stock options or other equity compensation.</w:t>
      </w:r>
    </w:p>
    <w:p>
      <w:pPr>
        <w:spacing w:after="0" w:line="165" w:lineRule="exact"/>
        <w:rPr>
          <w:rFonts w:ascii="Times New Roman" w:cs="Times New Roman" w:eastAsia="Times New Roman" w:hAnsi="Times New Roman"/>
          <w:sz w:val="19"/>
          <w:szCs w:val="19"/>
          <w:color w:val="auto"/>
        </w:rPr>
      </w:pPr>
    </w:p>
    <w:p>
      <w:pPr>
        <w:jc w:val="both"/>
        <w:ind w:left="1200" w:right="159" w:firstLine="639"/>
        <w:spacing w:after="0" w:line="259" w:lineRule="auto"/>
        <w:tabs>
          <w:tab w:leader="none" w:pos="2500" w:val="left"/>
        </w:tabs>
        <w:numPr>
          <w:ilvl w:val="1"/>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Cause Definition</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Cause</w:t>
      </w:r>
      <w:r>
        <w:rPr>
          <w:rFonts w:ascii="Times New Roman" w:cs="Times New Roman" w:eastAsia="Times New Roman" w:hAnsi="Times New Roman"/>
          <w:sz w:val="19"/>
          <w:szCs w:val="19"/>
          <w:color w:val="auto"/>
        </w:rPr>
        <w:t>” shall mean: (i) conduct constituting embezzlement, material misappropriation or fraud, whether or not related to your employment with the Company; (ii) conduct constituting a felony, whether or not related to your employment with the Company; (iii) conduct constituting a financial crime, material act of dishonesty or material unethical business conduct, involving the Company; (iv) willful unauthorized disclosure or use of Confidential Information; (v) the failure to substantially obey a material lawful directive that is appropriate to your position from a superior in your reporting line or the Board;</w:t>
      </w:r>
    </w:p>
    <w:p>
      <w:pPr>
        <w:spacing w:after="0" w:line="4" w:lineRule="exact"/>
        <w:rPr>
          <w:rFonts w:ascii="Times New Roman" w:cs="Times New Roman" w:eastAsia="Times New Roman" w:hAnsi="Times New Roman"/>
          <w:sz w:val="19"/>
          <w:szCs w:val="19"/>
          <w:color w:val="auto"/>
        </w:rPr>
      </w:pPr>
    </w:p>
    <w:p>
      <w:pPr>
        <w:jc w:val="both"/>
        <w:ind w:left="1200" w:right="159" w:firstLine="3"/>
        <w:spacing w:after="0" w:line="256" w:lineRule="auto"/>
        <w:tabs>
          <w:tab w:leader="none" w:pos="1581"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your material breach of any material obligation under this Agreement;(vii) the failure or refusal to substantially perform your material obligations under this Agreement (other than any such failure or refusal resulting from your STD or LTD); (viii) the willful failure to cooperate with a bona fide internal investigation or an investigation by regulatory or law enforcement authorities, whether or not related to employment with the Company, after being instructed by the Company to cooperate; (ix) the willful destruction of or willful failure to preserve documents or other material known to be relevant to any investigation referred to in subparagraph</w:t>
      </w:r>
    </w:p>
    <w:p>
      <w:pPr>
        <w:ind w:left="1640" w:hanging="437"/>
        <w:spacing w:after="0"/>
        <w:tabs>
          <w:tab w:leader="none" w:pos="1640"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above; or (x) the willful inducement</w:t>
      </w:r>
    </w:p>
    <w:p>
      <w:pPr>
        <w:sectPr>
          <w:pgSz w:w="11900" w:h="16838" w:orient="portrait"/>
          <w:cols w:equalWidth="0" w:num="1">
            <w:col w:w="10099"/>
          </w:cols>
          <w:pgMar w:left="360" w:top="183" w:right="1440"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9"/>
          <w:szCs w:val="19"/>
          <w:color w:val="auto"/>
        </w:rPr>
        <w:t>Mr. George Cheeks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of September 1, 2023</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00" w:right="639"/>
        <w:spacing w:after="0" w:line="285" w:lineRule="auto"/>
        <w:rPr>
          <w:sz w:val="20"/>
          <w:szCs w:val="20"/>
          <w:color w:val="auto"/>
        </w:rPr>
      </w:pPr>
      <w:r>
        <w:rPr>
          <w:rFonts w:ascii="Times New Roman" w:cs="Times New Roman" w:eastAsia="Times New Roman" w:hAnsi="Times New Roman"/>
          <w:sz w:val="19"/>
          <w:szCs w:val="19"/>
          <w:color w:val="auto"/>
        </w:rPr>
        <w:t>of others to engage in the conduct described in subparagraphs (i) – (ix), including, without limitation, with regard to subparagraph (vi), obligations of others to the Company.</w:t>
      </w:r>
    </w:p>
    <w:p>
      <w:pPr>
        <w:spacing w:after="0" w:line="157" w:lineRule="exact"/>
        <w:rPr>
          <w:sz w:val="20"/>
          <w:szCs w:val="20"/>
          <w:color w:val="auto"/>
        </w:rPr>
      </w:pPr>
    </w:p>
    <w:p>
      <w:pPr>
        <w:jc w:val="both"/>
        <w:ind w:left="1200" w:right="159" w:firstLine="639"/>
        <w:spacing w:after="0" w:line="259" w:lineRule="auto"/>
        <w:tabs>
          <w:tab w:leader="none" w:pos="2502" w:val="left"/>
        </w:tabs>
        <w:numPr>
          <w:ilvl w:val="0"/>
          <w:numId w:val="2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Notice/Cure</w:t>
      </w:r>
      <w:r>
        <w:rPr>
          <w:rFonts w:ascii="Times New Roman" w:cs="Times New Roman" w:eastAsia="Times New Roman" w:hAnsi="Times New Roman"/>
          <w:sz w:val="19"/>
          <w:szCs w:val="19"/>
          <w:color w:val="auto"/>
        </w:rPr>
        <w:t>. The Company shall give you written notice prior to terminating your employment for Cause or, if no cure period is applicable, contemporaneous with termination of your employment for Cause, setting forth in reasonable detail the nature of any alleged failure, breach or refusal in reasonable detail and the conduct required to cure such breach, failure or refusal. Except for a failure, breach or refusal which, by its nature, cannot reasonably be expected to be cured, you shall have twenty (20) business days from the giving of such notice within which to cure; provided, however, that, if the Company reasonably expects irreparable injury from a delay of twenty (20) business days, the Company may give you notice of such shorter period within which to cure as is reasonable under the circumstances, which may include the termination of your employment without notice and with immediate effect.</w:t>
      </w:r>
    </w:p>
    <w:p>
      <w:pPr>
        <w:spacing w:after="0" w:line="183" w:lineRule="exact"/>
        <w:rPr>
          <w:rFonts w:ascii="Times New Roman" w:cs="Times New Roman" w:eastAsia="Times New Roman" w:hAnsi="Times New Roman"/>
          <w:sz w:val="19"/>
          <w:szCs w:val="19"/>
          <w:color w:val="auto"/>
        </w:rPr>
      </w:pPr>
    </w:p>
    <w:p>
      <w:pPr>
        <w:ind w:left="2460" w:hanging="621"/>
        <w:spacing w:after="0"/>
        <w:tabs>
          <w:tab w:leader="none" w:pos="2460" w:val="left"/>
        </w:tabs>
        <w:numPr>
          <w:ilvl w:val="1"/>
          <w:numId w:val="2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Resignation for Good Reason and Termination without Cause</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ind w:left="2460" w:hanging="621"/>
        <w:spacing w:after="0"/>
        <w:tabs>
          <w:tab w:leader="none" w:pos="2460"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Resignation for Good Reason</w:t>
      </w:r>
      <w:r>
        <w:rPr>
          <w:rFonts w:ascii="Times New Roman" w:cs="Times New Roman" w:eastAsia="Times New Roman" w:hAnsi="Times New Roman"/>
          <w:sz w:val="19"/>
          <w:szCs w:val="19"/>
          <w:color w:val="auto"/>
        </w:rPr>
        <w:t>.</w:t>
      </w:r>
    </w:p>
    <w:p>
      <w:pPr>
        <w:spacing w:after="0" w:line="218" w:lineRule="exact"/>
        <w:rPr>
          <w:rFonts w:ascii="Times New Roman" w:cs="Times New Roman" w:eastAsia="Times New Roman" w:hAnsi="Times New Roman"/>
          <w:sz w:val="19"/>
          <w:szCs w:val="19"/>
          <w:color w:val="auto"/>
        </w:rPr>
      </w:pPr>
    </w:p>
    <w:p>
      <w:pPr>
        <w:ind w:left="3100" w:hanging="626"/>
        <w:spacing w:after="0"/>
        <w:tabs>
          <w:tab w:leader="none" w:pos="3100" w:val="left"/>
        </w:tabs>
        <w:numPr>
          <w:ilvl w:val="1"/>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may resign for Good Reason at any time that you are actively employed during the</w:t>
      </w:r>
    </w:p>
    <w:p>
      <w:pPr>
        <w:spacing w:after="0" w:line="245" w:lineRule="exact"/>
        <w:rPr>
          <w:sz w:val="20"/>
          <w:szCs w:val="20"/>
          <w:color w:val="auto"/>
        </w:rPr>
      </w:pPr>
    </w:p>
    <w:p>
      <w:pPr>
        <w:jc w:val="both"/>
        <w:ind w:left="3120" w:right="159" w:hanging="9"/>
        <w:spacing w:after="0" w:line="265" w:lineRule="auto"/>
        <w:tabs>
          <w:tab w:leader="none" w:pos="3495" w:val="left"/>
        </w:tabs>
        <w:numPr>
          <w:ilvl w:val="3"/>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after the occurrence of the event constituting Good Reason. Such notice shall state the grounds for such Good Reason resignation and an effective date no earlier than thirty (30) business days after the date it is given. The Company shall have thirty</w:t>
      </w:r>
    </w:p>
    <w:p>
      <w:pPr>
        <w:ind w:left="3120" w:right="159" w:hanging="9"/>
        <w:spacing w:after="0" w:line="275" w:lineRule="auto"/>
        <w:tabs>
          <w:tab w:leader="none" w:pos="3493" w:val="left"/>
        </w:tabs>
        <w:numPr>
          <w:ilvl w:val="3"/>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business days from the giving of such notice within which to cure and, in the event of such cure, your notice shall be of no further force or effect.</w:t>
      </w:r>
    </w:p>
    <w:p>
      <w:pPr>
        <w:spacing w:after="0" w:line="153" w:lineRule="exact"/>
        <w:rPr>
          <w:rFonts w:ascii="Times New Roman" w:cs="Times New Roman" w:eastAsia="Times New Roman" w:hAnsi="Times New Roman"/>
          <w:sz w:val="19"/>
          <w:szCs w:val="19"/>
          <w:color w:val="auto"/>
        </w:rPr>
      </w:pPr>
    </w:p>
    <w:p>
      <w:pPr>
        <w:jc w:val="both"/>
        <w:ind w:left="3120" w:right="179" w:hanging="645"/>
        <w:spacing w:after="0" w:line="262" w:lineRule="auto"/>
        <w:tabs>
          <w:tab w:leader="none" w:pos="3119" w:val="left"/>
        </w:tabs>
        <w:numPr>
          <w:ilvl w:val="1"/>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Good Reason</w:t>
      </w:r>
      <w:r>
        <w:rPr>
          <w:rFonts w:ascii="Times New Roman" w:cs="Times New Roman" w:eastAsia="Times New Roman" w:hAnsi="Times New Roman"/>
          <w:sz w:val="19"/>
          <w:szCs w:val="19"/>
          <w:color w:val="auto"/>
        </w:rPr>
        <w:t>” shall mean without your consent (other than in connection with the termination or suspension of your employment or duties for Cause or in connection with your death or LTD): (i) your removal as President and Chief Executive Officer, CBS Entertainment Group; (ii) any change in your reporting;</w:t>
      </w:r>
    </w:p>
    <w:p>
      <w:pPr>
        <w:spacing w:after="0" w:line="1" w:lineRule="exact"/>
        <w:rPr>
          <w:rFonts w:ascii="Times New Roman" w:cs="Times New Roman" w:eastAsia="Times New Roman" w:hAnsi="Times New Roman"/>
          <w:sz w:val="19"/>
          <w:szCs w:val="19"/>
          <w:color w:val="auto"/>
        </w:rPr>
      </w:pPr>
    </w:p>
    <w:p>
      <w:pPr>
        <w:jc w:val="both"/>
        <w:ind w:left="3100" w:right="159" w:firstLine="10"/>
        <w:spacing w:after="0" w:line="256" w:lineRule="auto"/>
        <w:tabs>
          <w:tab w:leader="none" w:pos="3762" w:val="left"/>
        </w:tabs>
        <w:numPr>
          <w:ilvl w:val="2"/>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assignment to you of duties or responsibilities substantially inconsistent with your position(s) or duties; (iv) the material reduction in your position, title, offices, authorities, duties or responsibilities (including the appointment of a co-President or co-Chief Executive Officer of CBS Entertainment Group or your no longer serving as the highest ranking executive of CBS Entertainment Group);</w:t>
      </w:r>
    </w:p>
    <w:p>
      <w:pPr>
        <w:jc w:val="both"/>
        <w:ind w:left="3100" w:right="159" w:firstLine="10"/>
        <w:spacing w:after="0" w:line="260" w:lineRule="auto"/>
        <w:tabs>
          <w:tab w:leader="none" w:pos="3463" w:val="left"/>
        </w:tabs>
        <w:numPr>
          <w:ilvl w:val="2"/>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reduction of your Salary, Target Bonus or target long-term incentive compensation amount, including a reduction from the levels to which they may be increased during the Contract Term; (vi) the material breach by the Company of any material obligation under this Agreement; or (vii) the relocation of your position outside the greater New York metropolitan area.</w:t>
      </w:r>
    </w:p>
    <w:p>
      <w:pPr>
        <w:spacing w:after="0" w:line="180" w:lineRule="exact"/>
        <w:rPr>
          <w:rFonts w:ascii="Times New Roman" w:cs="Times New Roman" w:eastAsia="Times New Roman" w:hAnsi="Times New Roman"/>
          <w:sz w:val="19"/>
          <w:szCs w:val="19"/>
          <w:color w:val="auto"/>
        </w:rPr>
      </w:pPr>
    </w:p>
    <w:p>
      <w:pPr>
        <w:ind w:left="1200" w:right="879" w:firstLine="639"/>
        <w:spacing w:after="0" w:line="285" w:lineRule="auto"/>
        <w:tabs>
          <w:tab w:leader="none" w:pos="2500"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without Cause</w:t>
      </w:r>
      <w:r>
        <w:rPr>
          <w:rFonts w:ascii="Times New Roman" w:cs="Times New Roman" w:eastAsia="Times New Roman" w:hAnsi="Times New Roman"/>
          <w:sz w:val="19"/>
          <w:szCs w:val="19"/>
          <w:color w:val="auto"/>
        </w:rPr>
        <w:t>. The Company may terminate your employment under this Agreement without Cause at any time during the Contract Period by written notice to you.</w:t>
      </w:r>
    </w:p>
    <w:p>
      <w:pPr>
        <w:sectPr>
          <w:pgSz w:w="11900" w:h="16838" w:orient="portrait"/>
          <w:cols w:equalWidth="0" w:num="1">
            <w:col w:w="10099"/>
          </w:cols>
          <w:pgMar w:left="360" w:top="183" w:right="1440"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9"/>
          <w:szCs w:val="19"/>
          <w:color w:val="auto"/>
        </w:rPr>
        <w:t>Mr. George Cheeks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of September 1, 2023</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Page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1200" w:right="159" w:firstLine="639"/>
        <w:spacing w:after="0" w:line="273" w:lineRule="auto"/>
        <w:tabs>
          <w:tab w:leader="none" w:pos="2502"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Payments/Benefits</w:t>
      </w:r>
      <w:r>
        <w:rPr>
          <w:rFonts w:ascii="Times New Roman" w:cs="Times New Roman" w:eastAsia="Times New Roman" w:hAnsi="Times New Roman"/>
          <w:sz w:val="19"/>
          <w:szCs w:val="19"/>
          <w:color w:val="auto"/>
        </w:rPr>
        <w:t>. In the event that your employment terminates under paragraph 11(a) or (b), you shall thereafter receive the compensation and benefits described below and the following shall apply:</w:t>
      </w:r>
    </w:p>
    <w:p>
      <w:pPr>
        <w:spacing w:after="0" w:line="155" w:lineRule="exact"/>
        <w:rPr>
          <w:rFonts w:ascii="Times New Roman" w:cs="Times New Roman" w:eastAsia="Times New Roman" w:hAnsi="Times New Roman"/>
          <w:sz w:val="19"/>
          <w:szCs w:val="19"/>
          <w:color w:val="auto"/>
        </w:rPr>
      </w:pPr>
    </w:p>
    <w:p>
      <w:pPr>
        <w:jc w:val="both"/>
        <w:ind w:left="3120" w:right="159" w:hanging="646"/>
        <w:spacing w:after="0" w:line="269" w:lineRule="auto"/>
        <w:tabs>
          <w:tab w:leader="none" w:pos="3117" w:val="left"/>
        </w:tabs>
        <w:numPr>
          <w:ilvl w:val="1"/>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continue to pay your Salary (at the rate in effect on the date of termination, not taking into account any reductions which would constitute Good Reason) at the same time and in the same manner as if you had not terminated employment for the longer of one (1) year or until the end of the Contract Period;</w:t>
      </w:r>
    </w:p>
    <w:p>
      <w:pPr>
        <w:spacing w:after="0" w:line="173" w:lineRule="exact"/>
        <w:rPr>
          <w:rFonts w:ascii="Times New Roman" w:cs="Times New Roman" w:eastAsia="Times New Roman" w:hAnsi="Times New Roman"/>
          <w:sz w:val="19"/>
          <w:szCs w:val="19"/>
          <w:color w:val="auto"/>
        </w:rPr>
      </w:pPr>
    </w:p>
    <w:p>
      <w:pPr>
        <w:jc w:val="both"/>
        <w:ind w:left="3100" w:right="159" w:hanging="626"/>
        <w:spacing w:after="0" w:line="264" w:lineRule="auto"/>
        <w:tabs>
          <w:tab w:leader="none" w:pos="3099" w:val="left"/>
        </w:tabs>
        <w:numPr>
          <w:ilvl w:val="1"/>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shall be eligible to receive a Bonus or Pro-Rated Bonus, as applicable, for each Company fiscal year or portion thereof during the Contract Period, calculated as provided in paragraph 19(e)(iii), provided that the total severance payment you receive pursuant to paragraphs 11(c)(i) and (ii) shall in no event exceed two times the sum of your Salary and Target Bonus in the year in which such termination occurs;</w:t>
      </w:r>
    </w:p>
    <w:p>
      <w:pPr>
        <w:spacing w:after="0" w:line="176" w:lineRule="exact"/>
        <w:rPr>
          <w:rFonts w:ascii="Times New Roman" w:cs="Times New Roman" w:eastAsia="Times New Roman" w:hAnsi="Times New Roman"/>
          <w:sz w:val="19"/>
          <w:szCs w:val="19"/>
          <w:color w:val="auto"/>
        </w:rPr>
      </w:pPr>
    </w:p>
    <w:p>
      <w:pPr>
        <w:jc w:val="both"/>
        <w:ind w:left="3120" w:right="159" w:hanging="645"/>
        <w:spacing w:after="0" w:line="257" w:lineRule="auto"/>
        <w:tabs>
          <w:tab w:leader="none" w:pos="3120" w:val="left"/>
        </w:tabs>
        <w:numPr>
          <w:ilvl w:val="1"/>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Provided you validly elect continuation of your medical and dental coverage under Section 4980B(f) of the Internal Revenue Code of 1986 (the “</w:t>
      </w:r>
      <w:r>
        <w:rPr>
          <w:rFonts w:ascii="Times New Roman" w:cs="Times New Roman" w:eastAsia="Times New Roman" w:hAnsi="Times New Roman"/>
          <w:sz w:val="19"/>
          <w:szCs w:val="19"/>
          <w:u w:val="single" w:color="auto"/>
          <w:color w:val="auto"/>
        </w:rPr>
        <w:t>Code</w:t>
      </w:r>
      <w:r>
        <w:rPr>
          <w:rFonts w:ascii="Times New Roman" w:cs="Times New Roman" w:eastAsia="Times New Roman" w:hAnsi="Times New Roman"/>
          <w:sz w:val="19"/>
          <w:szCs w:val="19"/>
          <w:color w:val="auto"/>
        </w:rPr>
        <w:t>”) (relating to coverage under the Consolidated Omnibus Budget Reconciliation Act of 1985 (“</w:t>
      </w:r>
      <w:r>
        <w:rPr>
          <w:rFonts w:ascii="Times New Roman" w:cs="Times New Roman" w:eastAsia="Times New Roman" w:hAnsi="Times New Roman"/>
          <w:sz w:val="19"/>
          <w:szCs w:val="19"/>
          <w:u w:val="single" w:color="auto"/>
          <w:color w:val="auto"/>
        </w:rPr>
        <w:t>COBRA</w:t>
      </w:r>
      <w:r>
        <w:rPr>
          <w:rFonts w:ascii="Times New Roman" w:cs="Times New Roman" w:eastAsia="Times New Roman" w:hAnsi="Times New Roman"/>
          <w:sz w:val="19"/>
          <w:szCs w:val="19"/>
          <w:color w:val="auto"/>
        </w:rPr>
        <w:t>”)), your coverage and participation under the Company’s medical and dental benefit plans and programs in which you were participating immediately prior to your termination of employment pursuant to this paragraph 11, shall continue at no cost to you (except as set forth below) until the earlier of (i) the end of the Contract Period, but in no event less than one (1) year after the termination of your employment, or (ii) the date on which you become eligible for medical and/or dental coverage from another employer; provided, that, during the period that the Company provides you with this coverage, an amount equal to the total applicable COBRA cost (or such other amounts as may be required by law) will be included in your income for tax purposes and the Company may withhold taxes from your termination payments for this purpose; and provided, further, that you may elect to continue your medical and dental coverage under COBRA at your own expense for the balance, if any, of the period required by law;</w:t>
      </w:r>
    </w:p>
    <w:p>
      <w:pPr>
        <w:spacing w:after="0" w:line="200" w:lineRule="exact"/>
        <w:rPr>
          <w:rFonts w:ascii="Times New Roman" w:cs="Times New Roman" w:eastAsia="Times New Roman" w:hAnsi="Times New Roman"/>
          <w:sz w:val="19"/>
          <w:szCs w:val="19"/>
          <w:color w:val="auto"/>
        </w:rPr>
      </w:pPr>
    </w:p>
    <w:p>
      <w:pPr>
        <w:spacing w:after="0" w:line="225" w:lineRule="exact"/>
        <w:rPr>
          <w:rFonts w:ascii="Times New Roman" w:cs="Times New Roman" w:eastAsia="Times New Roman" w:hAnsi="Times New Roman"/>
          <w:sz w:val="19"/>
          <w:szCs w:val="19"/>
          <w:color w:val="auto"/>
        </w:rPr>
      </w:pPr>
    </w:p>
    <w:p>
      <w:pPr>
        <w:jc w:val="both"/>
        <w:ind w:left="3120" w:right="159" w:hanging="646"/>
        <w:spacing w:after="0" w:line="261" w:lineRule="auto"/>
        <w:tabs>
          <w:tab w:leader="none" w:pos="3108" w:val="left"/>
        </w:tabs>
        <w:numPr>
          <w:ilvl w:val="1"/>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continue to provide you with life insurance coverage, at no premium cost to you (unless you had no coverage at the time of termination), until the end of the Contract Period or, if longer, the end of the period in which you are receiving payments pursuant to paragraph 11(b)(i), in accordance with the Company’s then-current policy, as may be amended from time to time, and in the amount then furnished at no cost to other Company executives at comparable levels. Such coverage shall end in the event you are eligible to obtain life insurance coverage from another employer;</w:t>
      </w:r>
    </w:p>
    <w:p>
      <w:pPr>
        <w:spacing w:after="0" w:line="200" w:lineRule="exact"/>
        <w:rPr>
          <w:rFonts w:ascii="Times New Roman" w:cs="Times New Roman" w:eastAsia="Times New Roman" w:hAnsi="Times New Roman"/>
          <w:sz w:val="19"/>
          <w:szCs w:val="19"/>
          <w:color w:val="auto"/>
        </w:rPr>
      </w:pPr>
    </w:p>
    <w:p>
      <w:pPr>
        <w:spacing w:after="0" w:line="217" w:lineRule="exact"/>
        <w:rPr>
          <w:rFonts w:ascii="Times New Roman" w:cs="Times New Roman" w:eastAsia="Times New Roman" w:hAnsi="Times New Roman"/>
          <w:sz w:val="19"/>
          <w:szCs w:val="19"/>
          <w:color w:val="auto"/>
        </w:rPr>
      </w:pPr>
    </w:p>
    <w:p>
      <w:pPr>
        <w:ind w:left="3120" w:right="159" w:hanging="646"/>
        <w:spacing w:after="0" w:line="285" w:lineRule="auto"/>
        <w:tabs>
          <w:tab w:leader="none" w:pos="3107" w:val="left"/>
        </w:tabs>
        <w:numPr>
          <w:ilvl w:val="1"/>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stock options granted to you under any of the Company’s long-term incentive plans in effect from time to time:</w:t>
      </w:r>
    </w:p>
    <w:p>
      <w:pPr>
        <w:spacing w:after="0" w:line="156" w:lineRule="exact"/>
        <w:rPr>
          <w:rFonts w:ascii="Times New Roman" w:cs="Times New Roman" w:eastAsia="Times New Roman" w:hAnsi="Times New Roman"/>
          <w:sz w:val="19"/>
          <w:szCs w:val="19"/>
          <w:color w:val="auto"/>
        </w:rPr>
      </w:pPr>
    </w:p>
    <w:p>
      <w:pPr>
        <w:jc w:val="both"/>
        <w:ind w:left="3120" w:right="159" w:hanging="9"/>
        <w:spacing w:after="0" w:line="273" w:lineRule="auto"/>
        <w:tabs>
          <w:tab w:leader="none" w:pos="3784" w:val="left"/>
        </w:tabs>
        <w:numPr>
          <w:ilvl w:val="2"/>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stock options that have not vested as of the termination of your employment (your “Separation Date”), but that would have vested on or before the end of the Contract Period or, if longer, twelve (12) months following your</w:t>
      </w:r>
    </w:p>
    <w:p>
      <w:pPr>
        <w:sectPr>
          <w:pgSz w:w="11900" w:h="16838" w:orient="portrait"/>
          <w:cols w:equalWidth="0" w:num="1">
            <w:col w:w="10099"/>
          </w:cols>
          <w:pgMar w:left="360" w:top="183" w:right="1440"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9"/>
          <w:szCs w:val="19"/>
          <w:color w:val="auto"/>
        </w:rPr>
        <w:t>Mr. George Cheeks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of September 1, 2023</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Page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3120" w:right="179"/>
        <w:spacing w:after="0" w:line="267" w:lineRule="auto"/>
        <w:rPr>
          <w:sz w:val="20"/>
          <w:szCs w:val="20"/>
          <w:color w:val="auto"/>
        </w:rPr>
      </w:pPr>
      <w:r>
        <w:rPr>
          <w:rFonts w:ascii="Times New Roman" w:cs="Times New Roman" w:eastAsia="Times New Roman" w:hAnsi="Times New Roman"/>
          <w:sz w:val="19"/>
          <w:szCs w:val="19"/>
          <w:color w:val="auto"/>
        </w:rPr>
        <w:t>Separation Date, shall become fully vested on the later of your Separation Date or upon receipt of a Release executed by you, and such stock options shall remain exercisable for six (6) months after your Separation Date (or if longer, such period provided under the terms of the applicable long-term incentive plan), but in no event later than the expiration date of such options; and</w:t>
      </w:r>
    </w:p>
    <w:p>
      <w:pPr>
        <w:spacing w:after="0" w:line="163" w:lineRule="exact"/>
        <w:rPr>
          <w:sz w:val="20"/>
          <w:szCs w:val="20"/>
          <w:color w:val="auto"/>
        </w:rPr>
      </w:pPr>
    </w:p>
    <w:p>
      <w:pPr>
        <w:jc w:val="both"/>
        <w:ind w:left="3120" w:right="179" w:hanging="9"/>
        <w:spacing w:after="0" w:line="269" w:lineRule="auto"/>
        <w:tabs>
          <w:tab w:leader="none" w:pos="3784" w:val="left"/>
        </w:tabs>
        <w:numPr>
          <w:ilvl w:val="2"/>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outstanding stock options that have vested on or prior to your Separation Date shall remain exercisable for six (6) months after such date (or if longer, such period provided under the terms of the applicable long-term incentive plan), but in no event later than the expiration date of such options.</w:t>
      </w:r>
    </w:p>
    <w:p>
      <w:pPr>
        <w:spacing w:after="0" w:line="173" w:lineRule="exact"/>
        <w:rPr>
          <w:rFonts w:ascii="Times New Roman" w:cs="Times New Roman" w:eastAsia="Times New Roman" w:hAnsi="Times New Roman"/>
          <w:sz w:val="19"/>
          <w:szCs w:val="19"/>
          <w:color w:val="auto"/>
        </w:rPr>
      </w:pPr>
    </w:p>
    <w:p>
      <w:pPr>
        <w:jc w:val="both"/>
        <w:ind w:left="3100" w:right="159" w:hanging="626"/>
        <w:spacing w:after="0" w:line="261" w:lineRule="auto"/>
        <w:tabs>
          <w:tab w:leader="none" w:pos="3089" w:val="left"/>
        </w:tabs>
        <w:numPr>
          <w:ilvl w:val="1"/>
          <w:numId w:val="2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restricted share units or restricted shares granted to you under any of the Company’s long-term incentive plans in effect from time to time that have not vested as of your Separation Date, but that would have vested on or before the end of the Contract Period or, if longer, twelve (12) months following your Separation Date, shall become fully vested on the later of your Separation Date or upon receipt of a Release executed by you. There shall be no acceleration of the vesting of any equity or long-term incentive awards granted to you under any of the Company’s long-term plans in effect from time to time, unless otherwise provided herein or under the terms of the applicable long-term incentive plan; and</w:t>
      </w:r>
    </w:p>
    <w:p>
      <w:pPr>
        <w:spacing w:after="0" w:line="167" w:lineRule="exact"/>
        <w:rPr>
          <w:rFonts w:ascii="Times New Roman" w:cs="Times New Roman" w:eastAsia="Times New Roman" w:hAnsi="Times New Roman"/>
          <w:sz w:val="19"/>
          <w:szCs w:val="19"/>
          <w:color w:val="auto"/>
        </w:rPr>
      </w:pPr>
    </w:p>
    <w:p>
      <w:pPr>
        <w:ind w:left="3100" w:right="179" w:hanging="626"/>
        <w:spacing w:after="0" w:line="300" w:lineRule="auto"/>
        <w:tabs>
          <w:tab w:leader="none" w:pos="3390" w:val="left"/>
        </w:tabs>
        <w:numPr>
          <w:ilvl w:val="1"/>
          <w:numId w:val="2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(viii) The Company shall pay or continue to provide, as applicable, the Accrued Compensation and Benefits.</w:t>
      </w:r>
    </w:p>
    <w:p>
      <w:pPr>
        <w:spacing w:after="0" w:line="129" w:lineRule="exact"/>
        <w:rPr>
          <w:rFonts w:ascii="Times New Roman" w:cs="Times New Roman" w:eastAsia="Times New Roman" w:hAnsi="Times New Roman"/>
          <w:sz w:val="19"/>
          <w:szCs w:val="19"/>
          <w:color w:val="auto"/>
        </w:rPr>
      </w:pPr>
    </w:p>
    <w:p>
      <w:pPr>
        <w:jc w:val="both"/>
        <w:ind w:left="1200" w:right="159" w:firstLine="638"/>
        <w:spacing w:after="0" w:line="261" w:lineRule="auto"/>
        <w:tabs>
          <w:tab w:leader="none" w:pos="2500" w:val="left"/>
        </w:tabs>
        <w:numPr>
          <w:ilvl w:val="0"/>
          <w:numId w:val="2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Release</w:t>
      </w:r>
      <w:r>
        <w:rPr>
          <w:rFonts w:ascii="Times New Roman" w:cs="Times New Roman" w:eastAsia="Times New Roman" w:hAnsi="Times New Roman"/>
          <w:sz w:val="19"/>
          <w:szCs w:val="19"/>
          <w:color w:val="auto"/>
        </w:rPr>
        <w:t>. Your entitlement to the payments and benefits described in this paragraph 11 is conditioned on your execution and delivery to the Company, within sixty (60) days after your termination of employment (the “Release Deadline”), of a release in substantially the form appended hereto as Appendix A that remains in effect and becomes irrevocable after the expiration of any statutory period in which you are permitted to revoke a release (the “Release”). If you fail to execute and deliver the Release by the Release Deadline, or if you thereafter effectively revoke the Release, the Company shall be under no obligation to make any further payments or provide any further benefits to you and any payments and benefits previously provided to you pursuant to this paragraph 11 shall not have been earned. In such event, you shall promptly repay the Company any payments made and the Company’s direct cost for any benefits provided to you pursuant to this paragraph 11. The limitations of this paragraph shall not apply to the Accrued Compensation and Benefits.</w:t>
      </w:r>
    </w:p>
    <w:p>
      <w:pPr>
        <w:spacing w:after="0" w:line="168" w:lineRule="exact"/>
        <w:rPr>
          <w:rFonts w:ascii="Times New Roman" w:cs="Times New Roman" w:eastAsia="Times New Roman" w:hAnsi="Times New Roman"/>
          <w:sz w:val="19"/>
          <w:szCs w:val="19"/>
          <w:color w:val="auto"/>
        </w:rPr>
      </w:pPr>
    </w:p>
    <w:p>
      <w:pPr>
        <w:jc w:val="both"/>
        <w:ind w:left="1200" w:right="159" w:firstLine="638"/>
        <w:spacing w:after="0" w:line="260" w:lineRule="auto"/>
        <w:tabs>
          <w:tab w:leader="none" w:pos="2502" w:val="left"/>
        </w:tabs>
        <w:numPr>
          <w:ilvl w:val="0"/>
          <w:numId w:val="2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Offset</w:t>
      </w:r>
      <w:r>
        <w:rPr>
          <w:rFonts w:ascii="Times New Roman" w:cs="Times New Roman" w:eastAsia="Times New Roman" w:hAnsi="Times New Roman"/>
          <w:sz w:val="19"/>
          <w:szCs w:val="19"/>
          <w:color w:val="auto"/>
        </w:rPr>
        <w:t>. The amount of payments provided in paragraph 11 in respect of the period that begins one (1) year after the termination of your employment shall be reduced by any compensation for services earned by you (including as an independent consultant or independent contractor) from any source in respect of the period that begins one (1) year after the termination of your employment and ends when the Company is no longer required to make payments pursuant to paragraph 11 (the “</w:t>
      </w:r>
      <w:r>
        <w:rPr>
          <w:rFonts w:ascii="Times New Roman" w:cs="Times New Roman" w:eastAsia="Times New Roman" w:hAnsi="Times New Roman"/>
          <w:sz w:val="19"/>
          <w:szCs w:val="19"/>
          <w:u w:val="single" w:color="auto"/>
          <w:color w:val="auto"/>
        </w:rPr>
        <w:t>Offset Period</w:t>
      </w:r>
      <w:r>
        <w:rPr>
          <w:rFonts w:ascii="Times New Roman" w:cs="Times New Roman" w:eastAsia="Times New Roman" w:hAnsi="Times New Roman"/>
          <w:sz w:val="19"/>
          <w:szCs w:val="19"/>
          <w:color w:val="auto"/>
        </w:rPr>
        <w:t>”), including, without limitation, salary, sign-on or annual bonus, consulting fees, commission payments and any amounts the payment of which is deferred at your election, or with your consent, until after the expiration of the Offset Period; provided that, if the Company in its reasonable discretion determines that any grant of long-term compensation is made in substitution of the aforementioned payments, such payments shall be further reduced by the value on the date of grant, as reasonably determined by the Company, of such long-term compensation you receive. You agree to promptly notify the Company of any arrangements during the Offset Period in which you earn compensation for services</w:t>
      </w:r>
    </w:p>
    <w:p>
      <w:pPr>
        <w:sectPr>
          <w:pgSz w:w="11900" w:h="16838" w:orient="portrait"/>
          <w:cols w:equalWidth="0" w:num="1">
            <w:col w:w="10099"/>
          </w:cols>
          <w:pgMar w:left="360" w:top="183" w:right="1440"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9"/>
          <w:szCs w:val="19"/>
          <w:color w:val="auto"/>
        </w:rPr>
        <w:t>Mr. George Cheeks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of September 1, 2023</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Page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00" w:right="179"/>
        <w:spacing w:after="0" w:line="300" w:lineRule="auto"/>
        <w:rPr>
          <w:sz w:val="20"/>
          <w:szCs w:val="20"/>
          <w:color w:val="auto"/>
        </w:rPr>
      </w:pPr>
      <w:r>
        <w:rPr>
          <w:rFonts w:ascii="Times New Roman" w:cs="Times New Roman" w:eastAsia="Times New Roman" w:hAnsi="Times New Roman"/>
          <w:sz w:val="19"/>
          <w:szCs w:val="19"/>
          <w:color w:val="auto"/>
        </w:rPr>
        <w:t>and to cooperate fully with the Company in determining the amount of any such reduction. For the avoidance of doubt, you shall not have a duty to mitigate by seeking employment or otherwise.</w:t>
      </w:r>
    </w:p>
    <w:p>
      <w:pPr>
        <w:spacing w:after="0" w:line="143" w:lineRule="exact"/>
        <w:rPr>
          <w:sz w:val="20"/>
          <w:szCs w:val="20"/>
          <w:color w:val="auto"/>
        </w:rPr>
      </w:pPr>
    </w:p>
    <w:p>
      <w:pPr>
        <w:jc w:val="both"/>
        <w:ind w:left="1200" w:right="179" w:firstLine="718"/>
        <w:spacing w:after="0" w:line="264" w:lineRule="auto"/>
        <w:tabs>
          <w:tab w:leader="none" w:pos="2503" w:val="left"/>
        </w:tabs>
        <w:numPr>
          <w:ilvl w:val="2"/>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Resignation in Breach of the Agreement</w:t>
      </w:r>
      <w:r>
        <w:rPr>
          <w:rFonts w:ascii="Times New Roman" w:cs="Times New Roman" w:eastAsia="Times New Roman" w:hAnsi="Times New Roman"/>
          <w:sz w:val="19"/>
          <w:szCs w:val="19"/>
          <w:color w:val="auto"/>
        </w:rPr>
        <w:t>. If you resign other than for Good Reason prior to the expiration of the Contract Period, such resignation is a material breach of this Agreement and, without limitation of other rights or remedies available to the Company, the Company shall have no further obligations to you under this Agreement or otherwise, except to make termination payments provided in paragraph 10(a).</w:t>
      </w:r>
    </w:p>
    <w:p>
      <w:pPr>
        <w:spacing w:after="0" w:line="178" w:lineRule="exact"/>
        <w:rPr>
          <w:rFonts w:ascii="Times New Roman" w:cs="Times New Roman" w:eastAsia="Times New Roman" w:hAnsi="Times New Roman"/>
          <w:sz w:val="19"/>
          <w:szCs w:val="19"/>
          <w:color w:val="auto"/>
        </w:rPr>
      </w:pPr>
    </w:p>
    <w:p>
      <w:pPr>
        <w:ind w:left="2460" w:hanging="542"/>
        <w:spacing w:after="0"/>
        <w:tabs>
          <w:tab w:leader="none" w:pos="2460" w:val="left"/>
        </w:tabs>
        <w:numPr>
          <w:ilvl w:val="2"/>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Due to Death.</w:t>
      </w:r>
    </w:p>
    <w:p>
      <w:pPr>
        <w:spacing w:after="0" w:line="232" w:lineRule="exact"/>
        <w:rPr>
          <w:rFonts w:ascii="Times New Roman" w:cs="Times New Roman" w:eastAsia="Times New Roman" w:hAnsi="Times New Roman"/>
          <w:sz w:val="19"/>
          <w:szCs w:val="19"/>
          <w:color w:val="auto"/>
        </w:rPr>
      </w:pPr>
    </w:p>
    <w:p>
      <w:pPr>
        <w:jc w:val="both"/>
        <w:ind w:left="1200" w:right="159" w:firstLine="638"/>
        <w:spacing w:after="0" w:line="249" w:lineRule="auto"/>
        <w:tabs>
          <w:tab w:leader="none" w:pos="2502" w:val="left"/>
        </w:tabs>
        <w:numPr>
          <w:ilvl w:val="1"/>
          <w:numId w:val="2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Death While Employed</w:t>
      </w:r>
      <w:r>
        <w:rPr>
          <w:rFonts w:ascii="Times New Roman" w:cs="Times New Roman" w:eastAsia="Times New Roman" w:hAnsi="Times New Roman"/>
          <w:sz w:val="19"/>
          <w:szCs w:val="19"/>
          <w:color w:val="auto"/>
        </w:rPr>
        <w:t>. In the event of your death prior to the end of the Contract Period while actively employed with the Company, this Agreement shall automatically terminate. Thereafter, your designated beneficiary (or, if there is no such beneficiary, your estate) shall receive (i) any Accrued Compensation and Benefits as of the date of your death and (ii) for the year in which death occurs, any Bonus or Pro-Rated Bonus, as applicable, which you would have been eligible to receive, calculated in accordance with paragraph 19(e) (iii). In no event shall a distribution be made pursuant to clause (i) in the preceding sentence later than the 60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day following your death and a distribution pursuant to clause (ii) in the preceding sentence shall be made at the same time and in the same manner as if you were still actively employed with the Company.</w:t>
      </w:r>
    </w:p>
    <w:p>
      <w:pPr>
        <w:spacing w:after="0" w:line="182" w:lineRule="exact"/>
        <w:rPr>
          <w:rFonts w:ascii="Times New Roman" w:cs="Times New Roman" w:eastAsia="Times New Roman" w:hAnsi="Times New Roman"/>
          <w:sz w:val="19"/>
          <w:szCs w:val="19"/>
          <w:color w:val="auto"/>
        </w:rPr>
      </w:pPr>
    </w:p>
    <w:p>
      <w:pPr>
        <w:jc w:val="both"/>
        <w:ind w:left="1200" w:right="159" w:firstLine="638"/>
        <w:spacing w:after="0" w:line="252" w:lineRule="auto"/>
        <w:tabs>
          <w:tab w:leader="none" w:pos="2500" w:val="left"/>
        </w:tabs>
        <w:numPr>
          <w:ilvl w:val="1"/>
          <w:numId w:val="2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Death After the End of Employment</w:t>
      </w:r>
      <w:r>
        <w:rPr>
          <w:rFonts w:ascii="Times New Roman" w:cs="Times New Roman" w:eastAsia="Times New Roman" w:hAnsi="Times New Roman"/>
          <w:sz w:val="19"/>
          <w:szCs w:val="19"/>
          <w:color w:val="auto"/>
        </w:rPr>
        <w:t>. In the event of your death while you are entitled to receive compensation or benefits under paragraphs 11 or 15, in lieu of such payments your designated beneficiary (or, if there is no such beneficiary, your estate) shall receive, to the extent not previously paid to you, (i) continuation of Salary pursuant to the applicable paragraph through the date of death; (ii) if you were entitled to receive compensation or benefits under paragraph 11, for the year in which death occurs, any Bonus or Pro-Rated Bonus, as applicable, for the year in which death occurs, payable under such paragraph, calculated in accordance with paragraph 19(e)(iii); and (iii) any Accrued Compensation and Benefits. In no event shall a distribution be made pursuant to clauses (i) and (iii) in the preceding sentence later than the 60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day following your death and a distribution pursuant to clause (ii) in the preceding sentence shall be made at the same time and in the same manner as if you were still actively employed with the Company.</w:t>
      </w:r>
    </w:p>
    <w:p>
      <w:pPr>
        <w:spacing w:after="0" w:line="177" w:lineRule="exact"/>
        <w:rPr>
          <w:rFonts w:ascii="Times New Roman" w:cs="Times New Roman" w:eastAsia="Times New Roman" w:hAnsi="Times New Roman"/>
          <w:sz w:val="19"/>
          <w:szCs w:val="19"/>
          <w:color w:val="auto"/>
        </w:rPr>
      </w:pPr>
    </w:p>
    <w:p>
      <w:pPr>
        <w:jc w:val="both"/>
        <w:ind w:left="1200" w:right="159" w:firstLine="562"/>
        <w:spacing w:after="0" w:line="259" w:lineRule="auto"/>
        <w:tabs>
          <w:tab w:leader="none" w:pos="2505" w:val="left"/>
        </w:tabs>
        <w:numPr>
          <w:ilvl w:val="0"/>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Long-Term Disability</w:t>
      </w:r>
      <w:r>
        <w:rPr>
          <w:rFonts w:ascii="Times New Roman" w:cs="Times New Roman" w:eastAsia="Times New Roman" w:hAnsi="Times New Roman"/>
          <w:sz w:val="19"/>
          <w:szCs w:val="19"/>
          <w:color w:val="auto"/>
        </w:rPr>
        <w:t>. In the event you are absent due to a LTD and you are receiving compensation under a the Company LTD plan, then, effective on the date you begin receiving compensation under such plan, (i) this Agreement shall terminate without any further action required by the Company, (ii) you shall be considered an “at-will” employee of the Company, and (iii) you shall have no guarantee of specific future employment nor continuing employment generally when your receipt of compensation under a the Company LTD plan ends, except as required by applicable law . In the event of such termination of this Agreement, you shall receive (i) any Accrued Compensation and Benefits and (ii) for the year in which such termination occurs, any Bonus or Pro-Rated Bonus, as applicable, which you would have been entitled to receive, calculated in accordance with paragraph 19(e)(iii). Except as set forth in the previous sentence, the compensation provided to you under the applicable LTD plan shall be in lieu of any compensation from the Company (including, but not limited to, the Salary provided under this Agreement or otherwise). Your participation in any other the Company benefit plans or programs shall be governed by the terms of the applicable plan or program documents, award agreements and certificates.</w:t>
      </w:r>
    </w:p>
    <w:p>
      <w:pPr>
        <w:spacing w:after="0" w:line="181" w:lineRule="exact"/>
        <w:rPr>
          <w:rFonts w:ascii="Times New Roman" w:cs="Times New Roman" w:eastAsia="Times New Roman" w:hAnsi="Times New Roman"/>
          <w:sz w:val="19"/>
          <w:szCs w:val="19"/>
          <w:color w:val="auto"/>
        </w:rPr>
      </w:pPr>
    </w:p>
    <w:p>
      <w:pPr>
        <w:ind w:left="1200" w:right="159" w:firstLine="718"/>
        <w:spacing w:after="0" w:line="300" w:lineRule="auto"/>
        <w:tabs>
          <w:tab w:leader="none" w:pos="2503" w:val="left"/>
        </w:tabs>
        <w:numPr>
          <w:ilvl w:val="2"/>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Non-Renewal</w:t>
      </w:r>
      <w:r>
        <w:rPr>
          <w:rFonts w:ascii="Times New Roman" w:cs="Times New Roman" w:eastAsia="Times New Roman" w:hAnsi="Times New Roman"/>
          <w:sz w:val="19"/>
          <w:szCs w:val="19"/>
          <w:color w:val="auto"/>
        </w:rPr>
        <w:t>. If the Company does not extend or renew this Agreement at the end of the Contract Period and you have not entered into a new contractual relationship with the Company, your</w:t>
      </w:r>
    </w:p>
    <w:p>
      <w:pPr>
        <w:sectPr>
          <w:pgSz w:w="11900" w:h="16838" w:orient="portrait"/>
          <w:cols w:equalWidth="0" w:num="1">
            <w:col w:w="10099"/>
          </w:cols>
          <w:pgMar w:left="360" w:top="183" w:right="1440"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9"/>
          <w:szCs w:val="19"/>
          <w:color w:val="auto"/>
        </w:rPr>
        <w:t>Mr. George Cheeks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of September 1, 2023</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Page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1200" w:right="159"/>
        <w:spacing w:after="0" w:line="259" w:lineRule="auto"/>
        <w:rPr>
          <w:sz w:val="20"/>
          <w:szCs w:val="20"/>
          <w:color w:val="auto"/>
        </w:rPr>
      </w:pPr>
      <w:r>
        <w:rPr>
          <w:rFonts w:ascii="Times New Roman" w:cs="Times New Roman" w:eastAsia="Times New Roman" w:hAnsi="Times New Roman"/>
          <w:sz w:val="19"/>
          <w:szCs w:val="19"/>
          <w:color w:val="auto"/>
        </w:rPr>
        <w:t>continuing employment, if any, with the Company shall be “at-will” (but under the same compensation terms as in effect immediately prior to the end of the Contract Period) and may be terminated at any time by either party. If the Company terminates your employment during the one (1) year period commencing with the last day of the Contract Period while you are an employee at-will, the Company shall continue to pay your Salary (at the rate in effect on the date of termination) at the same time and in the same manner as if you had not terminated employment for the balance, if any, of such one (1) year period; provided, however, that (i) you shall not be entitled to such Salary continuation if the Company terminates your employment for reasons constituting Cause and (ii) any such Salary continuation shall be subject to offset as set forth in Section 11(d) above, without giving effect to the one (1) year period referenced therein.</w:t>
      </w:r>
    </w:p>
    <w:p>
      <w:pPr>
        <w:spacing w:after="0" w:line="210" w:lineRule="exact"/>
        <w:rPr>
          <w:sz w:val="20"/>
          <w:szCs w:val="20"/>
          <w:color w:val="auto"/>
        </w:rPr>
      </w:pPr>
    </w:p>
    <w:p>
      <w:pPr>
        <w:jc w:val="both"/>
        <w:ind w:left="1200" w:right="159" w:firstLine="717"/>
        <w:spacing w:after="0" w:line="259" w:lineRule="auto"/>
        <w:tabs>
          <w:tab w:leader="none" w:pos="2503" w:val="left"/>
        </w:tabs>
        <w:numPr>
          <w:ilvl w:val="1"/>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Severance Plan Adjustment</w:t>
      </w:r>
      <w:r>
        <w:rPr>
          <w:rFonts w:ascii="Times New Roman" w:cs="Times New Roman" w:eastAsia="Times New Roman" w:hAnsi="Times New Roman"/>
          <w:sz w:val="19"/>
          <w:szCs w:val="19"/>
          <w:color w:val="auto"/>
        </w:rPr>
        <w:t>. In the event that your employment with the Company terminates pursuant to paragraph 11 or 15, and, at the time of your termination of employment there is in effect a the Company severance plan (a “</w:t>
      </w:r>
      <w:r>
        <w:rPr>
          <w:rFonts w:ascii="Times New Roman" w:cs="Times New Roman" w:eastAsia="Times New Roman" w:hAnsi="Times New Roman"/>
          <w:sz w:val="19"/>
          <w:szCs w:val="19"/>
          <w:u w:val="single" w:color="auto"/>
          <w:color w:val="auto"/>
        </w:rPr>
        <w:t>Severance Plan</w:t>
      </w:r>
      <w:r>
        <w:rPr>
          <w:rFonts w:ascii="Times New Roman" w:cs="Times New Roman" w:eastAsia="Times New Roman" w:hAnsi="Times New Roman"/>
          <w:sz w:val="19"/>
          <w:szCs w:val="19"/>
          <w:color w:val="auto"/>
        </w:rPr>
        <w:t>”) for which you are eligible to participate or would have been eligible to participate but for your having entered into this Agreement or being a Specified Employee and which provides for severance compensation that is greater than the amounts to which you are entitled under paragraphs 11(c)(i) and (ii) or paragraph 15, then the amounts of your severance compensation under this Agreement shall automatically be adjusted to equal those that would have been provided to you under the Severance Plan; provided that to the extent you were entitled to any amounts under this Agreement, the time and form of such payments shall not be adjusted. For the avoidance of doubt, any payment entitlement pursuant to this paragraph 16 is in lieu of, and not in addition to, any severance compensation to which you may otherwise be entitled under this Agreement. Notwithstanding any adjustment to the amount of your entitlements pursuant to this paragraph 16, all other provisions of this Agreement shall remain in effect, including, without limitation, paragraphs 6, 7, 8 and 9.</w:t>
      </w:r>
    </w:p>
    <w:p>
      <w:pPr>
        <w:spacing w:after="0" w:line="200" w:lineRule="exact"/>
        <w:rPr>
          <w:rFonts w:ascii="Times New Roman" w:cs="Times New Roman" w:eastAsia="Times New Roman" w:hAnsi="Times New Roman"/>
          <w:sz w:val="19"/>
          <w:szCs w:val="19"/>
          <w:color w:val="auto"/>
        </w:rPr>
      </w:pPr>
    </w:p>
    <w:p>
      <w:pPr>
        <w:spacing w:after="0" w:line="216" w:lineRule="exact"/>
        <w:rPr>
          <w:rFonts w:ascii="Times New Roman" w:cs="Times New Roman" w:eastAsia="Times New Roman" w:hAnsi="Times New Roman"/>
          <w:sz w:val="19"/>
          <w:szCs w:val="19"/>
          <w:color w:val="auto"/>
        </w:rPr>
      </w:pPr>
    </w:p>
    <w:p>
      <w:pPr>
        <w:ind w:left="2460" w:hanging="542"/>
        <w:spacing w:after="0"/>
        <w:tabs>
          <w:tab w:leader="none" w:pos="2460" w:val="left"/>
        </w:tabs>
        <w:numPr>
          <w:ilvl w:val="1"/>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Further Events on Termination of Employment</w:t>
      </w:r>
      <w:r>
        <w:rPr>
          <w:rFonts w:ascii="Times New Roman" w:cs="Times New Roman" w:eastAsia="Times New Roman" w:hAnsi="Times New Roman"/>
          <w:sz w:val="19"/>
          <w:szCs w:val="19"/>
          <w:color w:val="auto"/>
        </w:rPr>
        <w:t>.</w:t>
      </w:r>
    </w:p>
    <w:p>
      <w:pPr>
        <w:spacing w:after="0" w:line="218" w:lineRule="exact"/>
        <w:rPr>
          <w:rFonts w:ascii="Times New Roman" w:cs="Times New Roman" w:eastAsia="Times New Roman" w:hAnsi="Times New Roman"/>
          <w:sz w:val="19"/>
          <w:szCs w:val="19"/>
          <w:color w:val="auto"/>
        </w:rPr>
      </w:pPr>
    </w:p>
    <w:p>
      <w:pPr>
        <w:jc w:val="both"/>
        <w:ind w:left="1200" w:right="159" w:firstLine="639"/>
        <w:spacing w:after="0" w:line="263" w:lineRule="auto"/>
        <w:tabs>
          <w:tab w:leader="none" w:pos="2502" w:val="left"/>
        </w:tabs>
        <w:numPr>
          <w:ilvl w:val="0"/>
          <w:numId w:val="2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of Benefits</w:t>
      </w:r>
      <w:r>
        <w:rPr>
          <w:rFonts w:ascii="Times New Roman" w:cs="Times New Roman" w:eastAsia="Times New Roman" w:hAnsi="Times New Roman"/>
          <w:sz w:val="19"/>
          <w:szCs w:val="19"/>
          <w:color w:val="auto"/>
        </w:rPr>
        <w:t>. Except as otherwise expressly provided in this Agreement, your participation in all Company benefit plans and programs (including, without limitation, medical and dental coverage, life insurance coverage, vacation accrual, all retirement and the related excess plans, STD and LTD plans and accidental death and dismemberment and business travel and accident insurance and your rights with respect to any outstanding equity compensation awards) shall be governed by the terms of the applicable plan and program documents, award agreements and certificates.</w:t>
      </w:r>
    </w:p>
    <w:p>
      <w:pPr>
        <w:spacing w:after="0" w:line="180" w:lineRule="exact"/>
        <w:rPr>
          <w:rFonts w:ascii="Times New Roman" w:cs="Times New Roman" w:eastAsia="Times New Roman" w:hAnsi="Times New Roman"/>
          <w:sz w:val="19"/>
          <w:szCs w:val="19"/>
          <w:color w:val="auto"/>
        </w:rPr>
      </w:pPr>
    </w:p>
    <w:p>
      <w:pPr>
        <w:jc w:val="both"/>
        <w:ind w:left="1200" w:right="159" w:firstLine="639"/>
        <w:spacing w:after="0" w:line="261" w:lineRule="auto"/>
        <w:tabs>
          <w:tab w:leader="none" w:pos="2500" w:val="left"/>
        </w:tabs>
        <w:numPr>
          <w:ilvl w:val="0"/>
          <w:numId w:val="2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Resignation from Official Positions</w:t>
      </w:r>
      <w:r>
        <w:rPr>
          <w:rFonts w:ascii="Times New Roman" w:cs="Times New Roman" w:eastAsia="Times New Roman" w:hAnsi="Times New Roman"/>
          <w:sz w:val="19"/>
          <w:szCs w:val="19"/>
          <w:color w:val="auto"/>
        </w:rPr>
        <w:t>. If your employment with the Company terminates for any reason, you shall be deemed to have resigned at that time from any and all officer or director positions that you may have held with the Company and all board seats or other positions in other entities to which you have been designated by the Company or which you have held on behalf of the Company. If, for any reason, this paragraph 17(b) is deemed insufficient to effectuate such resignation, you hereby authorize the Secretary and any Assistant Secretary of the Company to execute any documents or instruments which the Company may deem necessary or desirable to effectuate such resignation or resignations, and to act as your attorney-in fact.</w:t>
      </w:r>
    </w:p>
    <w:p>
      <w:pPr>
        <w:spacing w:after="0" w:line="178" w:lineRule="exact"/>
        <w:rPr>
          <w:rFonts w:ascii="Times New Roman" w:cs="Times New Roman" w:eastAsia="Times New Roman" w:hAnsi="Times New Roman"/>
          <w:sz w:val="19"/>
          <w:szCs w:val="19"/>
          <w:color w:val="auto"/>
        </w:rPr>
      </w:pPr>
    </w:p>
    <w:p>
      <w:pPr>
        <w:ind w:left="2460" w:hanging="542"/>
        <w:spacing w:after="0"/>
        <w:tabs>
          <w:tab w:leader="none" w:pos="2460" w:val="left"/>
        </w:tabs>
        <w:numPr>
          <w:ilvl w:val="1"/>
          <w:numId w:val="2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Survival; Remedies</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left="1200" w:right="159" w:firstLine="639"/>
        <w:spacing w:after="0" w:line="280" w:lineRule="auto"/>
        <w:tabs>
          <w:tab w:leader="none" w:pos="2502"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 Your obligations under paragraphs 6, 7, 8 and 9 shall remain in full force and effect for the entire period provided therein notwithstanding the termination of your employment for any reason or the expiration of the Contract Period.</w:t>
      </w:r>
    </w:p>
    <w:p>
      <w:pPr>
        <w:sectPr>
          <w:pgSz w:w="11900" w:h="16838" w:orient="portrait"/>
          <w:cols w:equalWidth="0" w:num="1">
            <w:col w:w="10099"/>
          </w:cols>
          <w:pgMar w:left="360" w:top="183" w:right="1440"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9"/>
          <w:szCs w:val="19"/>
          <w:color w:val="auto"/>
        </w:rPr>
        <w:t>Mr. George Cheeks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of September 1, 2023</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Page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1200" w:right="159" w:firstLine="638"/>
        <w:spacing w:after="0" w:line="261" w:lineRule="auto"/>
        <w:tabs>
          <w:tab w:leader="none" w:pos="2500" w:val="left"/>
        </w:tabs>
        <w:numPr>
          <w:ilvl w:val="0"/>
          <w:numId w:val="2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Modification of Terms</w:t>
      </w:r>
      <w:r>
        <w:rPr>
          <w:rFonts w:ascii="Times New Roman" w:cs="Times New Roman" w:eastAsia="Times New Roman" w:hAnsi="Times New Roman"/>
          <w:sz w:val="19"/>
          <w:szCs w:val="19"/>
          <w:color w:val="auto"/>
        </w:rPr>
        <w:t>. You and the Company acknowledge and agree that the restrictions and remedies contained in paragraphs 6, 7, 8 and 9 are reasonable and that it is your intention and the intention of the Company that such restrictions and remedies shall be enforceable to the fullest extent permissible by law. If a court of competent jurisdiction shall find that any such restriction or remedy is unenforceable, but would be enforceable if some part were deleted or modified, then such restriction or remedy shall apply with the deletion or modification necessary to make it enforceable and shall in no way affect any other provision of this Agreement or the validity or enforceability of this Agreement.</w:t>
      </w:r>
    </w:p>
    <w:p>
      <w:pPr>
        <w:spacing w:after="0" w:line="178" w:lineRule="exact"/>
        <w:rPr>
          <w:rFonts w:ascii="Times New Roman" w:cs="Times New Roman" w:eastAsia="Times New Roman" w:hAnsi="Times New Roman"/>
          <w:sz w:val="19"/>
          <w:szCs w:val="19"/>
          <w:color w:val="auto"/>
        </w:rPr>
      </w:pPr>
    </w:p>
    <w:p>
      <w:pPr>
        <w:jc w:val="both"/>
        <w:ind w:left="1200" w:right="159" w:firstLine="639"/>
        <w:spacing w:after="0" w:line="261" w:lineRule="auto"/>
        <w:tabs>
          <w:tab w:leader="none" w:pos="2502" w:val="left"/>
        </w:tabs>
        <w:numPr>
          <w:ilvl w:val="0"/>
          <w:numId w:val="2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Injunctive Relief</w:t>
      </w:r>
      <w:r>
        <w:rPr>
          <w:rFonts w:ascii="Times New Roman" w:cs="Times New Roman" w:eastAsia="Times New Roman" w:hAnsi="Times New Roman"/>
          <w:sz w:val="19"/>
          <w:szCs w:val="19"/>
          <w:color w:val="auto"/>
        </w:rPr>
        <w:t>. The Company has entered into this Agreement in order to obtain the benefit of your unique skills, talent, and experience. You acknowledge and agree that any violation of paragraphs 6, 7, 8 and 9 shall result in irreparable damage to the Company, and, accordingly, the Company may seek injunctive and other equitable relief for any breach or threatened breach of such paragraphs, in addition to any other remedies available to the Company. To the extent permitted by applicable law, you hereby waive any right to the posting of a bond in connection with any injunction or other equitable relief sought by the Company and you agree not to seek such relief in your opposition to any application for relief the Company shall make.</w:t>
      </w:r>
    </w:p>
    <w:p>
      <w:pPr>
        <w:spacing w:after="0" w:line="178" w:lineRule="exact"/>
        <w:rPr>
          <w:rFonts w:ascii="Times New Roman" w:cs="Times New Roman" w:eastAsia="Times New Roman" w:hAnsi="Times New Roman"/>
          <w:sz w:val="19"/>
          <w:szCs w:val="19"/>
          <w:color w:val="auto"/>
        </w:rPr>
      </w:pPr>
    </w:p>
    <w:p>
      <w:pPr>
        <w:jc w:val="both"/>
        <w:ind w:left="1200" w:right="159" w:firstLine="639"/>
        <w:spacing w:after="0" w:line="258" w:lineRule="auto"/>
        <w:tabs>
          <w:tab w:leader="none" w:pos="2500" w:val="left"/>
        </w:tabs>
        <w:numPr>
          <w:ilvl w:val="0"/>
          <w:numId w:val="2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Other Remedies</w:t>
      </w:r>
      <w:r>
        <w:rPr>
          <w:rFonts w:ascii="Times New Roman" w:cs="Times New Roman" w:eastAsia="Times New Roman" w:hAnsi="Times New Roman"/>
          <w:sz w:val="19"/>
          <w:szCs w:val="19"/>
          <w:color w:val="auto"/>
        </w:rPr>
        <w:t>. In the event that you materially violate the provisions of paragraphs 6, 7, 8 or 9 at any time during the Non-Competition Period or any period in which the Company is making payments to you pursuant to this Agreement, (i) any outstanding stock options or other undistributed equity awards granted to you by the Company shall immediately be forfeited, whether vested or unvested; and (ii) the Company’s obligation to make any further payments or to provide benefits (other than Accrued Compensation and Benefits) to you pursuant to this Agreement shall terminate. The Company shall give you written notice prior to commencing any remedy under this paragraph 18(d) or, if no cure period is applicable, contemporaneous with such commencement, setting forth the nature of any alleged violation in reasonable detail and the conduct required to cure such violation. Except for a violation which, by its nature, cannot reasonably be expected to be cured, you shall have ten (10) business days from the giving of such notice within which to cure; provided, however, that, if the Company reasonably expects irreparable injury from a delay of ten (10) business days, the Company may give you notice of such shorter period within which to cure as is reasonable under the circumstances, which may include commencement of a remedy without notice and with immediate effect. The remedies under this paragraph 18 are in addition to any other remedies the Company may have against you, including under this Agreement or any other agreement, under any equity or other incentive or compensation plan or under applicable law.</w:t>
      </w:r>
    </w:p>
    <w:p>
      <w:pPr>
        <w:spacing w:after="0" w:line="200" w:lineRule="exact"/>
        <w:rPr>
          <w:rFonts w:ascii="Times New Roman" w:cs="Times New Roman" w:eastAsia="Times New Roman" w:hAnsi="Times New Roman"/>
          <w:sz w:val="19"/>
          <w:szCs w:val="19"/>
          <w:color w:val="auto"/>
        </w:rPr>
      </w:pPr>
    </w:p>
    <w:p>
      <w:pPr>
        <w:spacing w:after="0" w:line="212" w:lineRule="exact"/>
        <w:rPr>
          <w:rFonts w:ascii="Times New Roman" w:cs="Times New Roman" w:eastAsia="Times New Roman" w:hAnsi="Times New Roman"/>
          <w:sz w:val="19"/>
          <w:szCs w:val="19"/>
          <w:color w:val="auto"/>
        </w:rPr>
      </w:pPr>
    </w:p>
    <w:p>
      <w:pPr>
        <w:ind w:left="2460" w:hanging="542"/>
        <w:spacing w:after="0"/>
        <w:tabs>
          <w:tab w:leader="none" w:pos="2460" w:val="left"/>
        </w:tabs>
        <w:numPr>
          <w:ilvl w:val="1"/>
          <w:numId w:val="2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 Provisions</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jc w:val="both"/>
        <w:ind w:left="1200" w:right="159" w:firstLine="639"/>
        <w:spacing w:after="0" w:line="258" w:lineRule="auto"/>
        <w:tabs>
          <w:tab w:leader="none" w:pos="2502" w:val="left"/>
        </w:tabs>
        <w:numPr>
          <w:ilvl w:val="0"/>
          <w:numId w:val="2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Deductions and Withholdings</w:t>
      </w:r>
      <w:r>
        <w:rPr>
          <w:rFonts w:ascii="Times New Roman" w:cs="Times New Roman" w:eastAsia="Times New Roman" w:hAnsi="Times New Roman"/>
          <w:sz w:val="19"/>
          <w:szCs w:val="19"/>
          <w:color w:val="auto"/>
        </w:rPr>
        <w:t>. In the event of the termination of your employment for any reason, the Company reserves the right, to the extent permitted by law and in addition to any other remedy the Company may have, to deduct from any monies that are otherwise payable to you</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and that do not constitute deferred compensation within the meaning of Section 409A of the Code, the regulations promulgated thereunder or any related guidance issued by the U.S. Treasury Department (“</w:t>
      </w: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all monies and the replacement value of any property you may owe to the Company at the time of or subsequent to the termination of your employment with the Company</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The Company shall not make any such deduction from any amount that constitutes deferred compensation for purposes of Section 409A. To the extent any law requires an employee’s consent to the offset provided in this paragraph and permits such consent to be obtained in advance, this Agreement shall be deemed to provide the required consent. Except as otherwise expressly provided in this Agreement or in any Company benefit plan, all amounts payable under this Agreement shall be paid in accordance with the Company’s ordinary payroll</w:t>
      </w:r>
    </w:p>
    <w:p>
      <w:pPr>
        <w:sectPr>
          <w:pgSz w:w="11900" w:h="16838" w:orient="portrait"/>
          <w:cols w:equalWidth="0" w:num="1">
            <w:col w:w="10099"/>
          </w:cols>
          <w:pgMar w:left="360" w:top="183" w:right="1440"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9"/>
          <w:szCs w:val="19"/>
          <w:color w:val="auto"/>
        </w:rPr>
        <w:t>Mr. George Cheeks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of September 1, 2023</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Page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1200" w:right="159"/>
        <w:spacing w:after="0" w:line="264" w:lineRule="auto"/>
        <w:rPr>
          <w:sz w:val="20"/>
          <w:szCs w:val="20"/>
          <w:color w:val="auto"/>
        </w:rPr>
      </w:pPr>
      <w:r>
        <w:rPr>
          <w:rFonts w:ascii="Times New Roman" w:cs="Times New Roman" w:eastAsia="Times New Roman" w:hAnsi="Times New Roman"/>
          <w:sz w:val="19"/>
          <w:szCs w:val="19"/>
          <w:color w:val="auto"/>
        </w:rPr>
        <w:t>practices less deductions and income and payroll tax withholding as may be required under applicable law. Any property (including shares of Class B Common Stock), benefits and perquisites provided to you under this Agreement, including, without limitation, COBRA payments made on your behalf, shall be taxable to you as provided by law.</w:t>
      </w:r>
    </w:p>
    <w:p>
      <w:pPr>
        <w:spacing w:after="0" w:line="178" w:lineRule="exact"/>
        <w:rPr>
          <w:sz w:val="20"/>
          <w:szCs w:val="20"/>
          <w:color w:val="auto"/>
        </w:rPr>
      </w:pPr>
    </w:p>
    <w:p>
      <w:pPr>
        <w:jc w:val="both"/>
        <w:ind w:left="1200" w:right="159" w:firstLine="638"/>
        <w:spacing w:after="0" w:line="259" w:lineRule="auto"/>
        <w:tabs>
          <w:tab w:leader="none" w:pos="2500" w:val="left"/>
        </w:tabs>
        <w:numPr>
          <w:ilvl w:val="0"/>
          <w:numId w:val="2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Cash and Equity Awards Modifications</w:t>
      </w:r>
      <w:r>
        <w:rPr>
          <w:rFonts w:ascii="Times New Roman" w:cs="Times New Roman" w:eastAsia="Times New Roman" w:hAnsi="Times New Roman"/>
          <w:sz w:val="19"/>
          <w:szCs w:val="19"/>
          <w:color w:val="auto"/>
        </w:rPr>
        <w:t>. Notwithstanding any other provisions of this Agreement to the contrary, the Company reserves the right to modify or amend unilaterally the terms and conditions of your cash compensation, stock option awards or other equity awards, without first asking your consent, to the extent that the Company considers such modification or amendment necessary or advisable to comply with any law, regulation, ruling, judicial decision, accounting standard, regulatory guidance or other legal requirement (the “</w:t>
      </w:r>
      <w:r>
        <w:rPr>
          <w:rFonts w:ascii="Times New Roman" w:cs="Times New Roman" w:eastAsia="Times New Roman" w:hAnsi="Times New Roman"/>
          <w:sz w:val="19"/>
          <w:szCs w:val="19"/>
          <w:u w:val="single" w:color="auto"/>
          <w:color w:val="auto"/>
        </w:rPr>
        <w:t>Legal Requirement</w:t>
      </w:r>
      <w:r>
        <w:rPr>
          <w:rFonts w:ascii="Times New Roman" w:cs="Times New Roman" w:eastAsia="Times New Roman" w:hAnsi="Times New Roman"/>
          <w:sz w:val="19"/>
          <w:szCs w:val="19"/>
          <w:color w:val="auto"/>
        </w:rPr>
        <w:t>”) applicable to such cash compensation, stock option awards or other equity awards, provided that, except where necessary to comply with law, such amendment does not have a material adverse effect on the value of such compensation award to you. In addition, the Company may, without your consent, amend or modify your cash compensation, stock option awards or other equity awards in any manner that the Company considers necessary or advisable to ensure that such cash compensation, stock option awards or other equity awards are not subject to United States federal income tax, state or local income tax or any equivalent taxes in territories outside the United States prior to payment, exercise, vesting or settlement, as applicable, or any tax, interest or penalties pursuant to Section 409A, but shall endeavor to maintain the original intent and economic benefit of such compensation or award.</w:t>
      </w:r>
    </w:p>
    <w:p>
      <w:pPr>
        <w:spacing w:after="0" w:line="170" w:lineRule="exact"/>
        <w:rPr>
          <w:rFonts w:ascii="Times New Roman" w:cs="Times New Roman" w:eastAsia="Times New Roman" w:hAnsi="Times New Roman"/>
          <w:sz w:val="19"/>
          <w:szCs w:val="19"/>
          <w:color w:val="auto"/>
        </w:rPr>
      </w:pPr>
    </w:p>
    <w:p>
      <w:pPr>
        <w:ind w:left="2520" w:hanging="681"/>
        <w:spacing w:after="0"/>
        <w:tabs>
          <w:tab w:leader="none" w:pos="2520" w:val="left"/>
        </w:tabs>
        <w:numPr>
          <w:ilvl w:val="0"/>
          <w:numId w:val="2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409A Provisions</w:t>
      </w:r>
      <w:r>
        <w:rPr>
          <w:rFonts w:ascii="Times New Roman" w:cs="Times New Roman" w:eastAsia="Times New Roman" w:hAnsi="Times New Roman"/>
          <w:sz w:val="19"/>
          <w:szCs w:val="19"/>
          <w:color w:val="auto"/>
        </w:rPr>
        <w:t>.</w:t>
      </w:r>
    </w:p>
    <w:p>
      <w:pPr>
        <w:spacing w:after="0" w:line="232" w:lineRule="exact"/>
        <w:rPr>
          <w:rFonts w:ascii="Times New Roman" w:cs="Times New Roman" w:eastAsia="Times New Roman" w:hAnsi="Times New Roman"/>
          <w:sz w:val="19"/>
          <w:szCs w:val="19"/>
          <w:color w:val="auto"/>
        </w:rPr>
      </w:pPr>
    </w:p>
    <w:p>
      <w:pPr>
        <w:jc w:val="both"/>
        <w:ind w:left="3120" w:right="159" w:hanging="646"/>
        <w:spacing w:after="0" w:line="263" w:lineRule="auto"/>
        <w:tabs>
          <w:tab w:leader="none" w:pos="3117" w:val="left"/>
        </w:tabs>
        <w:numPr>
          <w:ilvl w:val="1"/>
          <w:numId w:val="2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may, without your consent, amend any provision of this Agreement to the extent that, in the reasonable judgment of the Company, such amendment is necessary or advisable to avoid the imposition on you of any tax, interest or penalties pursuant to Section 409A or otherwise to make this Agreement enforceable. Any such amendment shall maintain, to the maximum extent practicable, the original intent and economic benefit to you of the applicable provision.</w:t>
      </w:r>
    </w:p>
    <w:p>
      <w:pPr>
        <w:spacing w:after="0" w:line="166" w:lineRule="exact"/>
        <w:rPr>
          <w:rFonts w:ascii="Times New Roman" w:cs="Times New Roman" w:eastAsia="Times New Roman" w:hAnsi="Times New Roman"/>
          <w:sz w:val="19"/>
          <w:szCs w:val="19"/>
          <w:color w:val="auto"/>
        </w:rPr>
      </w:pPr>
    </w:p>
    <w:p>
      <w:pPr>
        <w:jc w:val="both"/>
        <w:ind w:left="3100" w:right="159" w:hanging="626"/>
        <w:spacing w:after="0" w:line="258" w:lineRule="auto"/>
        <w:tabs>
          <w:tab w:leader="none" w:pos="3099" w:val="left"/>
        </w:tabs>
        <w:numPr>
          <w:ilvl w:val="1"/>
          <w:numId w:val="2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is the intention and understanding of the parties that all amounts and benefits to which you become entitled under this Agreement will be paid or provided to you pursuant to a fixed schedule within the meaning of Section 409A. Notwithstanding such intention and understanding, in the event that you are a specified employee as determined by the Company (a “</w:t>
      </w:r>
      <w:r>
        <w:rPr>
          <w:rFonts w:ascii="Times New Roman" w:cs="Times New Roman" w:eastAsia="Times New Roman" w:hAnsi="Times New Roman"/>
          <w:sz w:val="19"/>
          <w:szCs w:val="19"/>
          <w:u w:val="single" w:color="auto"/>
          <w:color w:val="auto"/>
        </w:rPr>
        <w:t>Specified Employee</w:t>
      </w:r>
      <w:r>
        <w:rPr>
          <w:rFonts w:ascii="Times New Roman" w:cs="Times New Roman" w:eastAsia="Times New Roman" w:hAnsi="Times New Roman"/>
          <w:sz w:val="19"/>
          <w:szCs w:val="19"/>
          <w:color w:val="auto"/>
        </w:rPr>
        <w:t xml:space="preserve">”) at the time of your Separation from Service (as defined below), then to the extent that any amount or benefit owed to you under this Agreement (x) constitutes an amount of deferred compensation for purposes of Section 409A and (y) is considered for purposes of Section 409A to be owed to you by virtue of your Separation from Service, then such amount or benefit shall not be paid or provided during the six (6) month period following the date of your Separation from Service and instead shall be paid or provided on the first day of the seventh month following your date of Separation from Service;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such delay shall apply only to the extent that such payments and benefits, in the aggregate, exceed the lesser of an amount equal to (x) two (2) times your annualized compensation (as determined under the Code Section 409A regulations) and (y) two (2) times the applicable Code Section 401(a)(17) annual compensation limit for the year in which your termination occurs;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further</w:t>
      </w:r>
      <w:r>
        <w:rPr>
          <w:rFonts w:ascii="Times New Roman" w:cs="Times New Roman" w:eastAsia="Times New Roman" w:hAnsi="Times New Roman"/>
          <w:sz w:val="19"/>
          <w:szCs w:val="19"/>
          <w:color w:val="auto"/>
        </w:rPr>
        <w:t>, that any payments made during such six (6) month period shall first be</w:t>
      </w:r>
    </w:p>
    <w:p>
      <w:pPr>
        <w:sectPr>
          <w:pgSz w:w="11900" w:h="16838" w:orient="portrait"/>
          <w:cols w:equalWidth="0" w:num="1">
            <w:col w:w="10099"/>
          </w:cols>
          <w:pgMar w:left="360" w:top="183" w:right="1440"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9"/>
          <w:szCs w:val="19"/>
          <w:color w:val="auto"/>
        </w:rPr>
        <w:t>Mr. George Cheeks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of September 1, 2023</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Page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3120" w:right="159"/>
        <w:spacing w:after="0" w:line="273" w:lineRule="auto"/>
        <w:rPr>
          <w:sz w:val="20"/>
          <w:szCs w:val="20"/>
          <w:color w:val="auto"/>
        </w:rPr>
      </w:pPr>
      <w:r>
        <w:rPr>
          <w:rFonts w:ascii="Times New Roman" w:cs="Times New Roman" w:eastAsia="Times New Roman" w:hAnsi="Times New Roman"/>
          <w:sz w:val="19"/>
          <w:szCs w:val="19"/>
          <w:color w:val="auto"/>
        </w:rPr>
        <w:t>made to cover all costs relating to medical, dental and life insurance coverage to which you are entitled under this Agreement and thereafter shall be made in respect of other amounts or benefits owed to you.</w:t>
      </w:r>
    </w:p>
    <w:p>
      <w:pPr>
        <w:spacing w:after="0" w:line="155" w:lineRule="exact"/>
        <w:rPr>
          <w:sz w:val="20"/>
          <w:szCs w:val="20"/>
          <w:color w:val="auto"/>
        </w:rPr>
      </w:pPr>
    </w:p>
    <w:p>
      <w:pPr>
        <w:jc w:val="both"/>
        <w:ind w:left="3120" w:right="159" w:hanging="645"/>
        <w:spacing w:after="0" w:line="260" w:lineRule="auto"/>
        <w:tabs>
          <w:tab w:leader="none" w:pos="3120" w:val="left"/>
        </w:tabs>
        <w:numPr>
          <w:ilvl w:val="1"/>
          <w:numId w:val="2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used herein, “</w:t>
      </w:r>
      <w:r>
        <w:rPr>
          <w:rFonts w:ascii="Times New Roman" w:cs="Times New Roman" w:eastAsia="Times New Roman" w:hAnsi="Times New Roman"/>
          <w:sz w:val="19"/>
          <w:szCs w:val="19"/>
          <w:u w:val="single" w:color="auto"/>
          <w:color w:val="auto"/>
        </w:rPr>
        <w:t>Separation from Service</w:t>
      </w:r>
      <w:r>
        <w:rPr>
          <w:rFonts w:ascii="Times New Roman" w:cs="Times New Roman" w:eastAsia="Times New Roman" w:hAnsi="Times New Roman"/>
          <w:sz w:val="19"/>
          <w:szCs w:val="19"/>
          <w:color w:val="auto"/>
        </w:rPr>
        <w:t>” shall mean either (i) the termination of your employment with the Company and its affiliates, provided that such termination of employment meets the requirements of a separation of service determined using the default provisions set forth in Treasury Regulation §1.409A-(1)(h) or the successor provision thereto or (ii) such other date that constitutes a separation from service with the Company and its affiliates meeting the requirements of the default provisions set forth in Treasury Regulation §1.409A-(1)(h) or the successor provision thereto. For purposes of this definition, "affiliate" means any corporation that is in the same controlled group of corporations (within the meaning of Code Section 414(b)) as the Company and any trade or business that is under common control with the Company (within the meaning of Code Section 414(c)), determined in accordance with the default provision set forth in Treasury Regulation §1.409A-(1)(h)(3).</w:t>
      </w:r>
    </w:p>
    <w:p>
      <w:pPr>
        <w:spacing w:after="0" w:line="167" w:lineRule="exact"/>
        <w:rPr>
          <w:rFonts w:ascii="Times New Roman" w:cs="Times New Roman" w:eastAsia="Times New Roman" w:hAnsi="Times New Roman"/>
          <w:sz w:val="19"/>
          <w:szCs w:val="19"/>
          <w:color w:val="auto"/>
        </w:rPr>
      </w:pPr>
    </w:p>
    <w:p>
      <w:pPr>
        <w:jc w:val="both"/>
        <w:ind w:left="3120" w:right="159" w:hanging="646"/>
        <w:spacing w:after="0" w:line="263" w:lineRule="auto"/>
        <w:tabs>
          <w:tab w:leader="none" w:pos="3108" w:val="left"/>
        </w:tabs>
        <w:numPr>
          <w:ilvl w:val="1"/>
          <w:numId w:val="2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under any provision of this Agreement you become entitled to be paid Salary continuation, then each payment of Salary during the relevant continuation period shall be considered, and is hereby designated as, a separate payment for purposes of Section 409A (and consequently your entitlement to such Salary continuation shall not be considered an entitlement to a single payment of the aggregate amount to be paid during the relevant continuation period).</w:t>
      </w:r>
    </w:p>
    <w:p>
      <w:pPr>
        <w:spacing w:after="0" w:line="180" w:lineRule="exact"/>
        <w:rPr>
          <w:rFonts w:ascii="Times New Roman" w:cs="Times New Roman" w:eastAsia="Times New Roman" w:hAnsi="Times New Roman"/>
          <w:sz w:val="19"/>
          <w:szCs w:val="19"/>
          <w:color w:val="auto"/>
        </w:rPr>
      </w:pPr>
    </w:p>
    <w:p>
      <w:pPr>
        <w:jc w:val="both"/>
        <w:ind w:left="1200" w:right="159" w:firstLine="638"/>
        <w:spacing w:after="0" w:line="263" w:lineRule="auto"/>
        <w:tabs>
          <w:tab w:leader="none" w:pos="2500" w:val="left"/>
        </w:tabs>
        <w:numPr>
          <w:ilvl w:val="0"/>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Duplicative Payments</w:t>
      </w:r>
      <w:r>
        <w:rPr>
          <w:rFonts w:ascii="Times New Roman" w:cs="Times New Roman" w:eastAsia="Times New Roman" w:hAnsi="Times New Roman"/>
          <w:sz w:val="19"/>
          <w:szCs w:val="19"/>
          <w:color w:val="auto"/>
        </w:rPr>
        <w:t>. The payments and benefits provided in this Agreement in respect to the termination of employment and non-renewal of this Agreement are in lieu of any other salary, bonus or benefits payable by the Company, including, without limitation, any severance or income continuation or protection under any Company plan that may now or hereafter exist. All such payments and benefits shall constitute liquidated damages, paid in full and final settlement of all obligations of the Company to you under this Agreement.</w:t>
      </w:r>
    </w:p>
    <w:p>
      <w:pPr>
        <w:spacing w:after="0" w:line="166" w:lineRule="exact"/>
        <w:rPr>
          <w:rFonts w:ascii="Times New Roman" w:cs="Times New Roman" w:eastAsia="Times New Roman" w:hAnsi="Times New Roman"/>
          <w:sz w:val="19"/>
          <w:szCs w:val="19"/>
          <w:color w:val="auto"/>
        </w:rPr>
      </w:pPr>
    </w:p>
    <w:p>
      <w:pPr>
        <w:ind w:left="2460" w:hanging="621"/>
        <w:spacing w:after="0"/>
        <w:tabs>
          <w:tab w:leader="none" w:pos="2460" w:val="left"/>
        </w:tabs>
        <w:numPr>
          <w:ilvl w:val="0"/>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 of Bonus Compensation</w:t>
      </w:r>
      <w:r>
        <w:rPr>
          <w:rFonts w:ascii="Times New Roman" w:cs="Times New Roman" w:eastAsia="Times New Roman" w:hAnsi="Times New Roman"/>
          <w:sz w:val="19"/>
          <w:szCs w:val="19"/>
          <w:color w:val="auto"/>
        </w:rPr>
        <w:t>.</w:t>
      </w:r>
    </w:p>
    <w:p>
      <w:pPr>
        <w:spacing w:after="0" w:line="232" w:lineRule="exact"/>
        <w:rPr>
          <w:rFonts w:ascii="Times New Roman" w:cs="Times New Roman" w:eastAsia="Times New Roman" w:hAnsi="Times New Roman"/>
          <w:sz w:val="19"/>
          <w:szCs w:val="19"/>
          <w:color w:val="auto"/>
        </w:rPr>
      </w:pPr>
    </w:p>
    <w:p>
      <w:pPr>
        <w:ind w:left="3120" w:right="159" w:hanging="646"/>
        <w:spacing w:after="0" w:line="296" w:lineRule="auto"/>
        <w:tabs>
          <w:tab w:leader="none" w:pos="3117" w:val="left"/>
        </w:tabs>
        <w:numPr>
          <w:ilvl w:val="1"/>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Bonus for any Company fiscal year under this Agreement shall be paid by March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of the following year.</w:t>
      </w:r>
    </w:p>
    <w:p>
      <w:pPr>
        <w:spacing w:after="0" w:line="51" w:lineRule="exact"/>
        <w:rPr>
          <w:rFonts w:ascii="Times New Roman" w:cs="Times New Roman" w:eastAsia="Times New Roman" w:hAnsi="Times New Roman"/>
          <w:sz w:val="19"/>
          <w:szCs w:val="19"/>
          <w:color w:val="auto"/>
        </w:rPr>
      </w:pPr>
    </w:p>
    <w:p>
      <w:pPr>
        <w:jc w:val="both"/>
        <w:ind w:left="3100" w:right="159" w:hanging="626"/>
        <w:spacing w:after="0" w:line="261" w:lineRule="auto"/>
        <w:tabs>
          <w:tab w:leader="none" w:pos="3099" w:val="left"/>
        </w:tabs>
        <w:numPr>
          <w:ilvl w:val="1"/>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otherwise expressly provided in this Agreement, your Bonus shall be prorated (x) to apply only to that part of the Company’s fiscal year which falls within the Contract Period and (y) to the extent the Company's fiscal year is less than a 12-month fiscal year (a “Pro-Rated Bonus”). Following expiration of the Contract Period, you shall receive a Pro-Rated Bonus for the period of the Company’s fiscal year which falls within the Contract Period only (x) in the event that the Company terminates your employment without Cause prior to the date on which employees of the Company become entitled to Bonus under the STIP, (y) as provided in paragraph 11(b)(ii) or (z) as provided in the STIP. Notwithstanding the foregoing, your 2020 STIP shall not be prorated even though the Effective Date is after January 1, 2020.</w:t>
      </w:r>
    </w:p>
    <w:p>
      <w:pPr>
        <w:sectPr>
          <w:pgSz w:w="11900" w:h="16838" w:orient="portrait"/>
          <w:cols w:equalWidth="0" w:num="1">
            <w:col w:w="10099"/>
          </w:cols>
          <w:pgMar w:left="360" w:top="183" w:right="1440"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9"/>
          <w:szCs w:val="19"/>
          <w:color w:val="auto"/>
        </w:rPr>
        <w:t>Mr. George Cheeks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of September 1, 2023</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Page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3100" w:right="159" w:hanging="626"/>
        <w:spacing w:after="0" w:line="280" w:lineRule="auto"/>
        <w:tabs>
          <w:tab w:leader="none" w:pos="3100" w:val="left"/>
        </w:tabs>
        <w:numPr>
          <w:ilvl w:val="3"/>
          <w:numId w:val="2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Bonus or Pro-Rated Bonus payable pursuant to paragraphs 11, 13 or 14 shall be paid at the lesser of (x) your Target Bonus amount or (y) your Target Bonus amount, adjusted based on the Company Performance Factor for the relevant year.</w:t>
      </w:r>
    </w:p>
    <w:p>
      <w:pPr>
        <w:spacing w:after="0" w:line="149" w:lineRule="exact"/>
        <w:rPr>
          <w:rFonts w:ascii="Times New Roman" w:cs="Times New Roman" w:eastAsia="Times New Roman" w:hAnsi="Times New Roman"/>
          <w:sz w:val="19"/>
          <w:szCs w:val="19"/>
          <w:color w:val="auto"/>
        </w:rPr>
      </w:pPr>
    </w:p>
    <w:p>
      <w:pPr>
        <w:jc w:val="both"/>
        <w:ind w:left="1200" w:right="159" w:firstLine="639"/>
        <w:spacing w:after="0" w:line="261" w:lineRule="auto"/>
        <w:tabs>
          <w:tab w:leader="none" w:pos="2507" w:val="left"/>
        </w:tabs>
        <w:numPr>
          <w:ilvl w:val="1"/>
          <w:numId w:val="2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Parachute Payment Adjustments</w:t>
      </w:r>
      <w:r>
        <w:rPr>
          <w:rFonts w:ascii="Times New Roman" w:cs="Times New Roman" w:eastAsia="Times New Roman" w:hAnsi="Times New Roman"/>
          <w:sz w:val="19"/>
          <w:szCs w:val="19"/>
          <w:color w:val="auto"/>
        </w:rPr>
        <w:t>. Notwithstanding anything herein to the contrary, in the event that you receive any payments or distributions, whether payable or distributed or distributable pursuant to the terms of this Agreement or otherwise, that constitute “parachute payments” within the meaning of Section 280G of the Code, and the net after-tax amount of the parachute payment is less than the net after-tax amount if the aggregate payment to be made to you were three times your “base amount” (as defined in Section 280G(b)(3) of the Code) less $1.00, then the aggregate of the amounts constituting the parachute payment shall be reduced to an amount that shall equal three times your base amount, less $1.00. The determinations to be made with respect to this paragraph 19(f) shall be made by a certified public accounting firm designated by the Company and reasonably acceptable to you.</w:t>
      </w:r>
    </w:p>
    <w:p>
      <w:pPr>
        <w:spacing w:after="0" w:line="180" w:lineRule="exact"/>
        <w:rPr>
          <w:rFonts w:ascii="Times New Roman" w:cs="Times New Roman" w:eastAsia="Times New Roman" w:hAnsi="Times New Roman"/>
          <w:sz w:val="19"/>
          <w:szCs w:val="19"/>
          <w:color w:val="auto"/>
        </w:rPr>
      </w:pPr>
    </w:p>
    <w:p>
      <w:pPr>
        <w:jc w:val="both"/>
        <w:ind w:left="1200" w:right="159" w:firstLine="639"/>
        <w:spacing w:after="0" w:line="258" w:lineRule="auto"/>
        <w:tabs>
          <w:tab w:leader="none" w:pos="2500" w:val="left"/>
        </w:tabs>
        <w:numPr>
          <w:ilvl w:val="1"/>
          <w:numId w:val="2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Adjustments to Bonuses and Long-Term Incentive Compensation</w:t>
      </w:r>
      <w:r>
        <w:rPr>
          <w:rFonts w:ascii="Times New Roman" w:cs="Times New Roman" w:eastAsia="Times New Roman" w:hAnsi="Times New Roman"/>
          <w:sz w:val="19"/>
          <w:szCs w:val="19"/>
          <w:color w:val="auto"/>
        </w:rPr>
        <w:t>. Notwithstanding anything herein to the contrary, the Company shall be entitled to adjust the amount of any Bonus or any award of long-term incentive compensation if the financial statements of Paramount or the business unit on which the calculation or determination of the Bonus or award of long-term incentive compensation were based are subsequently restated and, in the judgment of Paramount, the financial statements as so restated would have resulted in a smaller Bonus or long-term incentive compensation award if such information had been known at the time the Bonus or award had originally been calculated or determined. In addition, in the event of such a restatement: (i) the Company may require you, and you agree, to repay to the Company the amount by which the Bonus as originally calculated or determined exceeds the Bonus as adjusted pursuant to the preceding sentence; and (ii) the Company may cancel, without any payment therefor, the portion of any award of long-term incentive compensation that exceeds the award adjusted pursuant to the preceding sentence (or, if such portion of an award cannot be canceled because (x) in the case of stock options or other similar awards, you have previously exercised it, the Company may require you, and you agree, to repay to the Company the amount, net of any exercise price, that you realized upon exercise or (y) in the case of restricted share units or other similar awards, shares of Class B Common Stock were delivered to you in settlement of such award, the Company may require you, and you agree to return the shares of Class B Common Stock, or if such shares were sold by you, return any proceeds realized on the sale of such shares).</w:t>
      </w:r>
    </w:p>
    <w:p>
      <w:pPr>
        <w:spacing w:after="0" w:line="200" w:lineRule="exact"/>
        <w:rPr>
          <w:rFonts w:ascii="Times New Roman" w:cs="Times New Roman" w:eastAsia="Times New Roman" w:hAnsi="Times New Roman"/>
          <w:sz w:val="19"/>
          <w:szCs w:val="19"/>
          <w:color w:val="auto"/>
        </w:rPr>
      </w:pPr>
    </w:p>
    <w:p>
      <w:pPr>
        <w:spacing w:after="0" w:line="215" w:lineRule="exact"/>
        <w:rPr>
          <w:rFonts w:ascii="Times New Roman" w:cs="Times New Roman" w:eastAsia="Times New Roman" w:hAnsi="Times New Roman"/>
          <w:sz w:val="19"/>
          <w:szCs w:val="19"/>
          <w:color w:val="auto"/>
        </w:rPr>
      </w:pPr>
    </w:p>
    <w:p>
      <w:pPr>
        <w:jc w:val="both"/>
        <w:ind w:left="1200" w:right="159" w:firstLine="639"/>
        <w:spacing w:after="0" w:line="261" w:lineRule="auto"/>
        <w:tabs>
          <w:tab w:leader="none" w:pos="2500" w:val="left"/>
        </w:tabs>
        <w:numPr>
          <w:ilvl w:val="1"/>
          <w:numId w:val="2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Mediation</w:t>
      </w:r>
      <w:r>
        <w:rPr>
          <w:rFonts w:ascii="Times New Roman" w:cs="Times New Roman" w:eastAsia="Times New Roman" w:hAnsi="Times New Roman"/>
          <w:sz w:val="19"/>
          <w:szCs w:val="19"/>
          <w:color w:val="auto"/>
        </w:rPr>
        <w:t>. Prior to the commencement of any legal proceeding relating to your employment, you and the Company agree to attempt to mediate the dispute using a professional mediator from JAMS, The Resolution Experts (“JAMS”) or the International Institute for Conflict Prevention and Resolution (“CPR”). Within a period of 30 days after a written request for mediation by either you or the Company, the parties agree to convene with the mediator, for at least one session to attempt to resolve the matter. In no event will mediation delay commencement of any legal proceeding for more than 30 days absent agreement of the parties or prevent a bona fide application by either party to a court of competent jurisdiction for emergency relief. The fees of the mediator and of the JAMS or CPR, as the case may be, shall be borne by the Company.</w:t>
      </w:r>
    </w:p>
    <w:p>
      <w:pPr>
        <w:spacing w:after="0" w:line="174" w:lineRule="exact"/>
        <w:rPr>
          <w:rFonts w:ascii="Times New Roman" w:cs="Times New Roman" w:eastAsia="Times New Roman" w:hAnsi="Times New Roman"/>
          <w:sz w:val="19"/>
          <w:szCs w:val="19"/>
          <w:color w:val="auto"/>
        </w:rPr>
      </w:pPr>
    </w:p>
    <w:p>
      <w:pPr>
        <w:ind w:left="2460" w:hanging="542"/>
        <w:spacing w:after="0"/>
        <w:tabs>
          <w:tab w:leader="none" w:pos="2460" w:val="left"/>
        </w:tabs>
        <w:numPr>
          <w:ilvl w:val="2"/>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w:t>
      </w:r>
    </w:p>
    <w:p>
      <w:pPr>
        <w:spacing w:after="0" w:line="226" w:lineRule="exact"/>
        <w:rPr>
          <w:rFonts w:ascii="Times New Roman" w:cs="Times New Roman" w:eastAsia="Times New Roman" w:hAnsi="Times New Roman"/>
          <w:sz w:val="21"/>
          <w:szCs w:val="21"/>
          <w:color w:val="auto"/>
        </w:rPr>
      </w:pPr>
    </w:p>
    <w:p>
      <w:pPr>
        <w:jc w:val="both"/>
        <w:ind w:left="1200" w:right="179" w:firstLine="638"/>
        <w:spacing w:after="0" w:line="264" w:lineRule="auto"/>
        <w:tabs>
          <w:tab w:leader="none" w:pos="2502" w:val="left"/>
        </w:tabs>
        <w:numPr>
          <w:ilvl w:val="1"/>
          <w:numId w:val="2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you are made a party, are threatened to be made a party to, or otherwise receive any other legal process in, any action, suit or proceeding, whether civil, criminal, administrative or investigative (a “</w:t>
      </w:r>
      <w:r>
        <w:rPr>
          <w:rFonts w:ascii="Times New Roman" w:cs="Times New Roman" w:eastAsia="Times New Roman" w:hAnsi="Times New Roman"/>
          <w:sz w:val="19"/>
          <w:szCs w:val="19"/>
          <w:u w:val="single" w:color="auto"/>
          <w:color w:val="auto"/>
        </w:rPr>
        <w:t>Proceeding</w:t>
      </w:r>
      <w:r>
        <w:rPr>
          <w:rFonts w:ascii="Times New Roman" w:cs="Times New Roman" w:eastAsia="Times New Roman" w:hAnsi="Times New Roman"/>
          <w:sz w:val="19"/>
          <w:szCs w:val="19"/>
          <w:color w:val="auto"/>
        </w:rPr>
        <w:t>”), by reason (in whole or in part) of the fact that you are or were a director, officer or employee of the Company or are or were serving at the request of the Company as a director,</w:t>
      </w:r>
    </w:p>
    <w:p>
      <w:pPr>
        <w:sectPr>
          <w:pgSz w:w="11900" w:h="16838" w:orient="portrait"/>
          <w:cols w:equalWidth="0" w:num="1">
            <w:col w:w="10099"/>
          </w:cols>
          <w:pgMar w:left="360" w:top="183" w:right="1440"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9"/>
          <w:szCs w:val="19"/>
          <w:color w:val="auto"/>
        </w:rPr>
        <w:t>Mr. George Cheeks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of September 1, 2023</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Page 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200" w:right="159"/>
        <w:spacing w:after="0" w:line="259" w:lineRule="auto"/>
        <w:rPr>
          <w:sz w:val="20"/>
          <w:szCs w:val="20"/>
          <w:color w:val="auto"/>
        </w:rPr>
      </w:pPr>
      <w:r>
        <w:rPr>
          <w:rFonts w:ascii="Times New Roman" w:cs="Times New Roman" w:eastAsia="Times New Roman" w:hAnsi="Times New Roman"/>
          <w:sz w:val="19"/>
          <w:szCs w:val="19"/>
          <w:color w:val="auto"/>
        </w:rPr>
        <w:t>officer, member, employee or agent of another corporation, partnership, joint venture, trust or other enterprise, including service with respect to employee benefit plans, whether or not the basis of such Proceeding is your alleged action in an official capacity while serving as director, officer, member, employee or agent, the Company shall indemnify you and hold you harmless to the fullest extent permitted or authorized by the Company’s certificate of incorporation and bylaws or, if greater, by the laws of the State of Delaware, against all cost, expense, liability and loss (including without limitation, attorney’s fees, judgments, fines, ERISA excise taxes or penalties and amounts paid or to be paid in settlement and any cost and fees incurred in enforcing your rights to indemnification or contribution) reasonably incurred or suffered by you in connection therewith, and such indemnification shall continue even though you have ceased to be a director, member, employee or agent of the Company or other entity and shall inure to the benefit of your heirs, executors and administrators. The Company shall pay directly or reimburse you for all reasonable costs and expenses that you incur in connection with a Proceeding within twenty (20) days after its receipt of a written request for such payment and/or reimbursement. Such request shall include an undertaking by you to repay the amount of such payment or reimbursement if it shall ultimately be determined that you are not entitled to be indemnified against such costs and expenses.</w:t>
      </w:r>
    </w:p>
    <w:p>
      <w:pPr>
        <w:spacing w:after="0" w:line="200" w:lineRule="exact"/>
        <w:rPr>
          <w:sz w:val="20"/>
          <w:szCs w:val="20"/>
          <w:color w:val="auto"/>
        </w:rPr>
      </w:pPr>
    </w:p>
    <w:p>
      <w:pPr>
        <w:spacing w:after="0" w:line="209" w:lineRule="exact"/>
        <w:rPr>
          <w:sz w:val="20"/>
          <w:szCs w:val="20"/>
          <w:color w:val="auto"/>
        </w:rPr>
      </w:pPr>
    </w:p>
    <w:p>
      <w:pPr>
        <w:jc w:val="both"/>
        <w:ind w:left="1200" w:right="159" w:firstLine="638"/>
        <w:spacing w:after="0" w:line="267" w:lineRule="auto"/>
        <w:tabs>
          <w:tab w:leader="none" w:pos="2500" w:val="left"/>
        </w:tabs>
        <w:numPr>
          <w:ilvl w:val="0"/>
          <w:numId w:val="2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failure of the Company (including its board of directors, independent legal counsel or stockholders) to have made a determination that indemnification of you is proper because you have met the applicable standard of conduct, nor a determination by the Company (including its board of directors, independent legal counsel or stockholders) that you have not met such applicable standard of conduct, shall create a presumption or inference that you have not met the applicable standard of conduct.</w:t>
      </w:r>
    </w:p>
    <w:p>
      <w:pPr>
        <w:spacing w:after="0" w:line="162" w:lineRule="exact"/>
        <w:rPr>
          <w:rFonts w:ascii="Times New Roman" w:cs="Times New Roman" w:eastAsia="Times New Roman" w:hAnsi="Times New Roman"/>
          <w:sz w:val="19"/>
          <w:szCs w:val="19"/>
          <w:color w:val="auto"/>
        </w:rPr>
      </w:pPr>
    </w:p>
    <w:p>
      <w:pPr>
        <w:ind w:left="1200" w:right="179" w:firstLine="638"/>
        <w:spacing w:after="0" w:line="300" w:lineRule="auto"/>
        <w:tabs>
          <w:tab w:leader="none" w:pos="2502" w:val="left"/>
        </w:tabs>
        <w:numPr>
          <w:ilvl w:val="0"/>
          <w:numId w:val="2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that the Company maintains officers’ and directors’ liability insurance, you will be covered under such policy subject to the exclusions and limitations set forth therein.</w:t>
      </w:r>
    </w:p>
    <w:p>
      <w:pPr>
        <w:spacing w:after="0" w:line="151" w:lineRule="exact"/>
        <w:rPr>
          <w:rFonts w:ascii="Times New Roman" w:cs="Times New Roman" w:eastAsia="Times New Roman" w:hAnsi="Times New Roman"/>
          <w:sz w:val="19"/>
          <w:szCs w:val="19"/>
          <w:color w:val="auto"/>
        </w:rPr>
      </w:pPr>
    </w:p>
    <w:p>
      <w:pPr>
        <w:ind w:left="2460" w:hanging="542"/>
        <w:spacing w:after="0"/>
        <w:tabs>
          <w:tab w:leader="none" w:pos="2460" w:val="left"/>
        </w:tabs>
        <w:numPr>
          <w:ilvl w:val="2"/>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Representations and Acknowledgments</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21"/>
          <w:szCs w:val="21"/>
          <w:color w:val="auto"/>
        </w:rPr>
      </w:pPr>
    </w:p>
    <w:p>
      <w:pPr>
        <w:jc w:val="both"/>
        <w:ind w:left="1200" w:right="159" w:firstLine="639"/>
        <w:spacing w:after="0" w:line="269" w:lineRule="auto"/>
        <w:tabs>
          <w:tab w:leader="none" w:pos="2502" w:val="left"/>
        </w:tabs>
        <w:numPr>
          <w:ilvl w:val="1"/>
          <w:numId w:val="2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Acceptance of Payments</w:t>
      </w:r>
      <w:r>
        <w:rPr>
          <w:rFonts w:ascii="Times New Roman" w:cs="Times New Roman" w:eastAsia="Times New Roman" w:hAnsi="Times New Roman"/>
          <w:sz w:val="19"/>
          <w:szCs w:val="19"/>
          <w:color w:val="auto"/>
        </w:rPr>
        <w:t>. You represent that you have not accepted or given nor shall you accept or give, directly or indirectly, any money, services or other valuable consideration from or to anyone other than the Company for the inclusion of any matter as part of any film, television, internet or other programming produced, distributed and/or developed by the Company.</w:t>
      </w:r>
    </w:p>
    <w:p>
      <w:pPr>
        <w:spacing w:after="0" w:line="159" w:lineRule="exact"/>
        <w:rPr>
          <w:rFonts w:ascii="Times New Roman" w:cs="Times New Roman" w:eastAsia="Times New Roman" w:hAnsi="Times New Roman"/>
          <w:sz w:val="19"/>
          <w:szCs w:val="19"/>
          <w:color w:val="auto"/>
        </w:rPr>
      </w:pPr>
    </w:p>
    <w:p>
      <w:pPr>
        <w:jc w:val="both"/>
        <w:ind w:left="1200" w:right="159" w:firstLine="638"/>
        <w:spacing w:after="0" w:line="263" w:lineRule="auto"/>
        <w:tabs>
          <w:tab w:leader="none" w:pos="2500" w:val="left"/>
        </w:tabs>
        <w:numPr>
          <w:ilvl w:val="1"/>
          <w:numId w:val="2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Company Policies</w:t>
      </w:r>
      <w:r>
        <w:rPr>
          <w:rFonts w:ascii="Times New Roman" w:cs="Times New Roman" w:eastAsia="Times New Roman" w:hAnsi="Times New Roman"/>
          <w:sz w:val="19"/>
          <w:szCs w:val="19"/>
          <w:color w:val="auto"/>
        </w:rPr>
        <w:t>. You recognize that the Company is an equal opportunity employer. You agree that you shall comply with the Company’s employment practices and policies, as they may be amended from time to time, and with all applicable federal, state and local laws prohibiting discrimination on any basis. In addition, you agree that you shall comply with any code of conduct, ethics or business policies adopted by the Company from time to time and the Company’s other policies and procedures, as they may be amended from time to time, and provide the certifications and conflict of interest disclosures required by such policies.</w:t>
      </w:r>
    </w:p>
    <w:p>
      <w:pPr>
        <w:spacing w:after="0" w:line="180" w:lineRule="exact"/>
        <w:rPr>
          <w:rFonts w:ascii="Times New Roman" w:cs="Times New Roman" w:eastAsia="Times New Roman" w:hAnsi="Times New Roman"/>
          <w:sz w:val="19"/>
          <w:szCs w:val="19"/>
          <w:color w:val="auto"/>
        </w:rPr>
      </w:pPr>
    </w:p>
    <w:p>
      <w:pPr>
        <w:jc w:val="both"/>
        <w:ind w:left="1200" w:right="159" w:firstLine="717"/>
        <w:spacing w:after="0" w:line="264" w:lineRule="auto"/>
        <w:tabs>
          <w:tab w:leader="none" w:pos="2503" w:val="left"/>
        </w:tabs>
        <w:numPr>
          <w:ilvl w:val="2"/>
          <w:numId w:val="2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Notices under this Agreement must be given in writing, by personal delivery, regular mail or receipted email, at the parties’ respective addresses shown on this Agreement (or any other address designated in writing by either party to the other party in accordance with this paragraph 22), with a copy, in the case of the Company, to the attention of Paramount’s General Counsel. Any notice given by regular mail shall be deemed to have been given three (3) days following such mailing.</w:t>
      </w:r>
    </w:p>
    <w:p>
      <w:pPr>
        <w:spacing w:after="0" w:line="176" w:lineRule="exact"/>
        <w:rPr>
          <w:rFonts w:ascii="Times New Roman" w:cs="Times New Roman" w:eastAsia="Times New Roman" w:hAnsi="Times New Roman"/>
          <w:sz w:val="19"/>
          <w:szCs w:val="19"/>
          <w:color w:val="auto"/>
        </w:rPr>
      </w:pPr>
    </w:p>
    <w:p>
      <w:pPr>
        <w:jc w:val="both"/>
        <w:ind w:left="1200" w:right="179" w:firstLine="718"/>
        <w:spacing w:after="0" w:line="273" w:lineRule="auto"/>
        <w:tabs>
          <w:tab w:leader="none" w:pos="2503" w:val="left"/>
        </w:tabs>
        <w:numPr>
          <w:ilvl w:val="2"/>
          <w:numId w:val="2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Binding Effect; Assignment</w:t>
      </w:r>
      <w:r>
        <w:rPr>
          <w:rFonts w:ascii="Times New Roman" w:cs="Times New Roman" w:eastAsia="Times New Roman" w:hAnsi="Times New Roman"/>
          <w:sz w:val="19"/>
          <w:szCs w:val="19"/>
          <w:color w:val="auto"/>
        </w:rPr>
        <w:t>.This Agreement and rights and obligations of the Company hereunder shall not be assigned by the Company, provided that the Company may assign this Agreement to any subsidiary or affiliated company of or any successor in interest to the Company provided that such</w:t>
      </w:r>
    </w:p>
    <w:p>
      <w:pPr>
        <w:sectPr>
          <w:pgSz w:w="11900" w:h="16838" w:orient="portrait"/>
          <w:cols w:equalWidth="0" w:num="1">
            <w:col w:w="10099"/>
          </w:cols>
          <w:pgMar w:left="360" w:top="183" w:right="1440"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9"/>
          <w:szCs w:val="19"/>
          <w:color w:val="auto"/>
        </w:rPr>
        <w:t>Mr. George Cheeks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of September 1, 2023</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Page 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1200" w:right="159"/>
        <w:spacing w:after="0" w:line="264" w:lineRule="auto"/>
        <w:rPr>
          <w:sz w:val="20"/>
          <w:szCs w:val="20"/>
          <w:color w:val="auto"/>
        </w:rPr>
      </w:pPr>
      <w:r>
        <w:rPr>
          <w:rFonts w:ascii="Times New Roman" w:cs="Times New Roman" w:eastAsia="Times New Roman" w:hAnsi="Times New Roman"/>
          <w:sz w:val="19"/>
          <w:szCs w:val="19"/>
          <w:color w:val="auto"/>
        </w:rPr>
        <w:t>assignee assumes all of the obligations of the Company hereunder. This Agreement is for the performance of personal services by you and may not be assigned by you, except that the rights specified in Section 13 and otherwise as provided under applicable law shall pass upon your death to your designated beneficiary (or, if there is no such beneficiary, your estate or other legal representative).</w:t>
      </w:r>
    </w:p>
    <w:p>
      <w:pPr>
        <w:spacing w:after="0" w:line="174" w:lineRule="exact"/>
        <w:rPr>
          <w:sz w:val="20"/>
          <w:szCs w:val="20"/>
          <w:color w:val="auto"/>
        </w:rPr>
      </w:pPr>
    </w:p>
    <w:p>
      <w:pPr>
        <w:jc w:val="both"/>
        <w:ind w:left="1200" w:right="159" w:firstLine="718"/>
        <w:spacing w:after="0" w:line="264" w:lineRule="auto"/>
        <w:tabs>
          <w:tab w:leader="none" w:pos="2503" w:val="left"/>
        </w:tabs>
        <w:numPr>
          <w:ilvl w:val="0"/>
          <w:numId w:val="2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GOVERNING LAW AND FORUM</w:t>
      </w:r>
      <w:r>
        <w:rPr>
          <w:rFonts w:ascii="Times New Roman" w:cs="Times New Roman" w:eastAsia="Times New Roman" w:hAnsi="Times New Roman"/>
          <w:sz w:val="19"/>
          <w:szCs w:val="19"/>
          <w:b w:val="1"/>
          <w:bCs w:val="1"/>
          <w:color w:val="auto"/>
        </w:rPr>
        <w:t>. You acknowledge that this Agreement has been executed, in whole or in part, in New York. Accordingly, you agree that this Agreement and all matters or issues arising out of or relating to your employment with the Company shall be governed by the laws of the State of New York applicable to contracts entered into and performed entirely therein. Any action to enforce or otherwise relating to this Agreement and the rights and obligations hereunder shall be brought solely in the state or federal courts located in the City of New York, Borough of Manhattan.</w:t>
      </w:r>
    </w:p>
    <w:p>
      <w:pPr>
        <w:spacing w:after="0" w:line="165" w:lineRule="exact"/>
        <w:rPr>
          <w:rFonts w:ascii="Times New Roman" w:cs="Times New Roman" w:eastAsia="Times New Roman" w:hAnsi="Times New Roman"/>
          <w:sz w:val="19"/>
          <w:szCs w:val="19"/>
          <w:color w:val="auto"/>
        </w:rPr>
      </w:pPr>
    </w:p>
    <w:p>
      <w:pPr>
        <w:jc w:val="both"/>
        <w:ind w:left="1200" w:right="159" w:firstLine="718"/>
        <w:spacing w:after="0" w:line="261" w:lineRule="auto"/>
        <w:tabs>
          <w:tab w:leader="none" w:pos="2503" w:val="left"/>
        </w:tabs>
        <w:numPr>
          <w:ilvl w:val="0"/>
          <w:numId w:val="2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Implied Contract</w:t>
      </w:r>
      <w:r>
        <w:rPr>
          <w:rFonts w:ascii="Times New Roman" w:cs="Times New Roman" w:eastAsia="Times New Roman" w:hAnsi="Times New Roman"/>
          <w:sz w:val="19"/>
          <w:szCs w:val="19"/>
          <w:color w:val="auto"/>
        </w:rPr>
        <w:t>. Nothing contained in this Agreement shall be construed to impose any obligation on the Company or you to renew this Agreement or any portion hereof or on the Company to establish or maintain any benefit, welfare or compensation plan or program or to prevent the modification or termination of any benefit, welfare or compensation plan or program or any action or inaction with respect to any such benefit, welfare or compensation plan or program. The parties intend to be bound only upon full execution of a written agreement by both parties and no negotiation, exchange of draft, partial performance or tender of an agreement (including any extension or renewal of this Agreement) executed by one party shall be deemed to imply an agreement or the renewal or extension of any agreement relating to your employment with the Company. Neither the continuation of employment nor any other conduct shall be deemed to imply a continuing agreement upon the expiration of the Contract Period.</w:t>
      </w:r>
    </w:p>
    <w:p>
      <w:pPr>
        <w:spacing w:after="0" w:line="168" w:lineRule="exact"/>
        <w:rPr>
          <w:rFonts w:ascii="Times New Roman" w:cs="Times New Roman" w:eastAsia="Times New Roman" w:hAnsi="Times New Roman"/>
          <w:sz w:val="19"/>
          <w:szCs w:val="19"/>
          <w:color w:val="auto"/>
        </w:rPr>
      </w:pPr>
    </w:p>
    <w:p>
      <w:pPr>
        <w:jc w:val="both"/>
        <w:ind w:left="1200" w:right="179" w:firstLine="718"/>
        <w:spacing w:after="0" w:line="294" w:lineRule="auto"/>
        <w:tabs>
          <w:tab w:leader="none" w:pos="2503" w:val="left"/>
        </w:tabs>
        <w:numPr>
          <w:ilvl w:val="0"/>
          <w:numId w:val="2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In the event any provision or part of this Agreement is found to be invalid or unenforceable, only that particular provision or part so found, and not the entire Agreement, shall be inoperative.</w:t>
      </w:r>
    </w:p>
    <w:p>
      <w:pPr>
        <w:spacing w:after="0" w:line="378" w:lineRule="exact"/>
        <w:rPr>
          <w:rFonts w:ascii="Times New Roman" w:cs="Times New Roman" w:eastAsia="Times New Roman" w:hAnsi="Times New Roman"/>
          <w:sz w:val="19"/>
          <w:szCs w:val="19"/>
          <w:color w:val="auto"/>
        </w:rPr>
      </w:pPr>
    </w:p>
    <w:p>
      <w:pPr>
        <w:jc w:val="both"/>
        <w:ind w:left="1200" w:right="179" w:firstLine="717"/>
        <w:spacing w:after="0" w:line="273" w:lineRule="auto"/>
        <w:tabs>
          <w:tab w:leader="none" w:pos="2503" w:val="left"/>
        </w:tabs>
        <w:numPr>
          <w:ilvl w:val="0"/>
          <w:numId w:val="2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Entire Understanding</w:t>
      </w:r>
      <w:r>
        <w:rPr>
          <w:rFonts w:ascii="Times New Roman" w:cs="Times New Roman" w:eastAsia="Times New Roman" w:hAnsi="Times New Roman"/>
          <w:sz w:val="19"/>
          <w:szCs w:val="19"/>
          <w:color w:val="auto"/>
        </w:rPr>
        <w:t>. This Agreement (including any “side letter” entered into in connection herewith) contains the entire understanding of the parties hereto relating to the subject matter contained in this Agreement, and</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except as otherwise provided herein</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can be modified only by a writing signed by both parties.</w:t>
      </w:r>
    </w:p>
    <w:p>
      <w:pPr>
        <w:spacing w:after="0" w:line="168" w:lineRule="exact"/>
        <w:rPr>
          <w:rFonts w:ascii="Times New Roman" w:cs="Times New Roman" w:eastAsia="Times New Roman" w:hAnsi="Times New Roman"/>
          <w:sz w:val="19"/>
          <w:szCs w:val="19"/>
          <w:color w:val="auto"/>
        </w:rPr>
      </w:pPr>
    </w:p>
    <w:p>
      <w:pPr>
        <w:ind w:left="1200" w:right="179" w:firstLine="718"/>
        <w:spacing w:after="0" w:line="300" w:lineRule="auto"/>
        <w:tabs>
          <w:tab w:leader="none" w:pos="2503" w:val="left"/>
        </w:tabs>
        <w:numPr>
          <w:ilvl w:val="0"/>
          <w:numId w:val="2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Supersedes Prior Agreements</w:t>
      </w:r>
      <w:r>
        <w:rPr>
          <w:rFonts w:ascii="Times New Roman" w:cs="Times New Roman" w:eastAsia="Times New Roman" w:hAnsi="Times New Roman"/>
          <w:sz w:val="19"/>
          <w:szCs w:val="19"/>
          <w:color w:val="auto"/>
        </w:rPr>
        <w:t>. With respect to the period covered by the Contract Period, this Agreement supersedes all prior agreements relating to your employment with the Company.</w:t>
      </w:r>
    </w:p>
    <w:p>
      <w:pPr>
        <w:spacing w:after="0" w:line="200" w:lineRule="exact"/>
        <w:rPr>
          <w:sz w:val="20"/>
          <w:szCs w:val="20"/>
          <w:color w:val="auto"/>
        </w:rPr>
      </w:pPr>
    </w:p>
    <w:p>
      <w:pPr>
        <w:spacing w:after="0" w:line="24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9"/>
          <w:szCs w:val="19"/>
          <w:color w:val="auto"/>
        </w:rPr>
        <w:t>[REMAINDER OF PAGE INTENTIONALLY LEFT BLANK]</w:t>
      </w:r>
    </w:p>
    <w:p>
      <w:pPr>
        <w:sectPr>
          <w:pgSz w:w="11900" w:h="16838" w:orient="portrait"/>
          <w:cols w:equalWidth="0" w:num="1">
            <w:col w:w="10099"/>
          </w:cols>
          <w:pgMar w:left="360" w:top="183" w:right="1440"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9"/>
          <w:szCs w:val="19"/>
          <w:color w:val="auto"/>
        </w:rPr>
        <w:t>Mr. George Cheeks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of September 1, 2023</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Page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1240" w:right="139" w:firstLine="636"/>
        <w:spacing w:after="0" w:line="264" w:lineRule="auto"/>
        <w:rPr>
          <w:sz w:val="20"/>
          <w:szCs w:val="20"/>
          <w:color w:val="auto"/>
        </w:rPr>
      </w:pPr>
      <w:r>
        <w:rPr>
          <w:rFonts w:ascii="Times New Roman" w:cs="Times New Roman" w:eastAsia="Times New Roman" w:hAnsi="Times New Roman"/>
          <w:sz w:val="19"/>
          <w:szCs w:val="19"/>
          <w:color w:val="auto"/>
        </w:rPr>
        <w:t>Please confirm your understanding of the Agreement by signing and returning this Agreement. This document shall constitute a binding agreement between us only after it also has been executed by the Company and a fully executed copy has been returned to you. Facsimile signatures, digital signatures, and signatures delivered and obtained in e-mail PDF format will be deemed originals for all purposes.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9"/>
          <w:szCs w:val="19"/>
          <w:color w:val="auto"/>
        </w:rPr>
        <w:t>Very truly yours,</w:t>
      </w:r>
    </w:p>
    <w:p>
      <w:pPr>
        <w:spacing w:after="0" w:line="30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9"/>
          <w:szCs w:val="19"/>
          <w:b w:val="1"/>
          <w:bCs w:val="1"/>
          <w:color w:val="auto"/>
        </w:rPr>
        <w:t>PARAMOUNT GLOBAL</w:t>
      </w:r>
    </w:p>
    <w:p>
      <w:pPr>
        <w:spacing w:after="0" w:line="24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9"/>
          <w:szCs w:val="19"/>
          <w:color w:val="auto"/>
        </w:rPr>
        <w:t>By: /s/ Nancy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27305</wp:posOffset>
            </wp:positionV>
            <wp:extent cx="223837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0">
                      <a:extLst>
                        <a:ext uri="{28A0092B-C50C-407E-A947-70E740481C1C}"/>
                      </a:extLst>
                    </a:blip>
                    <a:srcRect/>
                    <a:stretch>
                      <a:fillRect/>
                    </a:stretch>
                  </pic:blipFill>
                  <pic:spPr bwMode="auto">
                    <a:xfrm>
                      <a:off x="0" y="0"/>
                      <a:ext cx="2238375" cy="8255"/>
                    </a:xfrm>
                    <a:prstGeom prst="rect">
                      <a:avLst/>
                    </a:prstGeom>
                    <a:noFill/>
                  </pic:spPr>
                </pic:pic>
              </a:graphicData>
            </a:graphic>
          </wp:anchor>
        </w:drawing>
      </w:r>
    </w:p>
    <w:p>
      <w:pPr>
        <w:spacing w:after="0" w:line="40"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9"/>
          <w:szCs w:val="19"/>
          <w:color w:val="auto"/>
        </w:rPr>
        <w:t>Nancy Phillips</w:t>
      </w:r>
    </w:p>
    <w:p>
      <w:pPr>
        <w:spacing w:after="0" w:line="60"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9"/>
          <w:szCs w:val="19"/>
          <w:color w:val="auto"/>
        </w:rPr>
        <w:t>Executive Vice President,</w:t>
      </w:r>
    </w:p>
    <w:p>
      <w:pPr>
        <w:spacing w:after="0" w:line="4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9"/>
          <w:szCs w:val="19"/>
          <w:color w:val="auto"/>
        </w:rPr>
        <w:t>Chief People Officer</w:t>
      </w:r>
    </w:p>
    <w:p>
      <w:pPr>
        <w:spacing w:after="0" w:line="24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9"/>
          <w:szCs w:val="19"/>
          <w:b w:val="1"/>
          <w:bCs w:val="1"/>
          <w:color w:val="auto"/>
        </w:rPr>
        <w:t>ACCEPTED AND</w:t>
      </w:r>
    </w:p>
    <w:p>
      <w:pPr>
        <w:ind w:left="1180"/>
        <w:spacing w:after="0"/>
        <w:rPr>
          <w:sz w:val="20"/>
          <w:szCs w:val="20"/>
          <w:color w:val="auto"/>
        </w:rPr>
      </w:pPr>
      <w:r>
        <w:rPr>
          <w:rFonts w:ascii="Times New Roman" w:cs="Times New Roman" w:eastAsia="Times New Roman" w:hAnsi="Times New Roman"/>
          <w:sz w:val="19"/>
          <w:szCs w:val="19"/>
          <w:b w:val="1"/>
          <w:bCs w:val="1"/>
          <w:color w:val="auto"/>
        </w:rPr>
        <w:t>AGREED:</w:t>
      </w:r>
    </w:p>
    <w:p>
      <w:pPr>
        <w:spacing w:after="0" w:line="27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9"/>
          <w:szCs w:val="19"/>
          <w:color w:val="auto"/>
        </w:rPr>
        <w:t>/s/ George Cheeks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27305</wp:posOffset>
            </wp:positionV>
            <wp:extent cx="153098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1">
                      <a:extLst>
                        <a:ext uri="{28A0092B-C50C-407E-A947-70E740481C1C}"/>
                      </a:extLst>
                    </a:blip>
                    <a:srcRect/>
                    <a:stretch>
                      <a:fillRect/>
                    </a:stretch>
                  </pic:blipFill>
                  <pic:spPr bwMode="auto">
                    <a:xfrm>
                      <a:off x="0" y="0"/>
                      <a:ext cx="1530985" cy="8255"/>
                    </a:xfrm>
                    <a:prstGeom prst="rect">
                      <a:avLst/>
                    </a:prstGeom>
                    <a:noFill/>
                  </pic:spPr>
                </pic:pic>
              </a:graphicData>
            </a:graphic>
          </wp:anchor>
        </w:drawing>
      </w:r>
    </w:p>
    <w:p>
      <w:pPr>
        <w:spacing w:after="0" w:line="2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9"/>
          <w:szCs w:val="19"/>
          <w:color w:val="auto"/>
        </w:rPr>
        <w:t>George Cheeks</w:t>
      </w:r>
    </w:p>
    <w:p>
      <w:pPr>
        <w:spacing w:after="0" w:line="17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9"/>
          <w:szCs w:val="19"/>
          <w:color w:val="auto"/>
        </w:rPr>
        <w:t>Dated: Aug 24, 2023</w:t>
      </w:r>
    </w:p>
    <w:p>
      <w:pPr>
        <w:sectPr>
          <w:pgSz w:w="11900" w:h="16838" w:orient="portrait"/>
          <w:cols w:equalWidth="0" w:num="1">
            <w:col w:w="10099"/>
          </w:cols>
          <w:pgMar w:left="360" w:top="183" w:right="1440" w:bottom="1440" w:gutter="0" w:footer="0" w:header="0"/>
        </w:sectPr>
      </w:pPr>
    </w:p>
    <w:bookmarkStart w:id="229" w:name="page230"/>
    <w:bookmarkEnd w:id="229"/>
    <w:p>
      <w:pPr>
        <w:ind w:left="7860"/>
        <w:spacing w:after="0"/>
        <w:rPr>
          <w:sz w:val="20"/>
          <w:szCs w:val="20"/>
          <w:color w:val="auto"/>
        </w:rPr>
      </w:pPr>
      <w:r>
        <w:rPr>
          <w:rFonts w:ascii="Times New Roman" w:cs="Times New Roman" w:eastAsia="Times New Roman" w:hAnsi="Times New Roman"/>
          <w:sz w:val="19"/>
          <w:szCs w:val="19"/>
          <w:b w:val="1"/>
          <w:bCs w:val="1"/>
          <w:u w:val="single" w:color="auto"/>
          <w:color w:val="auto"/>
        </w:rPr>
        <w:t>Appendix A</w:t>
      </w:r>
    </w:p>
    <w:p>
      <w:pPr>
        <w:spacing w:after="0" w:line="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[Insert name and home address]</w:t>
      </w:r>
    </w:p>
    <w:p>
      <w:pPr>
        <w:spacing w:after="0" w:line="200" w:lineRule="exact"/>
        <w:rPr>
          <w:sz w:val="20"/>
          <w:szCs w:val="20"/>
          <w:color w:val="auto"/>
        </w:rPr>
      </w:pPr>
    </w:p>
    <w:p>
      <w:pPr>
        <w:spacing w:after="0" w:line="249" w:lineRule="exact"/>
        <w:rPr>
          <w:sz w:val="20"/>
          <w:szCs w:val="20"/>
          <w:color w:val="auto"/>
        </w:rPr>
      </w:pPr>
    </w:p>
    <w:p>
      <w:pPr>
        <w:jc w:val="both"/>
        <w:ind w:left="120" w:right="179" w:firstLine="636"/>
        <w:spacing w:after="0" w:line="226" w:lineRule="auto"/>
        <w:rPr>
          <w:sz w:val="20"/>
          <w:szCs w:val="20"/>
          <w:color w:val="auto"/>
        </w:rPr>
      </w:pPr>
      <w:r>
        <w:rPr>
          <w:rFonts w:ascii="Times New Roman" w:cs="Times New Roman" w:eastAsia="Times New Roman" w:hAnsi="Times New Roman"/>
          <w:sz w:val="19"/>
          <w:szCs w:val="19"/>
          <w:color w:val="auto"/>
        </w:rPr>
        <w:t>This General Release of all Claims (this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is entered into by [insert executive’s name] (the “</w:t>
      </w:r>
      <w:r>
        <w:rPr>
          <w:rFonts w:ascii="Times New Roman" w:cs="Times New Roman" w:eastAsia="Times New Roman" w:hAnsi="Times New Roman"/>
          <w:sz w:val="19"/>
          <w:szCs w:val="19"/>
          <w:u w:val="single" w:color="auto"/>
          <w:color w:val="auto"/>
        </w:rPr>
        <w:t>Executive</w:t>
      </w:r>
      <w:r>
        <w:rPr>
          <w:rFonts w:ascii="Times New Roman" w:cs="Times New Roman" w:eastAsia="Times New Roman" w:hAnsi="Times New Roman"/>
          <w:sz w:val="19"/>
          <w:szCs w:val="19"/>
          <w:color w:val="auto"/>
        </w:rPr>
        <w:t>”) and [insert name of employer]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effective as of ___________________.</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9"/>
          <w:szCs w:val="19"/>
          <w:color w:val="auto"/>
        </w:rPr>
        <w:t xml:space="preserve"> For</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purposes of this Agreement, “</w:t>
      </w:r>
      <w:r>
        <w:rPr>
          <w:rFonts w:ascii="Times New Roman" w:cs="Times New Roman" w:eastAsia="Times New Roman" w:hAnsi="Times New Roman"/>
          <w:sz w:val="19"/>
          <w:szCs w:val="19"/>
          <w:u w:val="single" w:color="auto"/>
          <w:color w:val="auto"/>
        </w:rPr>
        <w:t>Paramount</w:t>
      </w:r>
      <w:r>
        <w:rPr>
          <w:rFonts w:ascii="Times New Roman" w:cs="Times New Roman" w:eastAsia="Times New Roman" w:hAnsi="Times New Roman"/>
          <w:sz w:val="19"/>
          <w:szCs w:val="19"/>
          <w:color w:val="auto"/>
        </w:rPr>
        <w:t>” shall mean ViacomCBS Inc. and its subsidiaries.</w:t>
      </w:r>
    </w:p>
    <w:p>
      <w:pPr>
        <w:spacing w:after="0" w:line="217" w:lineRule="exact"/>
        <w:rPr>
          <w:sz w:val="20"/>
          <w:szCs w:val="20"/>
          <w:color w:val="auto"/>
        </w:rPr>
      </w:pPr>
    </w:p>
    <w:p>
      <w:pPr>
        <w:jc w:val="both"/>
        <w:ind w:left="120" w:right="159" w:firstLine="636"/>
        <w:spacing w:after="0" w:line="284" w:lineRule="auto"/>
        <w:rPr>
          <w:sz w:val="20"/>
          <w:szCs w:val="20"/>
          <w:color w:val="auto"/>
        </w:rPr>
      </w:pPr>
      <w:r>
        <w:rPr>
          <w:rFonts w:ascii="Times New Roman" w:cs="Times New Roman" w:eastAsia="Times New Roman" w:hAnsi="Times New Roman"/>
          <w:sz w:val="19"/>
          <w:szCs w:val="19"/>
          <w:color w:val="auto"/>
        </w:rPr>
        <w:t>In consideration of the promises set forth in the letter agreement between the Executive and the Company, dated [insert date] (the “</w:t>
      </w:r>
      <w:r>
        <w:rPr>
          <w:rFonts w:ascii="Times New Roman" w:cs="Times New Roman" w:eastAsia="Times New Roman" w:hAnsi="Times New Roman"/>
          <w:sz w:val="19"/>
          <w:szCs w:val="19"/>
          <w:u w:val="single" w:color="auto"/>
          <w:color w:val="auto"/>
        </w:rPr>
        <w:t>Employment Agreement</w:t>
      </w:r>
      <w:r>
        <w:rPr>
          <w:rFonts w:ascii="Times New Roman" w:cs="Times New Roman" w:eastAsia="Times New Roman" w:hAnsi="Times New Roman"/>
          <w:sz w:val="19"/>
          <w:szCs w:val="19"/>
          <w:color w:val="auto"/>
        </w:rPr>
        <w:t>”), the Executive and the Company agree as follows:</w:t>
      </w:r>
    </w:p>
    <w:p>
      <w:pPr>
        <w:spacing w:after="0" w:line="384" w:lineRule="exact"/>
        <w:rPr>
          <w:sz w:val="20"/>
          <w:szCs w:val="20"/>
          <w:color w:val="auto"/>
        </w:rPr>
      </w:pPr>
    </w:p>
    <w:p>
      <w:pPr>
        <w:jc w:val="both"/>
        <w:ind w:left="40" w:right="159" w:firstLine="1593"/>
        <w:spacing w:after="0" w:line="263" w:lineRule="auto"/>
        <w:tabs>
          <w:tab w:leader="none" w:pos="2054" w:val="left"/>
        </w:tabs>
        <w:numPr>
          <w:ilvl w:val="1"/>
          <w:numId w:val="2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Return of Property</w:t>
      </w:r>
      <w:r>
        <w:rPr>
          <w:rFonts w:ascii="Times New Roman" w:cs="Times New Roman" w:eastAsia="Times New Roman" w:hAnsi="Times New Roman"/>
          <w:sz w:val="19"/>
          <w:szCs w:val="19"/>
          <w:color w:val="auto"/>
        </w:rPr>
        <w:t>. All Company files, access keys and codes, desk keys, ID badges, computers, records, manuals, electronic devices, computer programs, papers, electronically stored information or documents, telephones and credit cards, and any other property of the Company in the Executive’s possession must be returned promptly following the date of the Executive’s termination from the Company. Notwithstanding the foregoing, you may retain your calendars, contacts and personal correspondence and any information reasonably needed for your personal tax return preparation.</w:t>
      </w:r>
    </w:p>
    <w:p>
      <w:pPr>
        <w:spacing w:after="0" w:line="180" w:lineRule="exact"/>
        <w:rPr>
          <w:rFonts w:ascii="Times New Roman" w:cs="Times New Roman" w:eastAsia="Times New Roman" w:hAnsi="Times New Roman"/>
          <w:sz w:val="19"/>
          <w:szCs w:val="19"/>
          <w:color w:val="auto"/>
        </w:rPr>
      </w:pPr>
    </w:p>
    <w:p>
      <w:pPr>
        <w:ind w:left="2020" w:hanging="387"/>
        <w:spacing w:after="0"/>
        <w:tabs>
          <w:tab w:leader="none" w:pos="2020" w:val="left"/>
        </w:tabs>
        <w:numPr>
          <w:ilvl w:val="1"/>
          <w:numId w:val="2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 Release and Waiver of Claims</w:t>
      </w:r>
      <w:r>
        <w:rPr>
          <w:rFonts w:ascii="Times New Roman" w:cs="Times New Roman" w:eastAsia="Times New Roman" w:hAnsi="Times New Roman"/>
          <w:sz w:val="19"/>
          <w:szCs w:val="19"/>
          <w:color w:val="auto"/>
        </w:rPr>
        <w:t>.</w:t>
      </w:r>
    </w:p>
    <w:p>
      <w:pPr>
        <w:spacing w:after="0" w:line="218" w:lineRule="exact"/>
        <w:rPr>
          <w:rFonts w:ascii="Times New Roman" w:cs="Times New Roman" w:eastAsia="Times New Roman" w:hAnsi="Times New Roman"/>
          <w:sz w:val="19"/>
          <w:szCs w:val="19"/>
          <w:color w:val="auto"/>
        </w:rPr>
      </w:pPr>
    </w:p>
    <w:p>
      <w:pPr>
        <w:jc w:val="both"/>
        <w:ind w:left="120" w:right="159" w:firstLine="1275"/>
        <w:spacing w:after="0" w:line="258" w:lineRule="auto"/>
        <w:tabs>
          <w:tab w:leader="none" w:pos="2058" w:val="left"/>
        </w:tabs>
        <w:numPr>
          <w:ilvl w:val="0"/>
          <w:numId w:val="2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Release</w:t>
      </w:r>
      <w:r>
        <w:rPr>
          <w:rFonts w:ascii="Times New Roman" w:cs="Times New Roman" w:eastAsia="Times New Roman" w:hAnsi="Times New Roman"/>
          <w:sz w:val="19"/>
          <w:szCs w:val="19"/>
          <w:color w:val="auto"/>
        </w:rPr>
        <w:t>. In consideration of the payments and benefits provided to the Executive under the Employment Agreement and after consultation with counsel, the Executive and each of the Executive’s respective heirs, executors, administrators, representatives, agents, insurers, successors and assigns (collectively, the “</w:t>
      </w:r>
      <w:r>
        <w:rPr>
          <w:rFonts w:ascii="Times New Roman" w:cs="Times New Roman" w:eastAsia="Times New Roman" w:hAnsi="Times New Roman"/>
          <w:sz w:val="19"/>
          <w:szCs w:val="19"/>
          <w:u w:val="single" w:color="auto"/>
          <w:color w:val="auto"/>
        </w:rPr>
        <w:t>Releasors</w:t>
      </w:r>
      <w:r>
        <w:rPr>
          <w:rFonts w:ascii="Times New Roman" w:cs="Times New Roman" w:eastAsia="Times New Roman" w:hAnsi="Times New Roman"/>
          <w:sz w:val="19"/>
          <w:szCs w:val="19"/>
          <w:color w:val="auto"/>
        </w:rPr>
        <w:t>”) hereby irrevocably and unconditionally release and forever discharge the Company, Paramount and their subsidiaries and affiliates, predecessors, successors and each of their respective officers, employees, directors, shareholders and agents (“</w:t>
      </w:r>
      <w:r>
        <w:rPr>
          <w:rFonts w:ascii="Times New Roman" w:cs="Times New Roman" w:eastAsia="Times New Roman" w:hAnsi="Times New Roman"/>
          <w:sz w:val="19"/>
          <w:szCs w:val="19"/>
          <w:u w:val="single" w:color="auto"/>
          <w:color w:val="auto"/>
        </w:rPr>
        <w:t>Releasees</w:t>
      </w:r>
      <w:r>
        <w:rPr>
          <w:rFonts w:ascii="Times New Roman" w:cs="Times New Roman" w:eastAsia="Times New Roman" w:hAnsi="Times New Roman"/>
          <w:sz w:val="19"/>
          <w:szCs w:val="19"/>
          <w:color w:val="auto"/>
        </w:rPr>
        <w:t>”) from any and all claims, actions, causes of action, rights, judgments, obligations, damages, demands, accountings or liabilities of whatever kind or character (collectively, “</w:t>
      </w:r>
      <w:r>
        <w:rPr>
          <w:rFonts w:ascii="Times New Roman" w:cs="Times New Roman" w:eastAsia="Times New Roman" w:hAnsi="Times New Roman"/>
          <w:sz w:val="19"/>
          <w:szCs w:val="19"/>
          <w:u w:val="single" w:color="auto"/>
          <w:color w:val="auto"/>
        </w:rPr>
        <w:t>Claims</w:t>
      </w:r>
      <w:r>
        <w:rPr>
          <w:rFonts w:ascii="Times New Roman" w:cs="Times New Roman" w:eastAsia="Times New Roman" w:hAnsi="Times New Roman"/>
          <w:sz w:val="19"/>
          <w:szCs w:val="19"/>
          <w:color w:val="auto"/>
        </w:rPr>
        <w:t>”), including, without limitation, any Claims under any federal, state, local or foreign law, that the Releasors may have, or in the future may possess, arising out of (i) the Executive’s employment relationship with and service as an employee, officer or director of the Company, or any subsidiaries, successors, predecessors or affiliated companies and the termination of such relationship or service, and (ii) any event, condition, circumstance or obligation that occurred, existed or arose on or prior to the date hereof and relates to your employment with the Company; provided, however, that the Executive does not release, discharge or waive any rights to (i) payments and benefits provided under the Employment Agreement that are contingent upon the execution by the Executive of this Agreement or otherwise expressly survive termination thereof; (ii) any indemnification rights the Executive may have in accordance with the Company’s governance instruments or under any director and officer liability insurance maintained by the Company with respect to liabilities arising as a result of the Executive’s service as an officer and employee of the Company; (iii) any rights the Executive has under this Agreement, including any right to enforce the terms thereof; (iv) any Claim for payments, benefits or other entitlements which the Executive has or will be entitled to under the terms of any compensation or benefit plan, policy or program maintained by the Company or any affiliate, including, without limitation, any incentive or deferred compensation plan, any pension plan or benefits under any welfare benefit plan; (v) any Claim the Executive may have to obtain contribution as permitted by law in the event of entry of judgment against him as a result of any act or failure to act for which he and the Company or any affiliate are jointly liable; (vi) any Claim that by law may not be</w:t>
      </w:r>
    </w:p>
    <w:p>
      <w:pPr>
        <w:spacing w:after="0" w:line="3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_______________________</w:t>
      </w:r>
    </w:p>
    <w:p>
      <w:pPr>
        <w:spacing w:after="0" w:line="117" w:lineRule="exact"/>
        <w:rPr>
          <w:sz w:val="20"/>
          <w:szCs w:val="20"/>
          <w:color w:val="auto"/>
        </w:rPr>
      </w:pPr>
    </w:p>
    <w:p>
      <w:pPr>
        <w:ind w:left="120" w:right="499"/>
        <w:spacing w:after="0" w:line="304" w:lineRule="auto"/>
        <w:rPr>
          <w:sz w:val="20"/>
          <w:szCs w:val="20"/>
          <w:color w:val="auto"/>
        </w:rPr>
      </w:pPr>
      <w:r>
        <w:rPr>
          <w:rFonts w:ascii="Times New Roman" w:cs="Times New Roman" w:eastAsia="Times New Roman" w:hAnsi="Times New Roman"/>
          <w:sz w:val="14"/>
          <w:szCs w:val="14"/>
          <w:color w:val="auto"/>
        </w:rPr>
        <w:t xml:space="preserve">1 </w:t>
      </w:r>
      <w:r>
        <w:rPr>
          <w:rFonts w:ascii="Times New Roman" w:cs="Times New Roman" w:eastAsia="Times New Roman" w:hAnsi="Times New Roman"/>
          <w:sz w:val="17"/>
          <w:szCs w:val="17"/>
          <w:color w:val="auto"/>
        </w:rPr>
        <w:t>This date should coincide with termination of employment and should not be filled in at the time of the signing of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employment agreement.</w:t>
      </w:r>
    </w:p>
    <w:p>
      <w:pPr>
        <w:sectPr>
          <w:pgSz w:w="11900" w:h="16838" w:orient="portrait"/>
          <w:cols w:equalWidth="0" w:num="1">
            <w:col w:w="9019"/>
          </w:cols>
          <w:pgMar w:left="1440" w:top="1385" w:right="1440" w:bottom="1440" w:gutter="0" w:footer="0" w:header="0"/>
        </w:sectPr>
      </w:pPr>
    </w:p>
    <w:bookmarkStart w:id="230" w:name="page231"/>
    <w:bookmarkEnd w:id="230"/>
    <w:p>
      <w:pPr>
        <w:jc w:val="both"/>
        <w:ind w:left="120" w:right="159"/>
        <w:spacing w:after="0" w:line="264" w:lineRule="auto"/>
        <w:rPr>
          <w:sz w:val="20"/>
          <w:szCs w:val="20"/>
          <w:color w:val="auto"/>
        </w:rPr>
      </w:pPr>
      <w:r>
        <w:rPr>
          <w:rFonts w:ascii="Times New Roman" w:cs="Times New Roman" w:eastAsia="Times New Roman" w:hAnsi="Times New Roman"/>
          <w:sz w:val="19"/>
          <w:szCs w:val="19"/>
          <w:color w:val="auto"/>
        </w:rPr>
        <w:t>released by private agreement without judicial or governmental review and approval; or (vii) any rights the Executive may have as a stockholder of the Company. Executive represents that the Executive does not have, and has not asserted, any Claims for or allegations concerning sexual or gender-based harassment with respect to the Executive’s employment with the Company.</w:t>
      </w:r>
    </w:p>
    <w:p>
      <w:pPr>
        <w:spacing w:after="0" w:line="178" w:lineRule="exact"/>
        <w:rPr>
          <w:sz w:val="20"/>
          <w:szCs w:val="20"/>
          <w:color w:val="auto"/>
        </w:rPr>
      </w:pPr>
    </w:p>
    <w:p>
      <w:pPr>
        <w:jc w:val="both"/>
        <w:ind w:left="120" w:right="179" w:firstLine="1275"/>
        <w:spacing w:after="0" w:line="261" w:lineRule="auto"/>
        <w:tabs>
          <w:tab w:leader="none" w:pos="2056" w:val="left"/>
        </w:tabs>
        <w:numPr>
          <w:ilvl w:val="0"/>
          <w:numId w:val="2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1542 of the Civil Code of the State of California Waiver</w:t>
      </w:r>
      <w:r>
        <w:rPr>
          <w:rFonts w:ascii="Times New Roman" w:cs="Times New Roman" w:eastAsia="Times New Roman" w:hAnsi="Times New Roman"/>
          <w:sz w:val="19"/>
          <w:szCs w:val="19"/>
          <w:color w:val="auto"/>
        </w:rPr>
        <w:t>. The Executive acknowledges that the Executive may hereafter discover Claims or facts in addition to or different from those which the Executive now knows or believes to exist with respect to the subject matter of this release and which, if known or suspected at the time of executing this release, may have materially affected this release or the Executive’s decision to enter into it. Nevertheless, the Releasors hereby waive any right or Claim that might arise as a result of such different or additional Claims or facts and the Releasors hereby expressly waive any and all rights and benefits conferred upon the Releasors by the provisions of Section 1542 of the Civil Code of the State of California, which provides as follows:</w:t>
      </w:r>
    </w:p>
    <w:p>
      <w:pPr>
        <w:spacing w:after="0" w:line="18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9"/>
          <w:szCs w:val="19"/>
          <w:color w:val="auto"/>
        </w:rPr>
        <w:t>A GENERAL RELEASE DOES NOT EXTEND TO CLAIMS THAT THE</w:t>
      </w:r>
    </w:p>
    <w:p>
      <w:pPr>
        <w:spacing w:after="0" w:line="2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9"/>
          <w:szCs w:val="19"/>
          <w:color w:val="auto"/>
        </w:rPr>
        <w:t>CREDITOR OR RELEASING PARTY DOES NOT KNOW OR SUSPECT</w:t>
      </w:r>
    </w:p>
    <w:p>
      <w:pPr>
        <w:spacing w:after="0" w:line="1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9"/>
          <w:szCs w:val="19"/>
          <w:color w:val="auto"/>
        </w:rPr>
        <w:t>TO EXIST IN HIS OR HER FAVOR AT THE TIME OF EXECUTING THE</w:t>
      </w:r>
    </w:p>
    <w:p>
      <w:pPr>
        <w:spacing w:after="0" w:line="14" w:lineRule="exact"/>
        <w:rPr>
          <w:sz w:val="20"/>
          <w:szCs w:val="20"/>
          <w:color w:val="auto"/>
        </w:rPr>
      </w:pPr>
    </w:p>
    <w:p>
      <w:pPr>
        <w:jc w:val="both"/>
        <w:ind w:left="1400" w:right="1439"/>
        <w:spacing w:after="0" w:line="268" w:lineRule="auto"/>
        <w:rPr>
          <w:sz w:val="20"/>
          <w:szCs w:val="20"/>
          <w:color w:val="auto"/>
        </w:rPr>
      </w:pPr>
      <w:r>
        <w:rPr>
          <w:rFonts w:ascii="Times New Roman" w:cs="Times New Roman" w:eastAsia="Times New Roman" w:hAnsi="Times New Roman"/>
          <w:sz w:val="19"/>
          <w:szCs w:val="19"/>
          <w:color w:val="auto"/>
        </w:rPr>
        <w:t>RELEASE AND THAT, IF KNOWN BY HIM OR HER WOULD HAVE MATERIALLY AFFECTED HIS OR HER SETTLEMENT WITH THE DEBTOR OR RELEASED PARTY.</w:t>
      </w:r>
    </w:p>
    <w:p>
      <w:pPr>
        <w:spacing w:after="0" w:line="160" w:lineRule="exact"/>
        <w:rPr>
          <w:sz w:val="20"/>
          <w:szCs w:val="20"/>
          <w:color w:val="auto"/>
        </w:rPr>
      </w:pPr>
    </w:p>
    <w:p>
      <w:pPr>
        <w:jc w:val="both"/>
        <w:ind w:left="120" w:right="159" w:firstLine="1274"/>
        <w:spacing w:after="0" w:line="257" w:lineRule="auto"/>
        <w:tabs>
          <w:tab w:leader="none" w:pos="2058" w:val="left"/>
        </w:tabs>
        <w:numPr>
          <w:ilvl w:val="1"/>
          <w:numId w:val="2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Specific Release of ADEA Claims</w:t>
      </w:r>
      <w:r>
        <w:rPr>
          <w:rFonts w:ascii="Times New Roman" w:cs="Times New Roman" w:eastAsia="Times New Roman" w:hAnsi="Times New Roman"/>
          <w:sz w:val="19"/>
          <w:szCs w:val="19"/>
          <w:color w:val="auto"/>
        </w:rPr>
        <w:t>. In further consideration of the payments and benefits provided to the Executive under the Employment Agreement, the Releasors hereby unconditionally release and forever discharge the Releasees from any and all Claims that the Releasors may have as of the date the Executive signs this Agreement arising under the Federal Age Discrimination in Employment Act of 1967, as amended, including the Older Workers Benefit Protection Act of 1990 (“OWBPA”), and the applicable rules and regulations promulgated thereunder (“</w:t>
      </w:r>
      <w:r>
        <w:rPr>
          <w:rFonts w:ascii="Times New Roman" w:cs="Times New Roman" w:eastAsia="Times New Roman" w:hAnsi="Times New Roman"/>
          <w:sz w:val="19"/>
          <w:szCs w:val="19"/>
          <w:u w:val="single" w:color="auto"/>
          <w:color w:val="auto"/>
        </w:rPr>
        <w:t>ADEA</w:t>
      </w:r>
      <w:r>
        <w:rPr>
          <w:rFonts w:ascii="Times New Roman" w:cs="Times New Roman" w:eastAsia="Times New Roman" w:hAnsi="Times New Roman"/>
          <w:sz w:val="19"/>
          <w:szCs w:val="19"/>
          <w:color w:val="auto"/>
        </w:rPr>
        <w:t>”). By signing this Agreement, the Executive hereby acknowledges and confirms the following: (i) the Executive was advised by the Company in connection with the Executive’s termination to consult with an attorney of the Executive’s choice prior to signing this Agreement and to have such attorney explain to the Executive the terms of this Agreement, including, without limitation, the terms relating to the Executive’s release of claims arising under ADEA, and the Executive has in fact consulted with an attorney; (ii) the Executive was given a period of not fewer than 21</w:t>
      </w:r>
      <w:r>
        <w:rPr>
          <w:rFonts w:ascii="Times New Roman" w:cs="Times New Roman" w:eastAsia="Times New Roman" w:hAnsi="Times New Roman"/>
          <w:sz w:val="19"/>
          <w:szCs w:val="19"/>
          <w:b w:val="1"/>
          <w:bCs w:val="1"/>
          <w:color w:val="auto"/>
        </w:rPr>
        <w:t>[45]</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9"/>
          <w:szCs w:val="19"/>
          <w:color w:val="auto"/>
        </w:rPr>
        <w:t xml:space="preserve"> days to consider the terms of this Agreement and to consult with an attorney of the Executive’s choosing with respect thereto;</w:t>
      </w:r>
    </w:p>
    <w:p>
      <w:pPr>
        <w:spacing w:after="0" w:line="10" w:lineRule="exact"/>
        <w:rPr>
          <w:rFonts w:ascii="Times New Roman" w:cs="Times New Roman" w:eastAsia="Times New Roman" w:hAnsi="Times New Roman"/>
          <w:sz w:val="19"/>
          <w:szCs w:val="19"/>
          <w:color w:val="auto"/>
        </w:rPr>
      </w:pPr>
    </w:p>
    <w:p>
      <w:pPr>
        <w:ind w:left="480" w:hanging="358"/>
        <w:spacing w:after="0"/>
        <w:tabs>
          <w:tab w:leader="none" w:pos="480" w:val="left"/>
        </w:tabs>
        <w:numPr>
          <w:ilvl w:val="0"/>
          <w:numId w:val="2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Executive knowingly and voluntarily accepts the terms of this Agreement; and (iv) the Executive is</w:t>
      </w:r>
    </w:p>
    <w:p>
      <w:pPr>
        <w:spacing w:after="0" w:line="13" w:lineRule="exact"/>
        <w:rPr>
          <w:sz w:val="20"/>
          <w:szCs w:val="20"/>
          <w:color w:val="auto"/>
        </w:rPr>
      </w:pPr>
    </w:p>
    <w:p>
      <w:pPr>
        <w:jc w:val="both"/>
        <w:ind w:left="120" w:right="159"/>
        <w:spacing w:after="0" w:line="259" w:lineRule="auto"/>
        <w:rPr>
          <w:sz w:val="20"/>
          <w:szCs w:val="20"/>
          <w:color w:val="auto"/>
        </w:rPr>
      </w:pPr>
      <w:r>
        <w:rPr>
          <w:rFonts w:ascii="Times New Roman" w:cs="Times New Roman" w:eastAsia="Times New Roman" w:hAnsi="Times New Roman"/>
          <w:sz w:val="19"/>
          <w:szCs w:val="19"/>
          <w:color w:val="auto"/>
        </w:rPr>
        <w:t>providing this release and discharge only in exchange for consideration in addition to anything of value to which the Executive is already entitled. The Executive also understands that the Executive has seven (7) days following the date on which the Executive signs this Agreement within which to revoke the release contained in this paragraph 2(b), by providing the Company a written notice of the Executive’s revocation of the release and waiver contained in this paragraph 2(b); provided, however, that if the Executive exercises the Executive’s right to revoke the release contained in this paragraph 2(b), the Executive shall not be entitled to any amounts paid to the Executive under the termination provisions of the Employment Agreement and the Company may reclaim any such amounts paid to the Executive and may terminate any benefits and payments that are subsequently due under the Employment Agreement, except as prohibited by the ADEA and OWBPA.</w:t>
      </w:r>
    </w:p>
    <w:p>
      <w:pPr>
        <w:spacing w:after="0" w:line="169" w:lineRule="exact"/>
        <w:rPr>
          <w:sz w:val="20"/>
          <w:szCs w:val="20"/>
          <w:color w:val="auto"/>
        </w:rPr>
      </w:pPr>
    </w:p>
    <w:p>
      <w:pPr>
        <w:ind w:left="120" w:right="179" w:firstLine="1275"/>
        <w:spacing w:after="0" w:line="300" w:lineRule="auto"/>
        <w:tabs>
          <w:tab w:leader="none" w:pos="2056" w:val="left"/>
        </w:tabs>
        <w:numPr>
          <w:ilvl w:val="0"/>
          <w:numId w:val="2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Assignment</w:t>
      </w:r>
      <w:r>
        <w:rPr>
          <w:rFonts w:ascii="Times New Roman" w:cs="Times New Roman" w:eastAsia="Times New Roman" w:hAnsi="Times New Roman"/>
          <w:sz w:val="19"/>
          <w:szCs w:val="19"/>
          <w:color w:val="auto"/>
        </w:rPr>
        <w:t>. The Executive represents and warrants that the Executive has not assigned any of the Claims being released under this Agreement. The Company may assign this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_______________________</w:t>
      </w:r>
    </w:p>
    <w:p>
      <w:pPr>
        <w:spacing w:after="0" w:line="130" w:lineRule="exact"/>
        <w:rPr>
          <w:sz w:val="20"/>
          <w:szCs w:val="20"/>
          <w:color w:val="auto"/>
        </w:rPr>
      </w:pPr>
    </w:p>
    <w:p>
      <w:pPr>
        <w:ind w:left="200" w:hanging="78"/>
        <w:spacing w:after="0"/>
        <w:tabs>
          <w:tab w:leader="none" w:pos="200" w:val="left"/>
        </w:tabs>
        <w:numPr>
          <w:ilvl w:val="0"/>
          <w:numId w:val="250"/>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45 days in a RIF scenario</w:t>
      </w:r>
    </w:p>
    <w:p>
      <w:pPr>
        <w:sectPr>
          <w:pgSz w:w="11900" w:h="16838" w:orient="portrait"/>
          <w:cols w:equalWidth="0" w:num="1">
            <w:col w:w="9019"/>
          </w:cols>
          <w:pgMar w:left="1440" w:top="1389" w:right="1440" w:bottom="1440" w:gutter="0" w:footer="0" w:header="0"/>
        </w:sectPr>
      </w:pPr>
    </w:p>
    <w:bookmarkStart w:id="231" w:name="page232"/>
    <w:bookmarkEnd w:id="231"/>
    <w:p>
      <w:pPr>
        <w:ind w:left="120" w:right="419"/>
        <w:spacing w:after="0" w:line="285" w:lineRule="auto"/>
        <w:rPr>
          <w:sz w:val="20"/>
          <w:szCs w:val="20"/>
          <w:color w:val="auto"/>
        </w:rPr>
      </w:pPr>
      <w:r>
        <w:rPr>
          <w:rFonts w:ascii="Times New Roman" w:cs="Times New Roman" w:eastAsia="Times New Roman" w:hAnsi="Times New Roman"/>
          <w:sz w:val="19"/>
          <w:szCs w:val="19"/>
          <w:color w:val="auto"/>
        </w:rPr>
        <w:t>Agreement, in whole or in part, to any affiliated company or subsidiary of, or any successor in interest to, the Company.</w:t>
      </w:r>
    </w:p>
    <w:p>
      <w:pPr>
        <w:spacing w:after="0" w:line="157" w:lineRule="exact"/>
        <w:rPr>
          <w:sz w:val="20"/>
          <w:szCs w:val="20"/>
          <w:color w:val="auto"/>
        </w:rPr>
      </w:pPr>
    </w:p>
    <w:p>
      <w:pPr>
        <w:jc w:val="both"/>
        <w:ind w:left="120" w:right="159" w:firstLine="1513"/>
        <w:spacing w:after="0" w:line="258" w:lineRule="auto"/>
        <w:tabs>
          <w:tab w:leader="none" w:pos="2054" w:val="left"/>
        </w:tabs>
        <w:numPr>
          <w:ilvl w:val="0"/>
          <w:numId w:val="2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Communications with Administrative Agencies</w:t>
      </w:r>
      <w:r>
        <w:rPr>
          <w:rFonts w:ascii="Times New Roman" w:cs="Times New Roman" w:eastAsia="Times New Roman" w:hAnsi="Times New Roman"/>
          <w:sz w:val="19"/>
          <w:szCs w:val="19"/>
          <w:color w:val="auto"/>
        </w:rPr>
        <w:t>. Nothing in this Agreement precludes or is intended to preclude the Executive from: (i) filing a complaint and/or charge with any federal, state, or local governmental agency and/or cooperating with said agency in an investigation, including but not limited to the Equal Employment Opportunity Commission and the Securities and Exchange Commission; (ii) responding to a request for information from any governmental agency, including without limitation, agencies overseeing unemployment insurance benefits and taxing authorities; or (iii) engaging in activities protected by state, local or federal law. Should any complaint, action or charge be brought against a Releasee concerning Executive’s employment with the Company or the cessation thereof (or any other matter released pursuant to paragraph 2), Executive has waived, by signing this Agreement (unless such waiver is prohibited by applicable law), any right to any individual relief, including monetary damages, in connection with such complaint or charge, regardless of who brings any such complaint or charge, except that this Agreement does not limit Executive’s right to receive an award for information provided to any governmental agency.</w:t>
      </w:r>
    </w:p>
    <w:p>
      <w:pPr>
        <w:spacing w:after="0" w:line="189" w:lineRule="exact"/>
        <w:rPr>
          <w:rFonts w:ascii="Times New Roman" w:cs="Times New Roman" w:eastAsia="Times New Roman" w:hAnsi="Times New Roman"/>
          <w:sz w:val="19"/>
          <w:szCs w:val="19"/>
          <w:color w:val="auto"/>
        </w:rPr>
      </w:pPr>
    </w:p>
    <w:p>
      <w:pPr>
        <w:jc w:val="both"/>
        <w:ind w:left="120" w:right="159" w:firstLine="1512"/>
        <w:spacing w:after="0" w:line="258" w:lineRule="auto"/>
        <w:tabs>
          <w:tab w:leader="none" w:pos="2054" w:val="left"/>
        </w:tabs>
        <w:numPr>
          <w:ilvl w:val="0"/>
          <w:numId w:val="2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Remedies</w:t>
      </w:r>
      <w:r>
        <w:rPr>
          <w:rFonts w:ascii="Times New Roman" w:cs="Times New Roman" w:eastAsia="Times New Roman" w:hAnsi="Times New Roman"/>
          <w:sz w:val="19"/>
          <w:szCs w:val="19"/>
          <w:color w:val="auto"/>
        </w:rPr>
        <w:t>. In the event the Executive initiates or voluntarily participates in any Proceeding in violation of this Agreement, or if the Executive fails to abide by any of the terms of this Agreement or the Executive’s post-termination obligations contained in the Employment Agreement, the Company may, in addition to any other remedies it may have, reclaim any amounts paid to the Executive under the termination provisions of the Employment Agreement and terminate any benefits or payments that are subsequently due under the Employment Agreement, except as prohibited by the ADEA and OWBPA, without waiving the release granted herein. The Executive acknowledges and agrees that the remedy at law available to the Company for breach of any of the Executive’s post-termination obligations under the Employment Agreement or the Executive’s obligations under paragraphs 2 and 3 herein would be inadequate and that damages flowing from such a breach may not readily be susceptible to being measured in monetary terms. Accordingly, the Executive acknowledges, consents and agrees that, in addition to any other rights or remedies that the Company may have at law or in equity or as may otherwise be set forth in the Employment Agreement, the Company shall be entitled to seek a temporary restraining order or a preliminary or permanent injunction, or both, without bond or other security, restraining the Executive from breaching the Executive’s post-termination obligations under the Employment Agreement or the Executive’s obligations under paragraphs 2 and 3 herein. Such injunctive relief in any court shall be available to the Company, in lieu of, or prior to or pending determination in, any arbitration proceeding.</w:t>
      </w:r>
    </w:p>
    <w:p>
      <w:pPr>
        <w:spacing w:after="0" w:line="200" w:lineRule="exact"/>
        <w:rPr>
          <w:sz w:val="20"/>
          <w:szCs w:val="20"/>
          <w:color w:val="auto"/>
        </w:rPr>
      </w:pPr>
    </w:p>
    <w:p>
      <w:pPr>
        <w:spacing w:after="0" w:line="216" w:lineRule="exact"/>
        <w:rPr>
          <w:sz w:val="20"/>
          <w:szCs w:val="20"/>
          <w:color w:val="auto"/>
        </w:rPr>
      </w:pPr>
    </w:p>
    <w:p>
      <w:pPr>
        <w:jc w:val="both"/>
        <w:ind w:left="120" w:right="159" w:firstLine="636"/>
        <w:spacing w:after="0" w:line="273" w:lineRule="auto"/>
        <w:rPr>
          <w:sz w:val="20"/>
          <w:szCs w:val="20"/>
          <w:color w:val="auto"/>
        </w:rPr>
      </w:pPr>
      <w:r>
        <w:rPr>
          <w:rFonts w:ascii="Times New Roman" w:cs="Times New Roman" w:eastAsia="Times New Roman" w:hAnsi="Times New Roman"/>
          <w:sz w:val="19"/>
          <w:szCs w:val="19"/>
          <w:color w:val="auto"/>
        </w:rPr>
        <w:t>The Executive understands that by entering into this Agreement the Executive shall be limiting the availability of certain remedies that the Executive may have against the Company and limiting also the Executive’s ability to pursue certain claims against the Company.</w:t>
      </w:r>
    </w:p>
    <w:p>
      <w:pPr>
        <w:spacing w:after="0" w:line="169" w:lineRule="exact"/>
        <w:rPr>
          <w:sz w:val="20"/>
          <w:szCs w:val="20"/>
          <w:color w:val="auto"/>
        </w:rPr>
      </w:pPr>
    </w:p>
    <w:p>
      <w:pPr>
        <w:jc w:val="both"/>
        <w:ind w:left="120" w:right="159" w:firstLine="1513"/>
        <w:spacing w:after="0" w:line="273" w:lineRule="auto"/>
        <w:tabs>
          <w:tab w:leader="none" w:pos="2054" w:val="left"/>
        </w:tabs>
        <w:numPr>
          <w:ilvl w:val="0"/>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 Clause</w:t>
      </w:r>
      <w:r>
        <w:rPr>
          <w:rFonts w:ascii="Times New Roman" w:cs="Times New Roman" w:eastAsia="Times New Roman" w:hAnsi="Times New Roman"/>
          <w:sz w:val="19"/>
          <w:szCs w:val="19"/>
          <w:color w:val="auto"/>
        </w:rPr>
        <w:t>. In the event any provision or part of this Agreement is found to be invalid or unenforceable, only that particular provision or part so found, and not the entire Agreement, shall be inoperative.</w:t>
      </w:r>
    </w:p>
    <w:p>
      <w:pPr>
        <w:spacing w:after="0" w:line="168" w:lineRule="exact"/>
        <w:rPr>
          <w:rFonts w:ascii="Times New Roman" w:cs="Times New Roman" w:eastAsia="Times New Roman" w:hAnsi="Times New Roman"/>
          <w:sz w:val="19"/>
          <w:szCs w:val="19"/>
          <w:color w:val="auto"/>
        </w:rPr>
      </w:pPr>
    </w:p>
    <w:p>
      <w:pPr>
        <w:ind w:left="120" w:right="159" w:firstLine="1513"/>
        <w:spacing w:after="0" w:line="285" w:lineRule="auto"/>
        <w:tabs>
          <w:tab w:leader="none" w:pos="2054" w:val="left"/>
        </w:tabs>
        <w:numPr>
          <w:ilvl w:val="0"/>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0B0B0B"/>
        </w:rPr>
        <w:t>Nonadmission</w:t>
      </w:r>
      <w:r>
        <w:rPr>
          <w:rFonts w:ascii="Times New Roman" w:cs="Times New Roman" w:eastAsia="Times New Roman" w:hAnsi="Times New Roman"/>
          <w:sz w:val="19"/>
          <w:szCs w:val="19"/>
          <w:color w:val="0B0B0B"/>
        </w:rPr>
        <w:t xml:space="preserve">. Nothing contained in this Agreement shall </w:t>
      </w:r>
      <w:r>
        <w:rPr>
          <w:rFonts w:ascii="Times New Roman" w:cs="Times New Roman" w:eastAsia="Times New Roman" w:hAnsi="Times New Roman"/>
          <w:sz w:val="19"/>
          <w:szCs w:val="19"/>
          <w:color w:val="000000"/>
        </w:rPr>
        <w:t>be deemed or construed as</w:t>
      </w:r>
      <w:r>
        <w:rPr>
          <w:rFonts w:ascii="Times New Roman" w:cs="Times New Roman" w:eastAsia="Times New Roman" w:hAnsi="Times New Roman"/>
          <w:sz w:val="19"/>
          <w:szCs w:val="19"/>
          <w:color w:val="0B0B0B"/>
        </w:rPr>
        <w:t xml:space="preserve"> </w:t>
      </w:r>
      <w:r>
        <w:rPr>
          <w:rFonts w:ascii="Times New Roman" w:cs="Times New Roman" w:eastAsia="Times New Roman" w:hAnsi="Times New Roman"/>
          <w:sz w:val="19"/>
          <w:szCs w:val="19"/>
          <w:color w:val="000000"/>
        </w:rPr>
        <w:t>an admission of wrongdoing or liability on the part of the Company.</w:t>
      </w:r>
    </w:p>
    <w:p>
      <w:pPr>
        <w:spacing w:after="0" w:line="156" w:lineRule="exact"/>
        <w:rPr>
          <w:rFonts w:ascii="Times New Roman" w:cs="Times New Roman" w:eastAsia="Times New Roman" w:hAnsi="Times New Roman"/>
          <w:sz w:val="19"/>
          <w:szCs w:val="19"/>
          <w:color w:val="auto"/>
        </w:rPr>
      </w:pPr>
    </w:p>
    <w:p>
      <w:pPr>
        <w:jc w:val="both"/>
        <w:ind w:left="120" w:right="159" w:firstLine="1512"/>
        <w:spacing w:after="0" w:line="264" w:lineRule="auto"/>
        <w:tabs>
          <w:tab w:leader="none" w:pos="2054" w:val="left"/>
        </w:tabs>
        <w:numPr>
          <w:ilvl w:val="0"/>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 AND FORUM</w:t>
      </w:r>
      <w:r>
        <w:rPr>
          <w:rFonts w:ascii="Times New Roman" w:cs="Times New Roman" w:eastAsia="Times New Roman" w:hAnsi="Times New Roman"/>
          <w:sz w:val="19"/>
          <w:szCs w:val="19"/>
          <w:color w:val="auto"/>
        </w:rPr>
        <w:t>. You acknowledge that this Agreement has been executed, in whole or in part, in New York. Accordingly, you agree that this Agreement and all matters or issues arising out of or relating to your employment with the Company shall be governed by the laws of the State of New York applicable to contracts entered into and performed entirely therein. Any action to enforce or otherwise relating to this Agreement and the rights and obligations hereunder</w:t>
      </w:r>
    </w:p>
    <w:p>
      <w:pPr>
        <w:sectPr>
          <w:pgSz w:w="11900" w:h="16838" w:orient="portrait"/>
          <w:cols w:equalWidth="0" w:num="1">
            <w:col w:w="9019"/>
          </w:cols>
          <w:pgMar w:left="1440" w:top="1389" w:right="1440" w:bottom="1440" w:gutter="0" w:footer="0" w:header="0"/>
        </w:sectPr>
      </w:pPr>
    </w:p>
    <w:bookmarkStart w:id="232" w:name="page233"/>
    <w:bookmarkEnd w:id="232"/>
    <w:p>
      <w:pPr>
        <w:ind w:left="120"/>
        <w:spacing w:after="0"/>
        <w:rPr>
          <w:sz w:val="20"/>
          <w:szCs w:val="20"/>
          <w:color w:val="auto"/>
        </w:rPr>
      </w:pPr>
      <w:r>
        <w:rPr>
          <w:rFonts w:ascii="Times New Roman" w:cs="Times New Roman" w:eastAsia="Times New Roman" w:hAnsi="Times New Roman"/>
          <w:sz w:val="19"/>
          <w:szCs w:val="19"/>
          <w:color w:val="auto"/>
        </w:rPr>
        <w:t>shall be brought solely in the state or federal courts located in the City of New York, Borough of Manhattan.</w:t>
      </w:r>
    </w:p>
    <w:p>
      <w:pPr>
        <w:spacing w:after="0" w:line="219" w:lineRule="exact"/>
        <w:rPr>
          <w:sz w:val="20"/>
          <w:szCs w:val="20"/>
          <w:color w:val="auto"/>
        </w:rPr>
      </w:pPr>
    </w:p>
    <w:p>
      <w:pPr>
        <w:jc w:val="both"/>
        <w:ind w:left="120" w:right="159" w:firstLine="1512"/>
        <w:spacing w:after="0" w:line="264" w:lineRule="auto"/>
        <w:tabs>
          <w:tab w:leader="none" w:pos="2054" w:val="left"/>
        </w:tabs>
        <w:numPr>
          <w:ilvl w:val="0"/>
          <w:numId w:val="2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Notices under this Agreement must be given in writing, by personal delivery, regular mail or receipted email, at the parties’ respective addresses shown on this Agreement (or any other address designated in writing by either party), with a copy, in the case of the Company, to the attention of the Paramount General Counsel. Any notice given by regular mail shall be deemed to have been given three (3) days following such mailing.</w:t>
      </w:r>
    </w:p>
    <w:p>
      <w:pPr>
        <w:spacing w:after="0" w:line="172" w:lineRule="exact"/>
        <w:rPr>
          <w:sz w:val="20"/>
          <w:szCs w:val="20"/>
          <w:color w:val="auto"/>
        </w:rPr>
      </w:pPr>
    </w:p>
    <w:p>
      <w:pPr>
        <w:jc w:val="both"/>
        <w:ind w:left="120" w:right="179" w:firstLine="636"/>
        <w:spacing w:after="0" w:line="265" w:lineRule="auto"/>
        <w:rPr>
          <w:sz w:val="20"/>
          <w:szCs w:val="20"/>
          <w:color w:val="auto"/>
        </w:rPr>
      </w:pPr>
      <w:r>
        <w:rPr>
          <w:rFonts w:ascii="Times New Roman" w:cs="Times New Roman" w:eastAsia="Times New Roman" w:hAnsi="Times New Roman"/>
          <w:sz w:val="19"/>
          <w:szCs w:val="19"/>
          <w:b w:val="1"/>
          <w:bCs w:val="1"/>
          <w:color w:val="auto"/>
        </w:rPr>
        <w:t>THE EXECUTIVE ACKNOWLEDGES THAT THE EXECUTIVE HAS READ THIS AGREEMENT AND THAT THE EXECUTIVE FULLY KNOWS, UNDERSTANDS AND APPRECIATES ITS CONTENTS, AND THAT THE EXECUTIVE HEREBY EXECUTES THE SAME AND MAKES THIS AGREEMENT AND THE RELEASE AND AGREEMENTS PROVIDED FOR HEREIN VOLUNTARILY AND OF THE EXECUTIVE’S OWN FREE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[REMAINDER OF PAGE INTENTIONALLY LEFT BLANK]</w:t>
      </w:r>
    </w:p>
    <w:p>
      <w:pPr>
        <w:sectPr>
          <w:pgSz w:w="11900" w:h="16838" w:orient="portrait"/>
          <w:cols w:equalWidth="0" w:num="1">
            <w:col w:w="9019"/>
          </w:cols>
          <w:pgMar w:left="1440" w:top="1389" w:right="1440" w:bottom="1440" w:gutter="0" w:footer="0" w:header="0"/>
        </w:sectPr>
      </w:pPr>
    </w:p>
    <w:bookmarkStart w:id="233" w:name="page234"/>
    <w:bookmarkEnd w:id="233"/>
    <w:p>
      <w:pPr>
        <w:jc w:val="center"/>
        <w:spacing w:after="0"/>
        <w:rPr>
          <w:sz w:val="20"/>
          <w:szCs w:val="20"/>
          <w:color w:val="auto"/>
        </w:rPr>
      </w:pPr>
      <w:r>
        <w:rPr>
          <w:rFonts w:ascii="Times New Roman" w:cs="Times New Roman" w:eastAsia="Times New Roman" w:hAnsi="Times New Roman"/>
          <w:sz w:val="19"/>
          <w:szCs w:val="19"/>
          <w:color w:val="auto"/>
        </w:rPr>
        <w:t>IN WITNESS WHEREOF, the parties have executed this Agreement as of the date first set forth</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above.</w:t>
      </w:r>
    </w:p>
    <w:p>
      <w:pPr>
        <w:spacing w:after="0" w:line="25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b w:val="1"/>
          <w:bCs w:val="1"/>
          <w:color w:val="auto"/>
        </w:rPr>
        <w:t>[INSERT NAME OF EMPLOYER]</w:t>
      </w:r>
    </w:p>
    <w:p>
      <w:pPr>
        <w:spacing w:after="0" w:line="200" w:lineRule="exact"/>
        <w:rPr>
          <w:sz w:val="20"/>
          <w:szCs w:val="20"/>
          <w:color w:val="auto"/>
        </w:rPr>
      </w:pPr>
    </w:p>
    <w:p>
      <w:pPr>
        <w:spacing w:after="0" w:line="32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27305</wp:posOffset>
            </wp:positionV>
            <wp:extent cx="236410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2">
                      <a:extLst>
                        <a:ext uri="{28A0092B-C50C-407E-A947-70E740481C1C}"/>
                      </a:extLst>
                    </a:blip>
                    <a:srcRect/>
                    <a:stretch>
                      <a:fillRect/>
                    </a:stretch>
                  </pic:blipFill>
                  <pic:spPr bwMode="auto">
                    <a:xfrm>
                      <a:off x="0" y="0"/>
                      <a:ext cx="2364105" cy="8255"/>
                    </a:xfrm>
                    <a:prstGeom prst="rect">
                      <a:avLst/>
                    </a:prstGeom>
                    <a:noFill/>
                  </pic:spPr>
                </pic:pic>
              </a:graphicData>
            </a:graphic>
          </wp:anchor>
        </w:drawing>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9"/>
          <w:szCs w:val="19"/>
          <w:color w:val="auto"/>
        </w:rPr>
        <w:t>[Insert name of Company representative]</w:t>
      </w:r>
    </w:p>
    <w:p>
      <w:pPr>
        <w:spacing w:after="0" w:line="3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9"/>
          <w:szCs w:val="19"/>
          <w:color w:val="auto"/>
        </w:rPr>
        <w:t>Insert title of Company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b w:val="1"/>
          <w:bCs w:val="1"/>
          <w:color w:val="auto"/>
        </w:rPr>
        <w:t>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3137535</wp:posOffset>
            </wp:positionH>
            <wp:positionV relativeFrom="paragraph">
              <wp:posOffset>366395</wp:posOffset>
            </wp:positionV>
            <wp:extent cx="25831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3">
                      <a:extLst>
                        <a:ext uri="{28A0092B-C50C-407E-A947-70E740481C1C}"/>
                      </a:extLst>
                    </a:blip>
                    <a:srcRect/>
                    <a:stretch>
                      <a:fillRect/>
                    </a:stretch>
                  </pic:blipFill>
                  <pic:spPr bwMode="auto">
                    <a:xfrm>
                      <a:off x="0" y="0"/>
                      <a:ext cx="258318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auto"/>
        </w:rPr>
        <w:t>[Insert name of Executive]</w:t>
      </w:r>
    </w:p>
    <w:p>
      <w:pPr>
        <w:spacing w:after="0" w:line="29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3507740</wp:posOffset>
            </wp:positionH>
            <wp:positionV relativeFrom="paragraph">
              <wp:posOffset>27305</wp:posOffset>
            </wp:positionV>
            <wp:extent cx="221297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4">
                      <a:extLst>
                        <a:ext uri="{28A0092B-C50C-407E-A947-70E740481C1C}"/>
                      </a:extLst>
                    </a:blip>
                    <a:srcRect/>
                    <a:stretch>
                      <a:fillRect/>
                    </a:stretch>
                  </pic:blipFill>
                  <pic:spPr bwMode="auto">
                    <a:xfrm>
                      <a:off x="0" y="0"/>
                      <a:ext cx="2212975" cy="8255"/>
                    </a:xfrm>
                    <a:prstGeom prst="rect">
                      <a:avLst/>
                    </a:prstGeom>
                    <a:noFill/>
                  </pic:spPr>
                </pic:pic>
              </a:graphicData>
            </a:graphic>
          </wp:anchor>
        </w:drawing>
      </w:r>
    </w:p>
    <w:p>
      <w:pPr>
        <w:sectPr>
          <w:pgSz w:w="11900" w:h="16838" w:orient="portrait"/>
          <w:cols w:equalWidth="0" w:num="1">
            <w:col w:w="9019"/>
          </w:cols>
          <w:pgMar w:left="1440" w:top="1389" w:right="1440"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19"/>
          <w:szCs w:val="19"/>
          <w:b w:val="1"/>
          <w:bCs w:val="1"/>
          <w:color w:val="auto"/>
        </w:rPr>
        <w:t>Exhibit 10(x)</w:t>
      </w:r>
    </w:p>
    <w:p>
      <w:pPr>
        <w:spacing w:after="0" w:line="200" w:lineRule="exact"/>
        <w:rPr>
          <w:sz w:val="20"/>
          <w:szCs w:val="20"/>
          <w:color w:val="auto"/>
        </w:rPr>
      </w:pPr>
    </w:p>
    <w:p>
      <w:pPr>
        <w:spacing w:after="0" w:line="342" w:lineRule="exact"/>
        <w:rPr>
          <w:sz w:val="20"/>
          <w:szCs w:val="20"/>
          <w:color w:val="auto"/>
        </w:rPr>
      </w:pPr>
    </w:p>
    <w:p>
      <w:pPr>
        <w:ind w:left="6180"/>
        <w:spacing w:after="0"/>
        <w:rPr>
          <w:sz w:val="20"/>
          <w:szCs w:val="20"/>
          <w:color w:val="auto"/>
        </w:rPr>
      </w:pPr>
      <w:r>
        <w:rPr>
          <w:rFonts w:ascii="Arial" w:cs="Arial" w:eastAsia="Arial" w:hAnsi="Arial"/>
          <w:sz w:val="19"/>
          <w:szCs w:val="19"/>
          <w:color w:val="auto"/>
        </w:rPr>
        <w:t>June 7, 2024</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George Cheeks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[address on file]</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Dear George:</w:t>
      </w:r>
    </w:p>
    <w:p>
      <w:pPr>
        <w:spacing w:after="0" w:line="166" w:lineRule="exact"/>
        <w:rPr>
          <w:sz w:val="20"/>
          <w:szCs w:val="20"/>
          <w:color w:val="auto"/>
        </w:rPr>
      </w:pPr>
    </w:p>
    <w:p>
      <w:pPr>
        <w:jc w:val="both"/>
        <w:ind w:right="100" w:firstLine="636"/>
        <w:spacing w:after="0" w:line="282" w:lineRule="auto"/>
        <w:rPr>
          <w:sz w:val="20"/>
          <w:szCs w:val="20"/>
          <w:color w:val="auto"/>
        </w:rPr>
      </w:pPr>
      <w:r>
        <w:rPr>
          <w:rFonts w:ascii="Arial" w:cs="Arial" w:eastAsia="Arial" w:hAnsi="Arial"/>
          <w:sz w:val="19"/>
          <w:szCs w:val="19"/>
          <w:color w:val="auto"/>
        </w:rPr>
        <w:t>Reference is made to that certain employment agreement between you and the Company dated as of September 1, 2023 (your “</w:t>
      </w:r>
      <w:r>
        <w:rPr>
          <w:rFonts w:ascii="Arial" w:cs="Arial" w:eastAsia="Arial" w:hAnsi="Arial"/>
          <w:sz w:val="19"/>
          <w:szCs w:val="19"/>
          <w:u w:val="single" w:color="auto"/>
          <w:color w:val="auto"/>
        </w:rPr>
        <w:t>Employment Agreement</w:t>
      </w:r>
      <w:r>
        <w:rPr>
          <w:rFonts w:ascii="Arial" w:cs="Arial" w:eastAsia="Arial" w:hAnsi="Arial"/>
          <w:sz w:val="19"/>
          <w:szCs w:val="19"/>
          <w:color w:val="auto"/>
        </w:rPr>
        <w:t>”). All defined terms used but not defined herein shall have the meanings set forth in your Employment Agreement, as applicable.</w:t>
      </w:r>
    </w:p>
    <w:p>
      <w:pPr>
        <w:spacing w:after="0" w:line="9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This letter, when fully executed below, amends your Employment Agreement as follows:</w:t>
      </w:r>
    </w:p>
    <w:p>
      <w:pPr>
        <w:spacing w:after="0" w:line="179" w:lineRule="exact"/>
        <w:rPr>
          <w:sz w:val="20"/>
          <w:szCs w:val="20"/>
          <w:color w:val="auto"/>
        </w:rPr>
      </w:pPr>
    </w:p>
    <w:p>
      <w:pPr>
        <w:ind w:left="960" w:right="60" w:hanging="322"/>
        <w:spacing w:after="0" w:line="275" w:lineRule="auto"/>
        <w:tabs>
          <w:tab w:leader="none" w:pos="950" w:val="left"/>
        </w:tabs>
        <w:numPr>
          <w:ilvl w:val="0"/>
          <w:numId w:val="254"/>
        </w:numPr>
        <w:rPr>
          <w:rFonts w:ascii="Arial" w:cs="Arial" w:eastAsia="Arial" w:hAnsi="Arial"/>
          <w:sz w:val="19"/>
          <w:szCs w:val="19"/>
          <w:color w:val="auto"/>
        </w:rPr>
      </w:pPr>
      <w:r>
        <w:rPr>
          <w:rFonts w:ascii="Arial" w:cs="Arial" w:eastAsia="Arial" w:hAnsi="Arial"/>
          <w:sz w:val="19"/>
          <w:szCs w:val="19"/>
          <w:color w:val="auto"/>
        </w:rPr>
        <w:t>Paragraph 2 of the Employment Agreement shall be amended to reflect that, beginning May 1, 2024, you are a member of the Company’s Office of the CEO in addition to your duties as President and Chief Executive Officer, CBS Group and Chief Content Officer, News and Sports, Paramount+.</w:t>
      </w:r>
    </w:p>
    <w:p>
      <w:pPr>
        <w:spacing w:after="0" w:line="110" w:lineRule="exact"/>
        <w:rPr>
          <w:rFonts w:ascii="Arial" w:cs="Arial" w:eastAsia="Arial" w:hAnsi="Arial"/>
          <w:sz w:val="19"/>
          <w:szCs w:val="19"/>
          <w:color w:val="auto"/>
        </w:rPr>
      </w:pPr>
    </w:p>
    <w:p>
      <w:pPr>
        <w:ind w:left="960" w:right="280" w:hanging="322"/>
        <w:spacing w:after="0" w:line="275" w:lineRule="auto"/>
        <w:tabs>
          <w:tab w:leader="none" w:pos="950" w:val="left"/>
        </w:tabs>
        <w:numPr>
          <w:ilvl w:val="0"/>
          <w:numId w:val="254"/>
        </w:numPr>
        <w:rPr>
          <w:rFonts w:ascii="Arial" w:cs="Arial" w:eastAsia="Arial" w:hAnsi="Arial"/>
          <w:sz w:val="19"/>
          <w:szCs w:val="19"/>
          <w:color w:val="auto"/>
        </w:rPr>
      </w:pPr>
      <w:r>
        <w:rPr>
          <w:rFonts w:ascii="Arial" w:cs="Arial" w:eastAsia="Arial" w:hAnsi="Arial"/>
          <w:sz w:val="19"/>
          <w:szCs w:val="19"/>
          <w:color w:val="auto"/>
        </w:rPr>
        <w:t>Paragraph 3(b) shall be amended to provide that, for the period of time during which you serve as a member of the Company’s Office of the CEO, your STIP target shall increase to 285% of your Salary. The increased target is in effect beginning May 1, 2024 through the date on which you are relieved of your duties with the Office of the CEO.</w:t>
      </w:r>
    </w:p>
    <w:p>
      <w:pPr>
        <w:spacing w:after="0" w:line="97" w:lineRule="exact"/>
        <w:rPr>
          <w:sz w:val="20"/>
          <w:szCs w:val="20"/>
          <w:color w:val="auto"/>
        </w:rPr>
      </w:pPr>
    </w:p>
    <w:p>
      <w:pPr>
        <w:jc w:val="both"/>
        <w:ind w:right="120" w:firstLine="636"/>
        <w:spacing w:after="0" w:line="302" w:lineRule="auto"/>
        <w:rPr>
          <w:sz w:val="20"/>
          <w:szCs w:val="20"/>
          <w:color w:val="auto"/>
        </w:rPr>
      </w:pPr>
      <w:r>
        <w:rPr>
          <w:rFonts w:ascii="Arial" w:cs="Arial" w:eastAsia="Arial" w:hAnsi="Arial"/>
          <w:sz w:val="19"/>
          <w:szCs w:val="19"/>
          <w:color w:val="auto"/>
        </w:rPr>
        <w:t>Except as herein amended, all other terms and conditions of your Employment Agreement shall remain the same and your Employment Agreement as herein amended shall remain in full force and effect.</w:t>
      </w:r>
    </w:p>
    <w:p>
      <w:pPr>
        <w:spacing w:after="0" w:line="86" w:lineRule="exact"/>
        <w:rPr>
          <w:sz w:val="20"/>
          <w:szCs w:val="20"/>
          <w:color w:val="auto"/>
        </w:rPr>
      </w:pPr>
    </w:p>
    <w:p>
      <w:pPr>
        <w:jc w:val="both"/>
        <w:ind w:right="100" w:firstLine="636"/>
        <w:spacing w:after="0" w:line="275" w:lineRule="auto"/>
        <w:rPr>
          <w:sz w:val="20"/>
          <w:szCs w:val="20"/>
          <w:color w:val="auto"/>
        </w:rPr>
      </w:pPr>
      <w:r>
        <w:rPr>
          <w:rFonts w:ascii="Arial" w:cs="Arial" w:eastAsia="Arial" w:hAnsi="Arial"/>
          <w:sz w:val="19"/>
          <w:szCs w:val="19"/>
          <w:color w:val="auto"/>
        </w:rPr>
        <w:t>If the foregoing correctly sets forth our understanding, please sign and return this letter. This document shall constitute a binding agreement between us only after it also has been executed by the Company and a fully executed copy has been returned to you.</w:t>
      </w:r>
    </w:p>
    <w:p>
      <w:pPr>
        <w:spacing w:after="0" w:line="388" w:lineRule="exact"/>
        <w:rPr>
          <w:sz w:val="20"/>
          <w:szCs w:val="20"/>
          <w:color w:val="auto"/>
        </w:rPr>
      </w:pPr>
    </w:p>
    <w:p>
      <w:pPr>
        <w:ind w:left="6360"/>
        <w:spacing w:after="0"/>
        <w:rPr>
          <w:sz w:val="20"/>
          <w:szCs w:val="20"/>
          <w:color w:val="auto"/>
        </w:rPr>
      </w:pPr>
      <w:r>
        <w:rPr>
          <w:rFonts w:ascii="Arial" w:cs="Arial" w:eastAsia="Arial" w:hAnsi="Arial"/>
          <w:sz w:val="19"/>
          <w:szCs w:val="19"/>
          <w:color w:val="auto"/>
        </w:rPr>
        <w:t>Very truly yours,</w:t>
      </w:r>
    </w:p>
    <w:p>
      <w:pPr>
        <w:spacing w:after="0" w:line="310" w:lineRule="exact"/>
        <w:rPr>
          <w:sz w:val="20"/>
          <w:szCs w:val="20"/>
          <w:color w:val="auto"/>
        </w:rPr>
      </w:pPr>
    </w:p>
    <w:p>
      <w:pPr>
        <w:ind w:left="6360"/>
        <w:spacing w:after="0"/>
        <w:rPr>
          <w:sz w:val="20"/>
          <w:szCs w:val="20"/>
          <w:color w:val="auto"/>
        </w:rPr>
      </w:pPr>
      <w:r>
        <w:rPr>
          <w:rFonts w:ascii="Arial" w:cs="Arial" w:eastAsia="Arial" w:hAnsi="Arial"/>
          <w:sz w:val="19"/>
          <w:szCs w:val="19"/>
          <w:b w:val="1"/>
          <w:bCs w:val="1"/>
          <w:color w:val="auto"/>
        </w:rPr>
        <w:t>PARAMOUNT GLOBAL</w:t>
      </w:r>
    </w:p>
    <w:p>
      <w:pPr>
        <w:spacing w:after="0" w:line="247" w:lineRule="exact"/>
        <w:rPr>
          <w:sz w:val="20"/>
          <w:szCs w:val="20"/>
          <w:color w:val="auto"/>
        </w:rPr>
      </w:pPr>
    </w:p>
    <w:p>
      <w:pPr>
        <w:ind w:left="6360"/>
        <w:spacing w:after="0"/>
        <w:tabs>
          <w:tab w:leader="none" w:pos="6800" w:val="left"/>
        </w:tabs>
        <w:rPr>
          <w:sz w:val="20"/>
          <w:szCs w:val="20"/>
          <w:color w:val="auto"/>
        </w:rPr>
      </w:pPr>
      <w:r>
        <w:rPr>
          <w:rFonts w:ascii="Arial" w:cs="Arial" w:eastAsia="Arial" w:hAnsi="Arial"/>
          <w:sz w:val="19"/>
          <w:szCs w:val="19"/>
          <w:color w:val="auto"/>
        </w:rPr>
        <w:t>By:</w:t>
        <w:tab/>
        <w:t>/s/ Nancy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4290060</wp:posOffset>
            </wp:positionH>
            <wp:positionV relativeFrom="paragraph">
              <wp:posOffset>26670</wp:posOffset>
            </wp:positionV>
            <wp:extent cx="273431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5">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40" w:lineRule="exact"/>
        <w:rPr>
          <w:sz w:val="20"/>
          <w:szCs w:val="20"/>
          <w:color w:val="auto"/>
        </w:rPr>
      </w:pPr>
    </w:p>
    <w:p>
      <w:pPr>
        <w:ind w:left="6780"/>
        <w:spacing w:after="0"/>
        <w:tabs>
          <w:tab w:leader="none" w:pos="7500" w:val="left"/>
        </w:tabs>
        <w:rPr>
          <w:sz w:val="20"/>
          <w:szCs w:val="20"/>
          <w:color w:val="auto"/>
        </w:rPr>
      </w:pPr>
      <w:r>
        <w:rPr>
          <w:rFonts w:ascii="Arial" w:cs="Arial" w:eastAsia="Arial" w:hAnsi="Arial"/>
          <w:sz w:val="19"/>
          <w:szCs w:val="19"/>
          <w:color w:val="auto"/>
        </w:rPr>
        <w:t>Name:</w:t>
        <w:tab/>
        <w:t>Nancy Phillips</w:t>
      </w:r>
    </w:p>
    <w:p>
      <w:pPr>
        <w:spacing w:after="0" w:line="64" w:lineRule="exact"/>
        <w:rPr>
          <w:sz w:val="20"/>
          <w:szCs w:val="20"/>
          <w:color w:val="auto"/>
        </w:rPr>
      </w:pPr>
    </w:p>
    <w:p>
      <w:pPr>
        <w:ind w:left="6780"/>
        <w:spacing w:after="0"/>
        <w:tabs>
          <w:tab w:leader="none" w:pos="75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color w:val="auto"/>
        </w:rPr>
        <w:t>Executive Vice President,</w:t>
      </w:r>
    </w:p>
    <w:p>
      <w:pPr>
        <w:spacing w:after="0" w:line="42" w:lineRule="exact"/>
        <w:rPr>
          <w:sz w:val="20"/>
          <w:szCs w:val="20"/>
          <w:color w:val="auto"/>
        </w:rPr>
      </w:pPr>
    </w:p>
    <w:p>
      <w:pPr>
        <w:ind w:left="7520"/>
        <w:spacing w:after="0"/>
        <w:rPr>
          <w:sz w:val="20"/>
          <w:szCs w:val="20"/>
          <w:color w:val="auto"/>
        </w:rPr>
      </w:pPr>
      <w:r>
        <w:rPr>
          <w:rFonts w:ascii="Arial" w:cs="Arial" w:eastAsia="Arial" w:hAnsi="Arial"/>
          <w:sz w:val="19"/>
          <w:szCs w:val="19"/>
          <w:color w:val="auto"/>
        </w:rPr>
        <w:t>Chief People Officer</w:t>
      </w: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ACCEPTED AND AGREED:</w:t>
      </w:r>
    </w:p>
    <w:p>
      <w:pPr>
        <w:spacing w:after="0" w:line="300" w:lineRule="exact"/>
        <w:rPr>
          <w:sz w:val="20"/>
          <w:szCs w:val="20"/>
          <w:color w:val="auto"/>
        </w:rPr>
      </w:pPr>
    </w:p>
    <w:p>
      <w:pPr>
        <w:spacing w:after="0"/>
        <w:rPr>
          <w:sz w:val="20"/>
          <w:szCs w:val="20"/>
          <w:color w:val="auto"/>
        </w:rPr>
      </w:pPr>
      <w:r>
        <w:rPr>
          <w:rFonts w:ascii="Arial" w:cs="Arial" w:eastAsia="Arial" w:hAnsi="Arial"/>
          <w:sz w:val="19"/>
          <w:szCs w:val="19"/>
          <w:color w:val="auto"/>
        </w:rPr>
        <w:t>/s/ George Cheeks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26670</wp:posOffset>
            </wp:positionV>
            <wp:extent cx="213677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6">
                      <a:extLst>
                        <a:ext uri="{28A0092B-C50C-407E-A947-70E740481C1C}"/>
                      </a:extLst>
                    </a:blip>
                    <a:srcRect/>
                    <a:stretch>
                      <a:fillRect/>
                    </a:stretch>
                  </pic:blipFill>
                  <pic:spPr bwMode="auto">
                    <a:xfrm>
                      <a:off x="0" y="0"/>
                      <a:ext cx="2136775" cy="825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George Cheeks</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Dated: Jun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287020</wp:posOffset>
            </wp:positionV>
            <wp:extent cx="790575" cy="5721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7">
                      <a:extLst>
                        <a:ext uri="{28A0092B-C50C-407E-A947-70E740481C1C}"/>
                      </a:extLst>
                    </a:blip>
                    <a:srcRect/>
                    <a:stretch>
                      <a:fillRect/>
                    </a:stretch>
                  </pic:blipFill>
                  <pic:spPr bwMode="auto">
                    <a:xfrm>
                      <a:off x="0" y="0"/>
                      <a:ext cx="790575" cy="572135"/>
                    </a:xfrm>
                    <a:prstGeom prst="rect">
                      <a:avLst/>
                    </a:prstGeom>
                    <a:noFill/>
                  </pic:spPr>
                </pic:pic>
              </a:graphicData>
            </a:graphic>
          </wp:anchor>
        </w:drawing>
      </w:r>
    </w:p>
    <w:p>
      <w:pPr>
        <w:sectPr>
          <w:pgSz w:w="11900" w:h="16838" w:orient="portrait"/>
          <w:cols w:equalWidth="0" w:num="1">
            <w:col w:w="11060"/>
          </w:cols>
          <w:pgMar w:left="500" w:top="100" w:right="339"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19"/>
          <w:szCs w:val="19"/>
          <w:b w:val="1"/>
          <w:bCs w:val="1"/>
          <w:color w:val="auto"/>
        </w:rPr>
        <w:t>Exhibit 10(y)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1"/>
          <w:szCs w:val="21"/>
          <w:color w:val="auto"/>
        </w:rPr>
        <w:t>as of October 8, 2024</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George Cheeks</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c/o last address on file</w:t>
      </w:r>
    </w:p>
    <w:p>
      <w:pPr>
        <w:spacing w:after="0"/>
        <w:rPr>
          <w:sz w:val="20"/>
          <w:szCs w:val="20"/>
          <w:color w:val="auto"/>
        </w:rPr>
      </w:pPr>
      <w:r>
        <w:rPr>
          <w:rFonts w:ascii="Times New Roman" w:cs="Times New Roman" w:eastAsia="Times New Roman" w:hAnsi="Times New Roman"/>
          <w:sz w:val="21"/>
          <w:szCs w:val="21"/>
          <w:color w:val="auto"/>
        </w:rPr>
        <w:t>with the Company</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Dear George:</w:t>
      </w:r>
    </w:p>
    <w:p>
      <w:pPr>
        <w:spacing w:after="0" w:line="222" w:lineRule="exact"/>
        <w:rPr>
          <w:sz w:val="20"/>
          <w:szCs w:val="20"/>
          <w:color w:val="auto"/>
        </w:rPr>
      </w:pPr>
    </w:p>
    <w:p>
      <w:pPr>
        <w:jc w:val="both"/>
        <w:ind w:left="20" w:right="100" w:firstLine="636"/>
        <w:spacing w:after="0" w:line="262" w:lineRule="auto"/>
        <w:rPr>
          <w:sz w:val="20"/>
          <w:szCs w:val="20"/>
          <w:color w:val="auto"/>
        </w:rPr>
      </w:pPr>
      <w:r>
        <w:rPr>
          <w:rFonts w:ascii="Times New Roman" w:cs="Times New Roman" w:eastAsia="Times New Roman" w:hAnsi="Times New Roman"/>
          <w:sz w:val="21"/>
          <w:szCs w:val="21"/>
          <w:color w:val="auto"/>
        </w:rPr>
        <w:t>Reference is made to that certain employment agreement between you and Paramount Global (the “Company”), dated as of September 1, 2023 and subsequently amended effective June 7, 2024 (your “Employment Agreement”). All defined terms used without being defined herein shall have the meanings ascribed to them in your Employment Agreement. This letter, when fully executed below, further amends your Employment Agreement, effective on the date shown above unless otherwise provided herein, as set forth below (the “Amendment”).</w:t>
      </w:r>
    </w:p>
    <w:p>
      <w:pPr>
        <w:spacing w:after="0" w:line="166" w:lineRule="exact"/>
        <w:rPr>
          <w:sz w:val="20"/>
          <w:szCs w:val="20"/>
          <w:color w:val="auto"/>
        </w:rPr>
      </w:pPr>
    </w:p>
    <w:p>
      <w:pPr>
        <w:jc w:val="both"/>
        <w:ind w:left="20" w:right="100" w:firstLine="627"/>
        <w:spacing w:after="0" w:line="274" w:lineRule="auto"/>
        <w:tabs>
          <w:tab w:leader="none" w:pos="881" w:val="left"/>
        </w:tabs>
        <w:numPr>
          <w:ilvl w:val="0"/>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terms of the amendment to your Employment Agreement, dated June 7, 2024, shall no longer be of any force or effect. The Company hereby acknowledges that you have served as a member of the Office of the Chief Executive Officer of the Company and have performed duties consistent with that office since May 1, 2024.</w:t>
      </w:r>
    </w:p>
    <w:p>
      <w:pPr>
        <w:spacing w:after="0" w:line="153" w:lineRule="exact"/>
        <w:rPr>
          <w:rFonts w:ascii="Times New Roman" w:cs="Times New Roman" w:eastAsia="Times New Roman" w:hAnsi="Times New Roman"/>
          <w:sz w:val="21"/>
          <w:szCs w:val="21"/>
          <w:color w:val="auto"/>
        </w:rPr>
      </w:pPr>
    </w:p>
    <w:p>
      <w:pPr>
        <w:ind w:left="880" w:hanging="233"/>
        <w:spacing w:after="0"/>
        <w:tabs>
          <w:tab w:leader="none" w:pos="880" w:val="left"/>
        </w:tabs>
        <w:numPr>
          <w:ilvl w:val="0"/>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Paragraph 2 of your Employment Agreement is hereby amended by adding the following new paragraph to the end</w:t>
      </w:r>
    </w:p>
    <w:p>
      <w:pPr>
        <w:spacing w:after="0" w:line="34" w:lineRule="exact"/>
        <w:rPr>
          <w:rFonts w:ascii="Times New Roman" w:cs="Times New Roman" w:eastAsia="Times New Roman" w:hAnsi="Times New Roman"/>
          <w:sz w:val="21"/>
          <w:szCs w:val="21"/>
          <w:color w:val="auto"/>
        </w:rPr>
      </w:pPr>
    </w:p>
    <w:p>
      <w:pPr>
        <w:ind w:left="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thereof:</w:t>
      </w:r>
    </w:p>
    <w:p>
      <w:pPr>
        <w:spacing w:after="0" w:line="198" w:lineRule="exact"/>
        <w:rPr>
          <w:sz w:val="20"/>
          <w:szCs w:val="20"/>
          <w:color w:val="auto"/>
        </w:rPr>
      </w:pPr>
    </w:p>
    <w:p>
      <w:pPr>
        <w:jc w:val="both"/>
        <w:ind w:left="640" w:right="740"/>
        <w:spacing w:after="0" w:line="258" w:lineRule="auto"/>
        <w:rPr>
          <w:sz w:val="20"/>
          <w:szCs w:val="20"/>
          <w:color w:val="auto"/>
        </w:rPr>
      </w:pPr>
      <w:r>
        <w:rPr>
          <w:rFonts w:ascii="Times New Roman" w:cs="Times New Roman" w:eastAsia="Times New Roman" w:hAnsi="Times New Roman"/>
          <w:sz w:val="21"/>
          <w:szCs w:val="21"/>
          <w:color w:val="auto"/>
        </w:rPr>
        <w:t>“In addition to your duties, authorities and responsibilities as President and Chief Executive Officer, CBS Group and Chief Content Officer, News and Sports, Paramount+, you shall also serve as a Co-Chief Executive Officer of the Company and, together with one or more of your other colleagues serving as Co-Chief Executive Officers of the Company, shall perform all duties reasonable and consistent with such office as are customary for Chief Executive Officers of a public company comparable to Paramount and as may be assigned to you from time to time by the Board of Directors of the Company (the “Board”), and you shall report directly to the Board (either collectively or to any one or more individual members of the Board).”</w:t>
      </w:r>
    </w:p>
    <w:p>
      <w:pPr>
        <w:spacing w:after="0" w:line="170" w:lineRule="exact"/>
        <w:rPr>
          <w:sz w:val="20"/>
          <w:szCs w:val="20"/>
          <w:color w:val="auto"/>
        </w:rPr>
      </w:pPr>
    </w:p>
    <w:p>
      <w:pPr>
        <w:jc w:val="both"/>
        <w:ind w:left="20" w:right="100" w:firstLine="628"/>
        <w:spacing w:after="0" w:line="274" w:lineRule="auto"/>
        <w:tabs>
          <w:tab w:leader="none" w:pos="881"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Effective as of May 1, 2024, paragraph 3(b)(ii) of your Employment Agreement is hereby amended to increase your Target Bonus to 285% of your Salary. For purposes of clarity and avoidance of doubt, your Target Bonus for the 2024 fiscal year will be “blended” to reflect your Target Bonus in effect prior to and on and after May 1, 2024.</w:t>
      </w:r>
    </w:p>
    <w:p>
      <w:pPr>
        <w:spacing w:after="0" w:line="153" w:lineRule="exact"/>
        <w:rPr>
          <w:rFonts w:ascii="Times New Roman" w:cs="Times New Roman" w:eastAsia="Times New Roman" w:hAnsi="Times New Roman"/>
          <w:sz w:val="21"/>
          <w:szCs w:val="21"/>
          <w:color w:val="auto"/>
        </w:rPr>
      </w:pPr>
    </w:p>
    <w:p>
      <w:pPr>
        <w:ind w:left="20" w:right="120" w:firstLine="628"/>
        <w:spacing w:after="0" w:line="285" w:lineRule="auto"/>
        <w:tabs>
          <w:tab w:leader="none" w:pos="881"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Paragraph 11(a)(ii) of your Employment Agreement shall be amended to modify clauses (iii) and (iv) in their entirety to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561975</wp:posOffset>
            </wp:positionV>
            <wp:extent cx="732155" cy="5302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8">
                      <a:extLst>
                        <a:ext uri="{28A0092B-C50C-407E-A947-70E740481C1C}"/>
                      </a:extLst>
                    </a:blip>
                    <a:srcRect/>
                    <a:stretch>
                      <a:fillRect/>
                    </a:stretch>
                  </pic:blipFill>
                  <pic:spPr bwMode="auto">
                    <a:xfrm>
                      <a:off x="0" y="0"/>
                      <a:ext cx="732155" cy="530225"/>
                    </a:xfrm>
                    <a:prstGeom prst="rect">
                      <a:avLst/>
                    </a:prstGeom>
                    <a:noFill/>
                  </pic:spPr>
                </pic:pic>
              </a:graphicData>
            </a:graphic>
          </wp:anchor>
        </w:drawing>
      </w:r>
    </w:p>
    <w:p>
      <w:pPr>
        <w:sectPr>
          <w:pgSz w:w="11900" w:h="16838" w:orient="portrait"/>
          <w:cols w:equalWidth="0" w:num="1">
            <w:col w:w="10840"/>
          </w:cols>
          <w:pgMar w:left="720" w:top="100" w:right="3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21"/>
          <w:szCs w:val="21"/>
          <w:color w:val="auto"/>
        </w:rPr>
        <w:t>George Cheeks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 of October 8, 2024</w:t>
      </w:r>
    </w:p>
    <w:p>
      <w:pPr>
        <w:spacing w:after="0"/>
        <w:rPr>
          <w:sz w:val="20"/>
          <w:szCs w:val="20"/>
          <w:color w:val="auto"/>
        </w:rPr>
      </w:pPr>
      <w:r>
        <w:rPr>
          <w:rFonts w:ascii="Times New Roman" w:cs="Times New Roman" w:eastAsia="Times New Roman" w:hAnsi="Times New Roman"/>
          <w:sz w:val="21"/>
          <w:szCs w:val="21"/>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1000" w:right="640"/>
        <w:spacing w:after="0" w:line="258" w:lineRule="auto"/>
        <w:rPr>
          <w:sz w:val="20"/>
          <w:szCs w:val="20"/>
          <w:color w:val="auto"/>
        </w:rPr>
      </w:pPr>
      <w:r>
        <w:rPr>
          <w:rFonts w:ascii="Times New Roman" w:cs="Times New Roman" w:eastAsia="Times New Roman" w:hAnsi="Times New Roman"/>
          <w:sz w:val="21"/>
          <w:szCs w:val="21"/>
          <w:color w:val="auto"/>
        </w:rPr>
        <w:t>“(iii) the assignment to you of duties or responsibilities substantially inconsistent with your position(s) or duties, including as Co-Chief Executive Officer of the Company; (iv) the material reduction in your position, title, offices, authorities, duties or responsibilities, including as Co-Chief Executive Officer of the Company (for avoidance of doubt, any such reduction that results in your no longer serving as the highest ranking executive of CBS Entertainment Groupk including by appointment of a co-President or co-Chief Executive Officer of CBS Entertainment Group, shall be considered a material reduction in your position, title, offices, authorities, duties or responsibilities under this clause (iv));”</w:t>
      </w:r>
    </w:p>
    <w:p>
      <w:pPr>
        <w:spacing w:after="0" w:line="170" w:lineRule="exact"/>
        <w:rPr>
          <w:sz w:val="20"/>
          <w:szCs w:val="20"/>
          <w:color w:val="auto"/>
        </w:rPr>
      </w:pPr>
    </w:p>
    <w:p>
      <w:pPr>
        <w:ind w:left="380" w:right="20" w:firstLine="628"/>
        <w:spacing w:after="0" w:line="285" w:lineRule="auto"/>
        <w:tabs>
          <w:tab w:leader="none" w:pos="1241" w:val="left"/>
        </w:tabs>
        <w:numPr>
          <w:ilvl w:val="0"/>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Paragraph 11(a)(ii) of your Employment Agreement is hereby further amended to add the following sentence to the end thereof:</w:t>
      </w:r>
    </w:p>
    <w:p>
      <w:pPr>
        <w:spacing w:after="0" w:line="142" w:lineRule="exact"/>
        <w:rPr>
          <w:sz w:val="20"/>
          <w:szCs w:val="20"/>
          <w:color w:val="auto"/>
        </w:rPr>
      </w:pPr>
    </w:p>
    <w:p>
      <w:pPr>
        <w:jc w:val="both"/>
        <w:ind w:left="1000" w:right="640"/>
        <w:spacing w:after="0" w:line="274" w:lineRule="auto"/>
        <w:rPr>
          <w:sz w:val="20"/>
          <w:szCs w:val="20"/>
          <w:color w:val="auto"/>
        </w:rPr>
      </w:pPr>
      <w:r>
        <w:rPr>
          <w:rFonts w:ascii="Times New Roman" w:cs="Times New Roman" w:eastAsia="Times New Roman" w:hAnsi="Times New Roman"/>
          <w:sz w:val="21"/>
          <w:szCs w:val="21"/>
          <w:color w:val="auto"/>
        </w:rPr>
        <w:t>“Notwithstanding the provisions of paragraph 11(a)(i) above, the parties acknowledge and agree that the actions or events described in clauses (iii) and (iv) of the preceding sentence are incapable of cure such that the last sentence of paragraph 11(a)(i) shall not be applicable in either such circumstance.”</w:t>
      </w:r>
    </w:p>
    <w:p>
      <w:pPr>
        <w:spacing w:after="0" w:line="153" w:lineRule="exact"/>
        <w:rPr>
          <w:sz w:val="20"/>
          <w:szCs w:val="20"/>
          <w:color w:val="auto"/>
        </w:rPr>
      </w:pPr>
    </w:p>
    <w:p>
      <w:pPr>
        <w:jc w:val="both"/>
        <w:ind w:left="380" w:firstLine="627"/>
        <w:spacing w:after="0" w:line="266" w:lineRule="auto"/>
        <w:tabs>
          <w:tab w:leader="none" w:pos="1241" w:val="left"/>
        </w:tabs>
        <w:numPr>
          <w:ilvl w:val="0"/>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clarity and avoidance of doubt, the termination payments and benefits described in paragraph 11(c) of your Employment Agreement and in any other severance plan or program applicable to you (including the Paramount Global Executive Change in Control Severance Protection Plan) shall be determined based on your Target Bonus as amended herein.</w:t>
      </w:r>
    </w:p>
    <w:p>
      <w:pPr>
        <w:spacing w:after="0" w:line="161" w:lineRule="exact"/>
        <w:rPr>
          <w:rFonts w:ascii="Times New Roman" w:cs="Times New Roman" w:eastAsia="Times New Roman" w:hAnsi="Times New Roman"/>
          <w:sz w:val="21"/>
          <w:szCs w:val="21"/>
          <w:color w:val="auto"/>
        </w:rPr>
      </w:pPr>
    </w:p>
    <w:p>
      <w:pPr>
        <w:ind w:left="380" w:firstLine="627"/>
        <w:spacing w:after="0" w:line="285" w:lineRule="auto"/>
        <w:tabs>
          <w:tab w:leader="none" w:pos="1241" w:val="left"/>
        </w:tabs>
        <w:numPr>
          <w:ilvl w:val="0"/>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provided herein, your acceptance of the arrangements described in this Amendment shall in no way constitute a waiver of any rights you may have under your Employment Agreement.</w:t>
      </w:r>
    </w:p>
    <w:p>
      <w:pPr>
        <w:spacing w:after="0" w:line="141" w:lineRule="exact"/>
        <w:rPr>
          <w:rFonts w:ascii="Times New Roman" w:cs="Times New Roman" w:eastAsia="Times New Roman" w:hAnsi="Times New Roman"/>
          <w:sz w:val="21"/>
          <w:szCs w:val="21"/>
          <w:color w:val="auto"/>
        </w:rPr>
      </w:pPr>
    </w:p>
    <w:p>
      <w:pPr>
        <w:jc w:val="both"/>
        <w:ind w:left="380" w:firstLine="627"/>
        <w:spacing w:after="0" w:line="262" w:lineRule="auto"/>
        <w:tabs>
          <w:tab w:leader="none" w:pos="1241" w:val="left"/>
        </w:tabs>
        <w:numPr>
          <w:ilvl w:val="0"/>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may be executed in one or more counterparts, including by facsimile, and all counterparts shall constitute one fully executed agreement. The signature of any party to any counterpart shall be deemed a signature to, and may be appended to, any other counterpart. Additionally, the parties agree that this Amendment may be electronically signed, and that electronic signatures appearing on this letter are the same as handwritten signatures for the purposes of validity, enforcement, and admissibility.</w:t>
      </w:r>
    </w:p>
    <w:p>
      <w:pPr>
        <w:spacing w:after="0" w:line="165" w:lineRule="exact"/>
        <w:rPr>
          <w:rFonts w:ascii="Times New Roman" w:cs="Times New Roman" w:eastAsia="Times New Roman" w:hAnsi="Times New Roman"/>
          <w:sz w:val="21"/>
          <w:szCs w:val="21"/>
          <w:color w:val="auto"/>
        </w:rPr>
      </w:pPr>
    </w:p>
    <w:p>
      <w:pPr>
        <w:ind w:left="380" w:firstLine="627"/>
        <w:spacing w:after="0" w:line="285" w:lineRule="auto"/>
        <w:tabs>
          <w:tab w:leader="none" w:pos="1241" w:val="left"/>
        </w:tabs>
        <w:numPr>
          <w:ilvl w:val="0"/>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herein amended, all other terms and conditions of your Employment Agreement shall remain the same and your Employment Agreement as herein amended shall remain in full force and effect.</w:t>
      </w:r>
    </w:p>
    <w:p>
      <w:pPr>
        <w:spacing w:after="0" w:line="1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[REMAINDER OF PAGE INTENTIONALLY LEFT BLANK]</w:t>
      </w:r>
    </w:p>
    <w:p>
      <w:pPr>
        <w:sectPr>
          <w:pgSz w:w="11900" w:h="16838" w:orient="portrait"/>
          <w:cols w:equalWidth="0" w:num="1">
            <w:col w:w="11100"/>
          </w:cols>
          <w:pgMar w:left="360" w:top="192" w:right="439" w:bottom="1440" w:gutter="0" w:footer="0" w:header="0"/>
        </w:sectPr>
      </w:pPr>
    </w:p>
    <w:bookmarkStart w:id="237" w:name="page238"/>
    <w:bookmarkEnd w:id="237"/>
    <w:p>
      <w:pPr>
        <w:ind w:left="20"/>
        <w:spacing w:after="0"/>
        <w:rPr>
          <w:sz w:val="20"/>
          <w:szCs w:val="20"/>
          <w:color w:val="auto"/>
        </w:rPr>
      </w:pPr>
      <w:r>
        <w:rPr>
          <w:rFonts w:ascii="Times New Roman" w:cs="Times New Roman" w:eastAsia="Times New Roman" w:hAnsi="Times New Roman"/>
          <w:sz w:val="21"/>
          <w:szCs w:val="21"/>
          <w:color w:val="auto"/>
        </w:rPr>
        <w:t>George Cheeks</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as of October 8, 2024</w:t>
      </w:r>
    </w:p>
    <w:p>
      <w:pPr>
        <w:ind w:left="20"/>
        <w:spacing w:after="0"/>
        <w:rPr>
          <w:sz w:val="20"/>
          <w:szCs w:val="20"/>
          <w:color w:val="auto"/>
        </w:rPr>
      </w:pPr>
      <w:r>
        <w:rPr>
          <w:rFonts w:ascii="Times New Roman" w:cs="Times New Roman" w:eastAsia="Times New Roman" w:hAnsi="Times New Roman"/>
          <w:sz w:val="21"/>
          <w:szCs w:val="21"/>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400" w:firstLine="636"/>
        <w:spacing w:after="0" w:line="267" w:lineRule="auto"/>
        <w:rPr>
          <w:sz w:val="20"/>
          <w:szCs w:val="20"/>
          <w:color w:val="auto"/>
        </w:rPr>
      </w:pPr>
      <w:r>
        <w:rPr>
          <w:rFonts w:ascii="Times New Roman" w:cs="Times New Roman" w:eastAsia="Times New Roman" w:hAnsi="Times New Roman"/>
          <w:sz w:val="21"/>
          <w:szCs w:val="21"/>
          <w:color w:val="auto"/>
        </w:rPr>
        <w:t>If the foregoing correctly sets forth our understanding, please sign and return this letter. This document shall constitute a binding agreement between us only after it also has been executed by the Company and a fully executed copy has been returned to you.</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Very truly yours,</w:t>
      </w:r>
    </w:p>
    <w:p>
      <w:pPr>
        <w:spacing w:after="0" w:line="2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b w:val="1"/>
          <w:bCs w:val="1"/>
          <w:color w:val="auto"/>
        </w:rPr>
        <w:t>PARAMOUNT GLOBAL</w:t>
      </w:r>
    </w:p>
    <w:p>
      <w:pPr>
        <w:spacing w:after="0" w:line="240" w:lineRule="exact"/>
        <w:rPr>
          <w:sz w:val="20"/>
          <w:szCs w:val="20"/>
          <w:color w:val="auto"/>
        </w:rPr>
      </w:pPr>
    </w:p>
    <w:p>
      <w:pPr>
        <w:ind w:left="5640"/>
        <w:spacing w:after="0"/>
        <w:tabs>
          <w:tab w:leader="none" w:pos="6140" w:val="left"/>
        </w:tabs>
        <w:rPr>
          <w:sz w:val="20"/>
          <w:szCs w:val="20"/>
          <w:color w:val="auto"/>
        </w:rPr>
      </w:pPr>
      <w:r>
        <w:rPr>
          <w:rFonts w:ascii="Times New Roman" w:cs="Times New Roman" w:eastAsia="Times New Roman" w:hAnsi="Times New Roman"/>
          <w:sz w:val="21"/>
          <w:szCs w:val="21"/>
          <w:color w:val="auto"/>
        </w:rPr>
        <w:t>By:</w:t>
        <w:tab/>
        <w:t>/s/ Nancy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24130</wp:posOffset>
            </wp:positionV>
            <wp:extent cx="27514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9">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4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21"/>
          <w:szCs w:val="21"/>
          <w:color w:val="auto"/>
        </w:rPr>
        <w:t>Nancy Phillips</w:t>
      </w:r>
    </w:p>
    <w:p>
      <w:pPr>
        <w:spacing w:after="0" w:line="3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21"/>
          <w:szCs w:val="21"/>
          <w:color w:val="auto"/>
        </w:rPr>
        <w:t>EVP, Chief People Officer</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ACCEPTED AND AGREED: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George Cheeks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George Cheeks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-152400</wp:posOffset>
            </wp:positionV>
            <wp:extent cx="235585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90">
                      <a:extLst>
                        <a:ext uri="{28A0092B-C50C-407E-A947-70E740481C1C}"/>
                      </a:extLst>
                    </a:blip>
                    <a:srcRect/>
                    <a:stretch>
                      <a:fillRect/>
                    </a:stretch>
                  </pic:blipFill>
                  <pic:spPr bwMode="auto">
                    <a:xfrm>
                      <a:off x="0" y="0"/>
                      <a:ext cx="2355850" cy="82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10/10/2024</w:t>
      </w:r>
    </w:p>
    <w:p>
      <w:pPr>
        <w:sectPr>
          <w:pgSz w:w="11900" w:h="16838" w:orient="portrait"/>
          <w:cols w:equalWidth="0" w:num="1">
            <w:col w:w="11120"/>
          </w:cols>
          <w:pgMar w:left="340" w:top="192" w:right="43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9"/>
          <w:szCs w:val="19"/>
          <w:b w:val="1"/>
          <w:bCs w:val="1"/>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3074670</wp:posOffset>
            </wp:positionH>
            <wp:positionV relativeFrom="paragraph">
              <wp:posOffset>685800</wp:posOffset>
            </wp:positionV>
            <wp:extent cx="1001395" cy="6813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1">
                      <a:extLst>
                        <a:ext uri="{28A0092B-C50C-407E-A947-70E740481C1C}"/>
                      </a:extLst>
                    </a:blip>
                    <a:srcRect/>
                    <a:stretch>
                      <a:fillRect/>
                    </a:stretch>
                  </pic:blipFill>
                  <pic:spPr bwMode="auto">
                    <a:xfrm>
                      <a:off x="0" y="0"/>
                      <a:ext cx="1001395" cy="681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PARAMOUNT GLOBAL</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INSIDER TRADING POLICY</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(Effective as of February 3, 2025)</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Purpose and Scope</w:t>
      </w:r>
    </w:p>
    <w:p>
      <w:pPr>
        <w:spacing w:after="0" w:line="234" w:lineRule="exact"/>
        <w:rPr>
          <w:sz w:val="20"/>
          <w:szCs w:val="20"/>
          <w:color w:val="auto"/>
        </w:rPr>
      </w:pPr>
    </w:p>
    <w:p>
      <w:pPr>
        <w:ind w:right="40"/>
        <w:spacing w:after="0" w:line="261" w:lineRule="auto"/>
        <w:rPr>
          <w:sz w:val="20"/>
          <w:szCs w:val="20"/>
          <w:color w:val="auto"/>
        </w:rPr>
      </w:pPr>
      <w:r>
        <w:rPr>
          <w:rFonts w:ascii="Arial" w:cs="Arial" w:eastAsia="Arial" w:hAnsi="Arial"/>
          <w:sz w:val="19"/>
          <w:szCs w:val="19"/>
          <w:color w:val="auto"/>
        </w:rPr>
        <w:t>The Board of Directors (the “Board”) of Paramount Global (“Paramount” and together with its subsidiaries, the “Company”) has adopted this Insider Trading Policy (the “Policy”) to promote compliance with federal securities laws, known as “insider trading” laws. Insider trading laws prohibit directors, officers and employees of the Company and certain other persons (referred to collectively as “Covered Persons,” as defined below) who receive or become aware of material nonpublic information (“MNPI”) about the Company from trading in Paramount securities on the basis of that information or providing MNPI to other persons who may trade on the basis of that information. Insider trading laws also prohibit Covered Persons from trading in the securities of the Company’s customers, business partners or other third parties with whom the Company has a relationship (collectively, “Partners”) on the basis of MNPI about such Partners.</w:t>
      </w:r>
    </w:p>
    <w:p>
      <w:pPr>
        <w:spacing w:after="0" w:line="179" w:lineRule="exact"/>
        <w:rPr>
          <w:sz w:val="20"/>
          <w:szCs w:val="20"/>
          <w:color w:val="auto"/>
        </w:rPr>
      </w:pPr>
    </w:p>
    <w:p>
      <w:pPr>
        <w:ind w:right="20"/>
        <w:spacing w:after="0" w:line="264" w:lineRule="auto"/>
        <w:rPr>
          <w:sz w:val="20"/>
          <w:szCs w:val="20"/>
          <w:color w:val="auto"/>
        </w:rPr>
      </w:pPr>
      <w:r>
        <w:rPr>
          <w:rFonts w:ascii="Arial" w:cs="Arial" w:eastAsia="Arial" w:hAnsi="Arial"/>
          <w:sz w:val="19"/>
          <w:szCs w:val="19"/>
          <w:color w:val="auto"/>
        </w:rPr>
        <w:t xml:space="preserve">Insider trading laws can impose legal liability on Covered Persons who fail to comply with these laws as well as employers of such Covered Persons. Accordingly, this Policy is designed to protect Paramount and Covered Persons from allegations of insider trading by requiring that their trades in Paramount securities be carried out in accordance with applicable law, and to protect Paramount from legal liability as a result of such trades. Further, failure to comply with this Policy can result in disciplinary action, up to and including termination of employment. </w:t>
      </w:r>
      <w:r>
        <w:rPr>
          <w:rFonts w:ascii="Arial" w:cs="Arial" w:eastAsia="Arial" w:hAnsi="Arial"/>
          <w:sz w:val="19"/>
          <w:szCs w:val="19"/>
          <w:b w:val="1"/>
          <w:bCs w:val="1"/>
          <w:color w:val="auto"/>
        </w:rPr>
        <w:t>Ultimately, if you are a Covered Person, it is your responsibility to</w:t>
      </w:r>
      <w:r>
        <w:rPr>
          <w:rFonts w:ascii="Arial" w:cs="Arial" w:eastAsia="Arial" w:hAnsi="Arial"/>
          <w:sz w:val="19"/>
          <w:szCs w:val="19"/>
          <w:color w:val="auto"/>
        </w:rPr>
        <w:t xml:space="preserve"> </w:t>
      </w:r>
      <w:r>
        <w:rPr>
          <w:rFonts w:ascii="Arial" w:cs="Arial" w:eastAsia="Arial" w:hAnsi="Arial"/>
          <w:sz w:val="19"/>
          <w:szCs w:val="19"/>
          <w:b w:val="1"/>
          <w:bCs w:val="1"/>
          <w:color w:val="auto"/>
        </w:rPr>
        <w:t>understand and comply with insider trading laws since only you know what information you might have that is material to stockholders.</w:t>
      </w:r>
    </w:p>
    <w:p>
      <w:pPr>
        <w:spacing w:after="0" w:line="400" w:lineRule="exact"/>
        <w:rPr>
          <w:sz w:val="20"/>
          <w:szCs w:val="20"/>
          <w:color w:val="auto"/>
        </w:rPr>
      </w:pPr>
    </w:p>
    <w:p>
      <w:pPr>
        <w:jc w:val="both"/>
        <w:ind w:right="500"/>
        <w:spacing w:after="0" w:line="275" w:lineRule="auto"/>
        <w:rPr>
          <w:sz w:val="20"/>
          <w:szCs w:val="20"/>
          <w:color w:val="auto"/>
        </w:rPr>
      </w:pPr>
      <w:r>
        <w:rPr>
          <w:rFonts w:ascii="Arial" w:cs="Arial" w:eastAsia="Arial" w:hAnsi="Arial"/>
          <w:sz w:val="19"/>
          <w:szCs w:val="19"/>
          <w:color w:val="auto"/>
        </w:rPr>
        <w:t>The Board has designated Paramount’s General Counsel as the compliance officer for this Policy. The General Counsel shall administer this policy in accordance with applicable law and in the best interests of the Company and its stockholders, as the General Counsel determines in good faith after considering the relevant facts and circumstances after due inquiry.</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Effectiveness of this Policy; Governing Law Prevails</w:t>
      </w:r>
    </w:p>
    <w:p>
      <w:pPr>
        <w:spacing w:after="0" w:line="221" w:lineRule="exact"/>
        <w:rPr>
          <w:sz w:val="20"/>
          <w:szCs w:val="20"/>
          <w:color w:val="auto"/>
        </w:rPr>
      </w:pPr>
    </w:p>
    <w:p>
      <w:pPr>
        <w:ind w:right="240"/>
        <w:spacing w:after="0" w:line="302" w:lineRule="auto"/>
        <w:rPr>
          <w:sz w:val="20"/>
          <w:szCs w:val="20"/>
          <w:color w:val="auto"/>
        </w:rPr>
      </w:pPr>
      <w:r>
        <w:rPr>
          <w:rFonts w:ascii="Arial" w:cs="Arial" w:eastAsia="Arial" w:hAnsi="Arial"/>
          <w:sz w:val="19"/>
          <w:szCs w:val="19"/>
          <w:color w:val="auto"/>
        </w:rPr>
        <w:t>This Policy supersedes any previous insider trading policy of the Company. In the event of any conflict or inconsistency between this Policy and any other materials previously distributed by the Company, this Policy shall govern.</w:t>
      </w:r>
    </w:p>
    <w:p>
      <w:pPr>
        <w:spacing w:after="0" w:line="139"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auto"/>
        </w:rPr>
        <w:t>Each Covered Person is responsible for complying with applicable law as then in force and effect. Accordingly, Covered Persons are not excused from complying with applicable law in the event of any conflict or inconsistency between this Policy and applicable law, or any omission from this Policy.</w:t>
      </w:r>
    </w:p>
    <w:p>
      <w:pPr>
        <w:sectPr>
          <w:pgSz w:w="11900" w:h="16838" w:orient="portrait"/>
          <w:cols w:equalWidth="0" w:num="1">
            <w:col w:w="11240"/>
          </w:cols>
          <w:pgMar w:left="320" w:top="114" w:right="339" w:bottom="1440" w:gutter="0" w:footer="0" w:header="0"/>
        </w:sectPr>
      </w:pPr>
    </w:p>
    <w:bookmarkStart w:id="239" w:name="page240"/>
    <w:bookmarkEnd w:id="239"/>
    <w:p>
      <w:pPr>
        <w:spacing w:after="0"/>
        <w:rPr>
          <w:sz w:val="20"/>
          <w:szCs w:val="20"/>
          <w:color w:val="auto"/>
        </w:rPr>
      </w:pPr>
      <w:r>
        <w:rPr>
          <w:rFonts w:ascii="Arial" w:cs="Arial" w:eastAsia="Arial" w:hAnsi="Arial"/>
          <w:sz w:val="19"/>
          <w:szCs w:val="19"/>
          <w:b w:val="1"/>
          <w:bCs w:val="1"/>
          <w:color w:val="auto"/>
        </w:rPr>
        <w:t>Policy</w:t>
      </w:r>
    </w:p>
    <w:p>
      <w:pPr>
        <w:spacing w:after="0" w:line="234"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This Policy has four parts. Part I is a general restriction that applies to all Covered Persons; Parts II and III are heightened restrictions that apply to a subset of Covered Persons, including Paramount directors, “officers” as defined in Rule 16a-1 under the Securities Exchange Act of 1934, as amended (“Section 16 officers”), certain members of senior management of the Company and certain designated employees of the Company, as further described below; and Part IV relates to the Company’s compliance with insider trading laws.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Part I – General Restriction: Applies to all Covered Persons and prohibits trading while in possession of MNPI</w:t>
      </w:r>
      <w:r>
        <w:rPr>
          <w:rFonts w:ascii="Arial" w:cs="Arial" w:eastAsia="Arial" w:hAnsi="Arial"/>
          <w:sz w:val="19"/>
          <w:szCs w:val="19"/>
          <w:color w:val="auto"/>
        </w:rPr>
        <w:t>.</w:t>
      </w:r>
    </w:p>
    <w:p>
      <w:pPr>
        <w:spacing w:after="0" w:line="217" w:lineRule="exact"/>
        <w:rPr>
          <w:sz w:val="20"/>
          <w:szCs w:val="20"/>
          <w:color w:val="auto"/>
        </w:rPr>
      </w:pPr>
    </w:p>
    <w:p>
      <w:pPr>
        <w:jc w:val="both"/>
        <w:ind w:right="20"/>
        <w:spacing w:after="0" w:line="281" w:lineRule="auto"/>
        <w:rPr>
          <w:sz w:val="20"/>
          <w:szCs w:val="20"/>
          <w:color w:val="auto"/>
        </w:rPr>
      </w:pPr>
      <w:r>
        <w:rPr>
          <w:rFonts w:ascii="Arial" w:cs="Arial" w:eastAsia="Arial" w:hAnsi="Arial"/>
          <w:sz w:val="19"/>
          <w:szCs w:val="19"/>
          <w:b w:val="1"/>
          <w:bCs w:val="1"/>
          <w:color w:val="auto"/>
        </w:rPr>
        <w:t>Covered Persons may not trade in securities of Paramount (or its Partners) while in possession of MNPI at any time (even after their employment or other affiliation with the Company ends). Covered Persons may not provide MNPI to others who might trade on such information, which is known as “tipping.”</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color w:val="auto"/>
        </w:rPr>
        <w:t>This prohibition on trading does not apply to:</w:t>
      </w:r>
    </w:p>
    <w:p>
      <w:pPr>
        <w:spacing w:after="0" w:line="232" w:lineRule="exact"/>
        <w:rPr>
          <w:sz w:val="20"/>
          <w:szCs w:val="20"/>
          <w:color w:val="auto"/>
        </w:rPr>
      </w:pPr>
    </w:p>
    <w:p>
      <w:pPr>
        <w:ind w:left="640" w:right="80" w:hanging="316"/>
        <w:spacing w:after="0" w:line="265" w:lineRule="auto"/>
        <w:tabs>
          <w:tab w:leader="none" w:pos="628" w:val="left"/>
        </w:tabs>
        <w:numPr>
          <w:ilvl w:val="0"/>
          <w:numId w:val="259"/>
        </w:numPr>
        <w:rPr>
          <w:rFonts w:ascii="Arial" w:cs="Arial" w:eastAsia="Arial" w:hAnsi="Arial"/>
          <w:sz w:val="19"/>
          <w:szCs w:val="19"/>
          <w:color w:val="auto"/>
        </w:rPr>
      </w:pPr>
      <w:r>
        <w:rPr>
          <w:rFonts w:ascii="Arial" w:cs="Arial" w:eastAsia="Arial" w:hAnsi="Arial"/>
          <w:sz w:val="19"/>
          <w:szCs w:val="19"/>
          <w:color w:val="auto"/>
        </w:rPr>
        <w:t>distributions or transfers that effect only a change in the form of beneficial interest without changing your pecuniary interest in the securities (for example, to certain types of trusts of which you are the sole beneficiary during your lifetime, or from one investment account to another), provided that prior written notice of such distribution or transfer is provided to the General Counsel;</w:t>
      </w:r>
    </w:p>
    <w:p>
      <w:pPr>
        <w:spacing w:after="0" w:line="174" w:lineRule="exact"/>
        <w:rPr>
          <w:rFonts w:ascii="Arial" w:cs="Arial" w:eastAsia="Arial" w:hAnsi="Arial"/>
          <w:sz w:val="19"/>
          <w:szCs w:val="19"/>
          <w:color w:val="auto"/>
        </w:rPr>
      </w:pPr>
    </w:p>
    <w:p>
      <w:pPr>
        <w:ind w:left="640" w:right="100" w:hanging="316"/>
        <w:spacing w:after="0" w:line="270" w:lineRule="auto"/>
        <w:tabs>
          <w:tab w:leader="none" w:pos="628" w:val="left"/>
        </w:tabs>
        <w:numPr>
          <w:ilvl w:val="0"/>
          <w:numId w:val="259"/>
        </w:numPr>
        <w:rPr>
          <w:rFonts w:ascii="Arial" w:cs="Arial" w:eastAsia="Arial" w:hAnsi="Arial"/>
          <w:sz w:val="19"/>
          <w:szCs w:val="19"/>
          <w:color w:val="auto"/>
        </w:rPr>
      </w:pPr>
      <w:r>
        <w:rPr>
          <w:rFonts w:ascii="Arial" w:cs="Arial" w:eastAsia="Arial" w:hAnsi="Arial"/>
          <w:sz w:val="19"/>
          <w:szCs w:val="19"/>
          <w:color w:val="auto"/>
        </w:rPr>
        <w:t>the exercise of stock options to buy and hold (but not sell) stock (including any net settled stock option exercise to buy and hold) under equity incentive plans; however, the sale of any such stock acquired upon such exercise, including as part of a broker-assisted cashless exercise of an option or any other market sale for the purpose of generating the cash needed to pay the exercise price of an option, or to satisfy tax withholding requirements, is subject to this Policy;</w:t>
      </w:r>
    </w:p>
    <w:p>
      <w:pPr>
        <w:spacing w:after="0" w:line="156" w:lineRule="exact"/>
        <w:rPr>
          <w:rFonts w:ascii="Arial" w:cs="Arial" w:eastAsia="Arial" w:hAnsi="Arial"/>
          <w:sz w:val="19"/>
          <w:szCs w:val="19"/>
          <w:color w:val="auto"/>
        </w:rPr>
      </w:pPr>
    </w:p>
    <w:p>
      <w:pPr>
        <w:ind w:left="640" w:right="740" w:hanging="316"/>
        <w:spacing w:after="0" w:line="275" w:lineRule="auto"/>
        <w:tabs>
          <w:tab w:leader="none" w:pos="628" w:val="left"/>
        </w:tabs>
        <w:numPr>
          <w:ilvl w:val="0"/>
          <w:numId w:val="259"/>
        </w:numPr>
        <w:rPr>
          <w:rFonts w:ascii="Arial" w:cs="Arial" w:eastAsia="Arial" w:hAnsi="Arial"/>
          <w:sz w:val="19"/>
          <w:szCs w:val="19"/>
          <w:color w:val="auto"/>
        </w:rPr>
      </w:pPr>
      <w:r>
        <w:rPr>
          <w:rFonts w:ascii="Arial" w:cs="Arial" w:eastAsia="Arial" w:hAnsi="Arial"/>
          <w:sz w:val="19"/>
          <w:szCs w:val="19"/>
          <w:color w:val="auto"/>
        </w:rPr>
        <w:t>the withholding by Paramount (whether mandated by Paramount or pursuant to a tax withholding right) of shares of restricted stock, shares underlying restricted stock units or shares subject to an option, in each case to satisfy tax withholding requirements; and</w:t>
      </w:r>
    </w:p>
    <w:p>
      <w:pPr>
        <w:spacing w:after="0" w:line="163" w:lineRule="exact"/>
        <w:rPr>
          <w:rFonts w:ascii="Arial" w:cs="Arial" w:eastAsia="Arial" w:hAnsi="Arial"/>
          <w:sz w:val="19"/>
          <w:szCs w:val="19"/>
          <w:color w:val="auto"/>
        </w:rPr>
      </w:pPr>
    </w:p>
    <w:p>
      <w:pPr>
        <w:ind w:left="640" w:right="80" w:hanging="316"/>
        <w:spacing w:after="0" w:line="302" w:lineRule="auto"/>
        <w:tabs>
          <w:tab w:leader="none" w:pos="628" w:val="left"/>
        </w:tabs>
        <w:numPr>
          <w:ilvl w:val="0"/>
          <w:numId w:val="259"/>
        </w:numPr>
        <w:rPr>
          <w:rFonts w:ascii="Arial" w:cs="Arial" w:eastAsia="Arial" w:hAnsi="Arial"/>
          <w:sz w:val="19"/>
          <w:szCs w:val="19"/>
          <w:color w:val="auto"/>
        </w:rPr>
      </w:pPr>
      <w:r>
        <w:rPr>
          <w:rFonts w:ascii="Arial" w:cs="Arial" w:eastAsia="Arial" w:hAnsi="Arial"/>
          <w:sz w:val="19"/>
          <w:szCs w:val="19"/>
          <w:color w:val="auto"/>
        </w:rPr>
        <w:t>the execution of transactions pursuant to a trading plan that complies with SEC Rule 10b5-1 and which has been approved by Paramount’s General Counsel.</w:t>
      </w:r>
    </w:p>
    <w:p>
      <w:pPr>
        <w:spacing w:after="0" w:line="126" w:lineRule="exact"/>
        <w:rPr>
          <w:sz w:val="20"/>
          <w:szCs w:val="20"/>
          <w:color w:val="auto"/>
        </w:rPr>
      </w:pPr>
    </w:p>
    <w:p>
      <w:pPr>
        <w:ind w:right="20"/>
        <w:spacing w:after="0" w:line="274" w:lineRule="auto"/>
        <w:rPr>
          <w:sz w:val="20"/>
          <w:szCs w:val="20"/>
          <w:color w:val="auto"/>
        </w:rPr>
      </w:pPr>
      <w:r>
        <w:rPr>
          <w:rFonts w:ascii="Arial" w:cs="Arial" w:eastAsia="Arial" w:hAnsi="Arial"/>
          <w:sz w:val="19"/>
          <w:szCs w:val="19"/>
          <w:i w:val="1"/>
          <w:iCs w:val="1"/>
          <w:color w:val="auto"/>
        </w:rPr>
        <w:t>Part II – Heightened Restriction – Trading Windows: Applies to Covered Persons who are Paramount directors, Section 16 officers, members of senior management and certain designated employees who are notified of such designation. See “What is a “trading window”?” and “How are covered persons informed they are subject to heightened trading restrictions?” below for further information.</w:t>
      </w:r>
    </w:p>
    <w:p>
      <w:pPr>
        <w:spacing w:after="0" w:line="200" w:lineRule="exact"/>
        <w:rPr>
          <w:sz w:val="20"/>
          <w:szCs w:val="20"/>
          <w:color w:val="auto"/>
        </w:rPr>
      </w:pPr>
    </w:p>
    <w:p>
      <w:pPr>
        <w:spacing w:after="0" w:line="202" w:lineRule="exact"/>
        <w:rPr>
          <w:sz w:val="20"/>
          <w:szCs w:val="20"/>
          <w:color w:val="auto"/>
        </w:rPr>
      </w:pPr>
    </w:p>
    <w:p>
      <w:pPr>
        <w:ind w:right="280"/>
        <w:spacing w:after="0" w:line="281" w:lineRule="auto"/>
        <w:rPr>
          <w:sz w:val="20"/>
          <w:szCs w:val="20"/>
          <w:color w:val="auto"/>
        </w:rPr>
      </w:pPr>
      <w:r>
        <w:rPr>
          <w:rFonts w:ascii="Arial" w:cs="Arial" w:eastAsia="Arial" w:hAnsi="Arial"/>
          <w:sz w:val="19"/>
          <w:szCs w:val="19"/>
          <w:b w:val="1"/>
          <w:bCs w:val="1"/>
          <w:color w:val="auto"/>
        </w:rPr>
        <w:t>Because of their role and access to MNPI, in addition to being subject to the General Restriction in Part I above, Paramount directors, Section 16 officers, members of senior management and certain designated employees may only trade in Paramount securities during a trading window.</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1388" w:right="339" w:bottom="1440" w:gutter="0" w:footer="0" w:header="0"/>
        </w:sectPr>
      </w:pPr>
    </w:p>
    <w:bookmarkStart w:id="240" w:name="page241"/>
    <w:bookmarkEnd w:id="240"/>
    <w:p>
      <w:pPr>
        <w:ind w:right="100"/>
        <w:spacing w:after="0" w:line="270" w:lineRule="auto"/>
        <w:rPr>
          <w:sz w:val="20"/>
          <w:szCs w:val="20"/>
          <w:color w:val="auto"/>
        </w:rPr>
      </w:pPr>
      <w:r>
        <w:rPr>
          <w:rFonts w:ascii="Arial" w:cs="Arial" w:eastAsia="Arial" w:hAnsi="Arial"/>
          <w:sz w:val="19"/>
          <w:szCs w:val="19"/>
          <w:i w:val="1"/>
          <w:iCs w:val="1"/>
          <w:color w:val="auto"/>
        </w:rPr>
        <w:t>Part III – Additional Heightened Restriction – Daily Clearance: Applies to Covered Persons who are Paramount directors, Section 16 officers and certain members of senior management who are notified of such designation and allows trading only after preclearance from the General Counsel. See “How are Covered Persons Informed They are Subject to Heightened Trading Restrictions?” below for further information.</w:t>
      </w:r>
    </w:p>
    <w:p>
      <w:pPr>
        <w:spacing w:after="0" w:line="154" w:lineRule="exact"/>
        <w:rPr>
          <w:sz w:val="20"/>
          <w:szCs w:val="20"/>
          <w:color w:val="auto"/>
        </w:rPr>
      </w:pPr>
    </w:p>
    <w:p>
      <w:pPr>
        <w:ind w:right="60"/>
        <w:spacing w:after="0" w:line="266" w:lineRule="auto"/>
        <w:rPr>
          <w:sz w:val="20"/>
          <w:szCs w:val="20"/>
          <w:color w:val="auto"/>
        </w:rPr>
      </w:pPr>
      <w:r>
        <w:rPr>
          <w:rFonts w:ascii="Arial" w:cs="Arial" w:eastAsia="Arial" w:hAnsi="Arial"/>
          <w:sz w:val="19"/>
          <w:szCs w:val="19"/>
          <w:b w:val="1"/>
          <w:bCs w:val="1"/>
          <w:color w:val="auto"/>
        </w:rPr>
        <w:t>It is possible that the Company itself or Paramount directors, Section 16 officers and certain members of senior management will have information that creates legal risk for such persons to trade in Paramount securities, notwithstanding an open trading window. For this reason, in addition to being subject to the General Restriction in Part I and the Heightened Restriction in Part II above, Paramount directors, Section 16 officers and certain members of senior management must obtain clearance from the General Counsel for each day they wish to trade. Clearances are valid for one trading day.</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Part IV – Company Compliance with Securities Laws.</w:t>
      </w:r>
    </w:p>
    <w:p>
      <w:pPr>
        <w:spacing w:after="0" w:line="230" w:lineRule="exact"/>
        <w:rPr>
          <w:sz w:val="20"/>
          <w:szCs w:val="20"/>
          <w:color w:val="auto"/>
        </w:rPr>
      </w:pPr>
    </w:p>
    <w:p>
      <w:pPr>
        <w:ind w:right="600"/>
        <w:spacing w:after="0" w:line="301" w:lineRule="auto"/>
        <w:rPr>
          <w:sz w:val="20"/>
          <w:szCs w:val="20"/>
          <w:color w:val="auto"/>
        </w:rPr>
      </w:pPr>
      <w:r>
        <w:rPr>
          <w:rFonts w:ascii="Arial" w:cs="Arial" w:eastAsia="Arial" w:hAnsi="Arial"/>
          <w:sz w:val="19"/>
          <w:szCs w:val="19"/>
          <w:b w:val="1"/>
          <w:bCs w:val="1"/>
          <w:color w:val="auto"/>
        </w:rPr>
        <w:t>From time to time, the Company may engage in transactions in Paramount securities. It is the Company’s policy to comply with all applicable securities laws when engaging in transactions in Paramount securities.</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Definitions and Frequently Asked Questions</w:t>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Who are “Covered Persons”?</w:t>
      </w:r>
    </w:p>
    <w:p>
      <w:pPr>
        <w:spacing w:after="0" w:line="232"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All directors, officers and employees of the Company, whether located in or outside the United States, as well as their immediate family members and other members of their households, and any other investors over which any such person provides meaningful influence on the decision whether to trade, such as partnerships in which any such person is a general partner, trusts of which any such person is a trustee, estates of which any such person is an administrator or executor and other legal entities that any such person controls. Paramount’s General Counsel may also determine from time to time that other persons who may have access to MNPI due to their activities with the Company, such as contractors or consultants, shall be subject to and deemed “Covered Persons” for purposes of this Policy.</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What does it mean to “trade”?</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The following is an illustrative, non-exclusive list of securities transactions that constitute “trades”:</w:t>
      </w:r>
    </w:p>
    <w:p>
      <w:pPr>
        <w:spacing w:after="0" w:line="219" w:lineRule="exact"/>
        <w:rPr>
          <w:sz w:val="20"/>
          <w:szCs w:val="20"/>
          <w:color w:val="auto"/>
        </w:rPr>
      </w:pPr>
    </w:p>
    <w:p>
      <w:pPr>
        <w:ind w:left="640" w:hanging="316"/>
        <w:spacing w:after="0"/>
        <w:tabs>
          <w:tab w:leader="none" w:pos="640" w:val="left"/>
        </w:tabs>
        <w:numPr>
          <w:ilvl w:val="0"/>
          <w:numId w:val="260"/>
        </w:numPr>
        <w:rPr>
          <w:rFonts w:ascii="Arial" w:cs="Arial" w:eastAsia="Arial" w:hAnsi="Arial"/>
          <w:sz w:val="19"/>
          <w:szCs w:val="19"/>
          <w:color w:val="auto"/>
        </w:rPr>
      </w:pPr>
      <w:r>
        <w:rPr>
          <w:rFonts w:ascii="Arial" w:cs="Arial" w:eastAsia="Arial" w:hAnsi="Arial"/>
          <w:sz w:val="19"/>
          <w:szCs w:val="19"/>
          <w:color w:val="auto"/>
        </w:rPr>
        <w:t>buying, selling or otherwise transferring shares,</w:t>
      </w:r>
    </w:p>
    <w:p>
      <w:pPr>
        <w:spacing w:after="0" w:line="37" w:lineRule="exact"/>
        <w:rPr>
          <w:rFonts w:ascii="Arial" w:cs="Arial" w:eastAsia="Arial" w:hAnsi="Arial"/>
          <w:sz w:val="19"/>
          <w:szCs w:val="19"/>
          <w:color w:val="auto"/>
        </w:rPr>
      </w:pPr>
    </w:p>
    <w:p>
      <w:pPr>
        <w:ind w:left="640" w:hanging="316"/>
        <w:spacing w:after="0"/>
        <w:tabs>
          <w:tab w:leader="none" w:pos="640" w:val="left"/>
        </w:tabs>
        <w:numPr>
          <w:ilvl w:val="0"/>
          <w:numId w:val="260"/>
        </w:numPr>
        <w:rPr>
          <w:rFonts w:ascii="Arial" w:cs="Arial" w:eastAsia="Arial" w:hAnsi="Arial"/>
          <w:sz w:val="19"/>
          <w:szCs w:val="19"/>
          <w:color w:val="auto"/>
        </w:rPr>
      </w:pPr>
      <w:r>
        <w:rPr>
          <w:rFonts w:ascii="Arial" w:cs="Arial" w:eastAsia="Arial" w:hAnsi="Arial"/>
          <w:sz w:val="19"/>
          <w:szCs w:val="19"/>
          <w:color w:val="auto"/>
        </w:rPr>
        <w:t>gifting shares,</w:t>
      </w:r>
    </w:p>
    <w:p>
      <w:pPr>
        <w:spacing w:after="0" w:line="7" w:lineRule="exact"/>
        <w:rPr>
          <w:rFonts w:ascii="Arial" w:cs="Arial" w:eastAsia="Arial" w:hAnsi="Arial"/>
          <w:sz w:val="19"/>
          <w:szCs w:val="19"/>
          <w:color w:val="auto"/>
        </w:rPr>
      </w:pPr>
    </w:p>
    <w:p>
      <w:pPr>
        <w:ind w:left="640" w:hanging="316"/>
        <w:spacing w:after="0"/>
        <w:tabs>
          <w:tab w:leader="none" w:pos="640" w:val="left"/>
        </w:tabs>
        <w:numPr>
          <w:ilvl w:val="0"/>
          <w:numId w:val="260"/>
        </w:numPr>
        <w:rPr>
          <w:rFonts w:ascii="Arial" w:cs="Arial" w:eastAsia="Arial" w:hAnsi="Arial"/>
          <w:sz w:val="19"/>
          <w:szCs w:val="19"/>
          <w:color w:val="auto"/>
        </w:rPr>
      </w:pPr>
      <w:r>
        <w:rPr>
          <w:rFonts w:ascii="Arial" w:cs="Arial" w:eastAsia="Arial" w:hAnsi="Arial"/>
          <w:sz w:val="19"/>
          <w:szCs w:val="19"/>
          <w:color w:val="auto"/>
        </w:rPr>
        <w:t>transferring shares out of, or taking a loan against, a 401(k) fund that is invested in or tied to Paramount securities,</w:t>
      </w:r>
    </w:p>
    <w:p>
      <w:pPr>
        <w:spacing w:after="0" w:line="19" w:lineRule="exact"/>
        <w:rPr>
          <w:rFonts w:ascii="Arial" w:cs="Arial" w:eastAsia="Arial" w:hAnsi="Arial"/>
          <w:sz w:val="19"/>
          <w:szCs w:val="19"/>
          <w:color w:val="auto"/>
        </w:rPr>
      </w:pPr>
    </w:p>
    <w:p>
      <w:pPr>
        <w:ind w:left="640" w:hanging="316"/>
        <w:spacing w:after="0"/>
        <w:tabs>
          <w:tab w:leader="none" w:pos="640" w:val="left"/>
        </w:tabs>
        <w:numPr>
          <w:ilvl w:val="0"/>
          <w:numId w:val="260"/>
        </w:numPr>
        <w:rPr>
          <w:rFonts w:ascii="Arial" w:cs="Arial" w:eastAsia="Arial" w:hAnsi="Arial"/>
          <w:sz w:val="19"/>
          <w:szCs w:val="19"/>
          <w:color w:val="auto"/>
        </w:rPr>
      </w:pPr>
      <w:r>
        <w:rPr>
          <w:rFonts w:ascii="Arial" w:cs="Arial" w:eastAsia="Arial" w:hAnsi="Arial"/>
          <w:sz w:val="19"/>
          <w:szCs w:val="19"/>
          <w:color w:val="auto"/>
        </w:rPr>
        <w:t>exercising an option and selling the underlying shares,</w:t>
      </w:r>
    </w:p>
    <w:p>
      <w:pPr>
        <w:spacing w:after="0" w:line="20" w:lineRule="exact"/>
        <w:rPr>
          <w:rFonts w:ascii="Arial" w:cs="Arial" w:eastAsia="Arial" w:hAnsi="Arial"/>
          <w:sz w:val="19"/>
          <w:szCs w:val="19"/>
          <w:color w:val="auto"/>
        </w:rPr>
      </w:pPr>
    </w:p>
    <w:p>
      <w:pPr>
        <w:ind w:left="640" w:hanging="316"/>
        <w:spacing w:after="0"/>
        <w:tabs>
          <w:tab w:leader="none" w:pos="640" w:val="left"/>
        </w:tabs>
        <w:numPr>
          <w:ilvl w:val="0"/>
          <w:numId w:val="260"/>
        </w:numPr>
        <w:rPr>
          <w:rFonts w:ascii="Arial" w:cs="Arial" w:eastAsia="Arial" w:hAnsi="Arial"/>
          <w:sz w:val="19"/>
          <w:szCs w:val="19"/>
          <w:color w:val="auto"/>
        </w:rPr>
      </w:pPr>
      <w:r>
        <w:rPr>
          <w:rFonts w:ascii="Arial" w:cs="Arial" w:eastAsia="Arial" w:hAnsi="Arial"/>
          <w:sz w:val="19"/>
          <w:szCs w:val="19"/>
          <w:color w:val="auto"/>
        </w:rPr>
        <w:t>hedging shares and pledging shares as security for a loan</w:t>
      </w:r>
      <w:r>
        <w:rPr>
          <w:rFonts w:ascii="Arial" w:cs="Arial" w:eastAsia="Arial" w:hAnsi="Arial"/>
          <w:sz w:val="25"/>
          <w:szCs w:val="25"/>
          <w:color w:val="auto"/>
          <w:vertAlign w:val="superscript"/>
        </w:rPr>
        <w:t>1</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161544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92">
                      <a:extLst>
                        <a:ext uri="{28A0092B-C50C-407E-A947-70E740481C1C}"/>
                      </a:extLst>
                    </a:blip>
                    <a:srcRect/>
                    <a:stretch>
                      <a:fillRect/>
                    </a:stretch>
                  </pic:blipFill>
                  <pic:spPr bwMode="auto">
                    <a:xfrm>
                      <a:off x="0" y="0"/>
                      <a:ext cx="1615440" cy="8255"/>
                    </a:xfrm>
                    <a:prstGeom prst="rect">
                      <a:avLst/>
                    </a:prstGeom>
                    <a:noFill/>
                  </pic:spPr>
                </pic:pic>
              </a:graphicData>
            </a:graphic>
          </wp:anchor>
        </w:drawing>
      </w:r>
    </w:p>
    <w:p>
      <w:pPr>
        <w:spacing w:after="0" w:line="199" w:lineRule="exact"/>
        <w:rPr>
          <w:sz w:val="20"/>
          <w:szCs w:val="20"/>
          <w:color w:val="auto"/>
        </w:rPr>
      </w:pPr>
    </w:p>
    <w:p>
      <w:pPr>
        <w:ind w:right="140" w:firstLine="6"/>
        <w:spacing w:after="0" w:line="234" w:lineRule="auto"/>
        <w:tabs>
          <w:tab w:leader="none" w:pos="113" w:val="left"/>
        </w:tabs>
        <w:numPr>
          <w:ilvl w:val="0"/>
          <w:numId w:val="261"/>
        </w:numPr>
        <w:rPr>
          <w:rFonts w:ascii="Arial" w:cs="Arial" w:eastAsia="Arial" w:hAnsi="Arial"/>
          <w:sz w:val="23"/>
          <w:szCs w:val="23"/>
          <w:color w:val="auto"/>
          <w:vertAlign w:val="superscript"/>
        </w:rPr>
      </w:pPr>
      <w:r>
        <w:rPr>
          <w:rFonts w:ascii="Arial" w:cs="Arial" w:eastAsia="Arial" w:hAnsi="Arial"/>
          <w:sz w:val="16"/>
          <w:szCs w:val="16"/>
          <w:color w:val="auto"/>
        </w:rPr>
        <w:t>Paramount maintains a separate hedging and pledging policy that (1) prohibits Company employees from hedging Paramount securities at any time and (2) prohibits Paramount executive officers, Section 16 officers and any other employees who report directly to the members of the Office of the Chief Executive Officer in their capacity as co-CEOs from holding Paramount securities in a margin account or pledging Paramount securities (including using Paramount securities as collateral for a loan). See page 21 of Paramount’s Global Business Conduct Statement at https://www.paramount.com/files/documents/Paramount%20Business%20Conduct%20Statement_ENGLISH.pdf#page=21 for more information.</w:t>
      </w: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180"/>
          </w:cols>
          <w:pgMar w:left="320" w:top="1390" w:right="399" w:bottom="1440" w:gutter="0" w:footer="0" w:header="0"/>
        </w:sectPr>
      </w:pPr>
    </w:p>
    <w:bookmarkStart w:id="241" w:name="page242"/>
    <w:bookmarkEnd w:id="241"/>
    <w:p>
      <w:pPr>
        <w:ind w:left="640" w:right="20" w:hanging="316"/>
        <w:spacing w:after="0" w:line="264" w:lineRule="auto"/>
        <w:tabs>
          <w:tab w:leader="none" w:pos="629" w:val="left"/>
        </w:tabs>
        <w:numPr>
          <w:ilvl w:val="0"/>
          <w:numId w:val="262"/>
        </w:numPr>
        <w:rPr>
          <w:rFonts w:ascii="Arial" w:cs="Arial" w:eastAsia="Arial" w:hAnsi="Arial"/>
          <w:sz w:val="19"/>
          <w:szCs w:val="19"/>
          <w:color w:val="auto"/>
        </w:rPr>
      </w:pPr>
      <w:r>
        <w:rPr>
          <w:rFonts w:ascii="Arial" w:cs="Arial" w:eastAsia="Arial" w:hAnsi="Arial"/>
          <w:sz w:val="19"/>
          <w:szCs w:val="19"/>
          <w:color w:val="auto"/>
        </w:rPr>
        <w:t>entering into, modifying or terminating a 10b5-1 plan (see also “Does Paramount permit trading pursuant to 10b5-1 Plans?” below), and</w:t>
      </w:r>
    </w:p>
    <w:p>
      <w:pPr>
        <w:spacing w:after="0" w:line="1" w:lineRule="exact"/>
        <w:rPr>
          <w:rFonts w:ascii="Arial" w:cs="Arial" w:eastAsia="Arial" w:hAnsi="Arial"/>
          <w:sz w:val="19"/>
          <w:szCs w:val="19"/>
          <w:color w:val="auto"/>
        </w:rPr>
      </w:pPr>
    </w:p>
    <w:p>
      <w:pPr>
        <w:ind w:left="640" w:hanging="316"/>
        <w:spacing w:after="0"/>
        <w:tabs>
          <w:tab w:leader="none" w:pos="640" w:val="left"/>
        </w:tabs>
        <w:numPr>
          <w:ilvl w:val="0"/>
          <w:numId w:val="262"/>
        </w:numPr>
        <w:rPr>
          <w:rFonts w:ascii="Arial" w:cs="Arial" w:eastAsia="Arial" w:hAnsi="Arial"/>
          <w:sz w:val="19"/>
          <w:szCs w:val="19"/>
          <w:color w:val="auto"/>
        </w:rPr>
      </w:pPr>
      <w:r>
        <w:rPr>
          <w:rFonts w:ascii="Arial" w:cs="Arial" w:eastAsia="Arial" w:hAnsi="Arial"/>
          <w:sz w:val="19"/>
          <w:szCs w:val="19"/>
          <w:color w:val="auto"/>
        </w:rPr>
        <w:t>other transactions that change the nature of your investment in the relevant securities.</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What does “material” mean?</w:t>
      </w:r>
    </w:p>
    <w:p>
      <w:pPr>
        <w:spacing w:after="0" w:line="219" w:lineRule="exact"/>
        <w:rPr>
          <w:sz w:val="20"/>
          <w:szCs w:val="20"/>
          <w:color w:val="auto"/>
        </w:rPr>
      </w:pPr>
    </w:p>
    <w:p>
      <w:pPr>
        <w:ind w:right="160"/>
        <w:spacing w:after="0" w:line="270" w:lineRule="auto"/>
        <w:rPr>
          <w:sz w:val="20"/>
          <w:szCs w:val="20"/>
          <w:color w:val="auto"/>
        </w:rPr>
      </w:pPr>
      <w:r>
        <w:rPr>
          <w:rFonts w:ascii="Arial" w:cs="Arial" w:eastAsia="Arial" w:hAnsi="Arial"/>
          <w:sz w:val="19"/>
          <w:szCs w:val="19"/>
          <w:color w:val="auto"/>
        </w:rPr>
        <w:t>Information is “material” if a reasonable investor would consider it important in determining whether to buy, hold or sell securities. Material information can be positive or negative and can relate to any aspect of the Company’s (or its Partners’) businesses or affairs. Materiality is determined based on the facts and circumstances at the time of assessment. The following is an illustrative, non-exclusive list of material or potentially material information:</w:t>
      </w:r>
    </w:p>
    <w:p>
      <w:pPr>
        <w:spacing w:after="0" w:line="170" w:lineRule="exact"/>
        <w:rPr>
          <w:sz w:val="20"/>
          <w:szCs w:val="20"/>
          <w:color w:val="auto"/>
        </w:rPr>
      </w:pPr>
    </w:p>
    <w:p>
      <w:pPr>
        <w:ind w:left="640" w:hanging="316"/>
        <w:spacing w:after="0"/>
        <w:tabs>
          <w:tab w:leader="none" w:pos="640" w:val="left"/>
        </w:tabs>
        <w:numPr>
          <w:ilvl w:val="0"/>
          <w:numId w:val="263"/>
        </w:numPr>
        <w:rPr>
          <w:rFonts w:ascii="Arial" w:cs="Arial" w:eastAsia="Arial" w:hAnsi="Arial"/>
          <w:sz w:val="19"/>
          <w:szCs w:val="19"/>
          <w:color w:val="auto"/>
        </w:rPr>
      </w:pPr>
      <w:r>
        <w:rPr>
          <w:rFonts w:ascii="Arial" w:cs="Arial" w:eastAsia="Arial" w:hAnsi="Arial"/>
          <w:sz w:val="19"/>
          <w:szCs w:val="19"/>
          <w:color w:val="auto"/>
        </w:rPr>
        <w:t>earnings, financial results, estimates and guidance that have not yet been publicly disseminated,</w:t>
      </w:r>
    </w:p>
    <w:p>
      <w:pPr>
        <w:spacing w:after="0" w:line="24" w:lineRule="exact"/>
        <w:rPr>
          <w:rFonts w:ascii="Arial" w:cs="Arial" w:eastAsia="Arial" w:hAnsi="Arial"/>
          <w:sz w:val="19"/>
          <w:szCs w:val="19"/>
          <w:color w:val="auto"/>
        </w:rPr>
      </w:pPr>
    </w:p>
    <w:p>
      <w:pPr>
        <w:ind w:left="640" w:hanging="316"/>
        <w:spacing w:after="0"/>
        <w:tabs>
          <w:tab w:leader="none" w:pos="640" w:val="left"/>
        </w:tabs>
        <w:numPr>
          <w:ilvl w:val="0"/>
          <w:numId w:val="263"/>
        </w:numPr>
        <w:rPr>
          <w:rFonts w:ascii="Arial" w:cs="Arial" w:eastAsia="Arial" w:hAnsi="Arial"/>
          <w:sz w:val="19"/>
          <w:szCs w:val="19"/>
          <w:color w:val="auto"/>
        </w:rPr>
      </w:pPr>
      <w:r>
        <w:rPr>
          <w:rFonts w:ascii="Arial" w:cs="Arial" w:eastAsia="Arial" w:hAnsi="Arial"/>
          <w:sz w:val="19"/>
          <w:szCs w:val="19"/>
          <w:color w:val="auto"/>
        </w:rPr>
        <w:t>advertising trends and analyses,</w:t>
      </w:r>
    </w:p>
    <w:p>
      <w:pPr>
        <w:spacing w:after="0" w:line="19" w:lineRule="exact"/>
        <w:rPr>
          <w:rFonts w:ascii="Arial" w:cs="Arial" w:eastAsia="Arial" w:hAnsi="Arial"/>
          <w:sz w:val="19"/>
          <w:szCs w:val="19"/>
          <w:color w:val="auto"/>
        </w:rPr>
      </w:pPr>
    </w:p>
    <w:p>
      <w:pPr>
        <w:ind w:left="640" w:hanging="316"/>
        <w:spacing w:after="0"/>
        <w:tabs>
          <w:tab w:leader="none" w:pos="640" w:val="left"/>
        </w:tabs>
        <w:numPr>
          <w:ilvl w:val="0"/>
          <w:numId w:val="263"/>
        </w:numPr>
        <w:rPr>
          <w:rFonts w:ascii="Arial" w:cs="Arial" w:eastAsia="Arial" w:hAnsi="Arial"/>
          <w:sz w:val="19"/>
          <w:szCs w:val="19"/>
          <w:color w:val="auto"/>
        </w:rPr>
      </w:pPr>
      <w:r>
        <w:rPr>
          <w:rFonts w:ascii="Arial" w:cs="Arial" w:eastAsia="Arial" w:hAnsi="Arial"/>
          <w:sz w:val="19"/>
          <w:szCs w:val="19"/>
          <w:color w:val="auto"/>
        </w:rPr>
        <w:t>budgets and planning documents,</w:t>
      </w:r>
    </w:p>
    <w:p>
      <w:pPr>
        <w:spacing w:after="0" w:line="20" w:lineRule="exact"/>
        <w:rPr>
          <w:rFonts w:ascii="Arial" w:cs="Arial" w:eastAsia="Arial" w:hAnsi="Arial"/>
          <w:sz w:val="19"/>
          <w:szCs w:val="19"/>
          <w:color w:val="auto"/>
        </w:rPr>
      </w:pPr>
    </w:p>
    <w:p>
      <w:pPr>
        <w:ind w:left="640" w:hanging="316"/>
        <w:spacing w:after="0"/>
        <w:tabs>
          <w:tab w:leader="none" w:pos="640" w:val="left"/>
        </w:tabs>
        <w:numPr>
          <w:ilvl w:val="0"/>
          <w:numId w:val="263"/>
        </w:numPr>
        <w:rPr>
          <w:rFonts w:ascii="Arial" w:cs="Arial" w:eastAsia="Arial" w:hAnsi="Arial"/>
          <w:sz w:val="19"/>
          <w:szCs w:val="19"/>
          <w:color w:val="auto"/>
        </w:rPr>
      </w:pPr>
      <w:r>
        <w:rPr>
          <w:rFonts w:ascii="Arial" w:cs="Arial" w:eastAsia="Arial" w:hAnsi="Arial"/>
          <w:sz w:val="19"/>
          <w:szCs w:val="19"/>
          <w:color w:val="auto"/>
        </w:rPr>
        <w:t>news about significant mergers, acquisitions, divestitures, arrangements with distributors or other commercial transactions,</w:t>
      </w:r>
    </w:p>
    <w:p>
      <w:pPr>
        <w:spacing w:after="0" w:line="7" w:lineRule="exact"/>
        <w:rPr>
          <w:rFonts w:ascii="Arial" w:cs="Arial" w:eastAsia="Arial" w:hAnsi="Arial"/>
          <w:sz w:val="19"/>
          <w:szCs w:val="19"/>
          <w:color w:val="auto"/>
        </w:rPr>
      </w:pPr>
    </w:p>
    <w:p>
      <w:pPr>
        <w:ind w:left="640" w:hanging="316"/>
        <w:spacing w:after="0"/>
        <w:tabs>
          <w:tab w:leader="none" w:pos="640" w:val="left"/>
        </w:tabs>
        <w:numPr>
          <w:ilvl w:val="0"/>
          <w:numId w:val="263"/>
        </w:numPr>
        <w:rPr>
          <w:rFonts w:ascii="Arial" w:cs="Arial" w:eastAsia="Arial" w:hAnsi="Arial"/>
          <w:sz w:val="19"/>
          <w:szCs w:val="19"/>
          <w:color w:val="auto"/>
        </w:rPr>
      </w:pPr>
      <w:r>
        <w:rPr>
          <w:rFonts w:ascii="Arial" w:cs="Arial" w:eastAsia="Arial" w:hAnsi="Arial"/>
          <w:sz w:val="19"/>
          <w:szCs w:val="19"/>
          <w:color w:val="auto"/>
        </w:rPr>
        <w:t>major litigation,</w:t>
      </w:r>
    </w:p>
    <w:p>
      <w:pPr>
        <w:spacing w:after="0" w:line="19" w:lineRule="exact"/>
        <w:rPr>
          <w:rFonts w:ascii="Arial" w:cs="Arial" w:eastAsia="Arial" w:hAnsi="Arial"/>
          <w:sz w:val="19"/>
          <w:szCs w:val="19"/>
          <w:color w:val="auto"/>
        </w:rPr>
      </w:pPr>
    </w:p>
    <w:p>
      <w:pPr>
        <w:ind w:left="640" w:hanging="316"/>
        <w:spacing w:after="0"/>
        <w:tabs>
          <w:tab w:leader="none" w:pos="640" w:val="left"/>
        </w:tabs>
        <w:numPr>
          <w:ilvl w:val="0"/>
          <w:numId w:val="263"/>
        </w:numPr>
        <w:rPr>
          <w:rFonts w:ascii="Arial" w:cs="Arial" w:eastAsia="Arial" w:hAnsi="Arial"/>
          <w:sz w:val="19"/>
          <w:szCs w:val="19"/>
          <w:color w:val="auto"/>
        </w:rPr>
      </w:pPr>
      <w:r>
        <w:rPr>
          <w:rFonts w:ascii="Arial" w:cs="Arial" w:eastAsia="Arial" w:hAnsi="Arial"/>
          <w:sz w:val="19"/>
          <w:szCs w:val="19"/>
          <w:color w:val="auto"/>
        </w:rPr>
        <w:t>a significant cybersecurity incident,</w:t>
      </w:r>
    </w:p>
    <w:p>
      <w:pPr>
        <w:spacing w:after="0" w:line="7" w:lineRule="exact"/>
        <w:rPr>
          <w:rFonts w:ascii="Arial" w:cs="Arial" w:eastAsia="Arial" w:hAnsi="Arial"/>
          <w:sz w:val="19"/>
          <w:szCs w:val="19"/>
          <w:color w:val="auto"/>
        </w:rPr>
      </w:pPr>
    </w:p>
    <w:p>
      <w:pPr>
        <w:ind w:left="640" w:hanging="316"/>
        <w:spacing w:after="0"/>
        <w:tabs>
          <w:tab w:leader="none" w:pos="640" w:val="left"/>
        </w:tabs>
        <w:numPr>
          <w:ilvl w:val="0"/>
          <w:numId w:val="263"/>
        </w:numPr>
        <w:rPr>
          <w:rFonts w:ascii="Arial" w:cs="Arial" w:eastAsia="Arial" w:hAnsi="Arial"/>
          <w:sz w:val="19"/>
          <w:szCs w:val="19"/>
          <w:color w:val="auto"/>
        </w:rPr>
      </w:pPr>
      <w:r>
        <w:rPr>
          <w:rFonts w:ascii="Arial" w:cs="Arial" w:eastAsia="Arial" w:hAnsi="Arial"/>
          <w:sz w:val="19"/>
          <w:szCs w:val="19"/>
          <w:color w:val="auto"/>
        </w:rPr>
        <w:t>significant news about content, product offerings, innovations or talent,</w:t>
      </w:r>
    </w:p>
    <w:p>
      <w:pPr>
        <w:spacing w:after="0" w:line="19" w:lineRule="exact"/>
        <w:rPr>
          <w:rFonts w:ascii="Arial" w:cs="Arial" w:eastAsia="Arial" w:hAnsi="Arial"/>
          <w:sz w:val="19"/>
          <w:szCs w:val="19"/>
          <w:color w:val="auto"/>
        </w:rPr>
      </w:pPr>
    </w:p>
    <w:p>
      <w:pPr>
        <w:ind w:left="640" w:hanging="316"/>
        <w:spacing w:after="0"/>
        <w:tabs>
          <w:tab w:leader="none" w:pos="640" w:val="left"/>
        </w:tabs>
        <w:numPr>
          <w:ilvl w:val="0"/>
          <w:numId w:val="263"/>
        </w:numPr>
        <w:rPr>
          <w:rFonts w:ascii="Arial" w:cs="Arial" w:eastAsia="Arial" w:hAnsi="Arial"/>
          <w:sz w:val="19"/>
          <w:szCs w:val="19"/>
          <w:color w:val="auto"/>
        </w:rPr>
      </w:pPr>
      <w:r>
        <w:rPr>
          <w:rFonts w:ascii="Arial" w:cs="Arial" w:eastAsia="Arial" w:hAnsi="Arial"/>
          <w:sz w:val="19"/>
          <w:szCs w:val="19"/>
          <w:color w:val="auto"/>
        </w:rPr>
        <w:t>significant industry or market news, and</w:t>
      </w:r>
    </w:p>
    <w:p>
      <w:pPr>
        <w:spacing w:after="0" w:line="20" w:lineRule="exact"/>
        <w:rPr>
          <w:rFonts w:ascii="Arial" w:cs="Arial" w:eastAsia="Arial" w:hAnsi="Arial"/>
          <w:sz w:val="19"/>
          <w:szCs w:val="19"/>
          <w:color w:val="auto"/>
        </w:rPr>
      </w:pPr>
    </w:p>
    <w:p>
      <w:pPr>
        <w:ind w:left="640" w:hanging="316"/>
        <w:spacing w:after="0"/>
        <w:tabs>
          <w:tab w:leader="none" w:pos="640" w:val="left"/>
        </w:tabs>
        <w:numPr>
          <w:ilvl w:val="0"/>
          <w:numId w:val="263"/>
        </w:numPr>
        <w:rPr>
          <w:rFonts w:ascii="Arial" w:cs="Arial" w:eastAsia="Arial" w:hAnsi="Arial"/>
          <w:sz w:val="19"/>
          <w:szCs w:val="19"/>
          <w:color w:val="auto"/>
        </w:rPr>
      </w:pPr>
      <w:r>
        <w:rPr>
          <w:rFonts w:ascii="Arial" w:cs="Arial" w:eastAsia="Arial" w:hAnsi="Arial"/>
          <w:sz w:val="19"/>
          <w:szCs w:val="19"/>
          <w:color w:val="auto"/>
        </w:rPr>
        <w:t>senior management changes.</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When is information “nonpublic”?</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Information is "nonpublic" if it has not been disclosed to the public.</w:t>
      </w:r>
    </w:p>
    <w:p>
      <w:pPr>
        <w:spacing w:after="0" w:line="219"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In order for information to be considered public, it must be widely disseminated, through newswire releases, widely available broadcasts, publication in widely available newspapers or on news websites or disclosed in public filings with the U.S. Securities and Exchange Commission (the “SEC”). Publication on a company’s dedicated website can contribute to the wide dissemination of information. In the case of information about the Company, the information disseminated must be in the form of an “official” announcement or disclosure by the Company.</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After a wide dissemination of material information, a reasonable period of time must elapse for the investing public to digest the information. For Paramount, one full trading day following wide dissemination is regarded as a reasonable waiting period before such information is deemed to be "public" and no longer "nonpublic" for purposes of this Policy. However, the General Counsel may determine that a different waiting period is appropriate with respect to particular Company disclosures based on relevant facts and circumstances. For the Company’s Partners, facts and circumstances will vary, and Covered Persons should consult a member of the General Counsel’s securities team for guidance.</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What types of “securities” are subject to this Policy?</w:t>
      </w:r>
    </w:p>
    <w:p>
      <w:pPr>
        <w:spacing w:after="0" w:line="232" w:lineRule="exact"/>
        <w:rPr>
          <w:sz w:val="20"/>
          <w:szCs w:val="20"/>
          <w:color w:val="auto"/>
        </w:rPr>
      </w:pPr>
    </w:p>
    <w:p>
      <w:pPr>
        <w:jc w:val="both"/>
        <w:ind w:right="80"/>
        <w:spacing w:after="0" w:line="304" w:lineRule="auto"/>
        <w:rPr>
          <w:sz w:val="20"/>
          <w:szCs w:val="20"/>
          <w:color w:val="auto"/>
        </w:rPr>
      </w:pPr>
      <w:r>
        <w:rPr>
          <w:rFonts w:ascii="Arial" w:cs="Arial" w:eastAsia="Arial" w:hAnsi="Arial"/>
          <w:sz w:val="19"/>
          <w:szCs w:val="19"/>
          <w:color w:val="auto"/>
        </w:rPr>
        <w:t>The term “security” or “securities” is defined very broadly by the securities laws and includes stock (common and preferred), stock options, warrants, bonds, notes, debentures, convertible instruments, put or call options (i.e., exchange-traded options) and other similar instruments.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00"/>
          </w:cols>
          <w:pgMar w:left="320" w:top="1390" w:right="379" w:bottom="1440" w:gutter="0" w:footer="0" w:header="0"/>
        </w:sectPr>
      </w:pPr>
    </w:p>
    <w:bookmarkStart w:id="242" w:name="page243"/>
    <w:bookmarkEnd w:id="242"/>
    <w:p>
      <w:pPr>
        <w:spacing w:after="0"/>
        <w:rPr>
          <w:sz w:val="20"/>
          <w:szCs w:val="20"/>
          <w:color w:val="auto"/>
        </w:rPr>
      </w:pPr>
      <w:r>
        <w:rPr>
          <w:rFonts w:ascii="Arial" w:cs="Arial" w:eastAsia="Arial" w:hAnsi="Arial"/>
          <w:sz w:val="19"/>
          <w:szCs w:val="19"/>
          <w:b w:val="1"/>
          <w:bCs w:val="1"/>
          <w:i w:val="1"/>
          <w:iCs w:val="1"/>
          <w:color w:val="auto"/>
        </w:rPr>
        <w:t>Does Paramount permit trading pursuant to 10b5-1 plans?</w:t>
      </w:r>
    </w:p>
    <w:p>
      <w:pPr>
        <w:spacing w:after="0" w:line="232" w:lineRule="exact"/>
        <w:rPr>
          <w:sz w:val="20"/>
          <w:szCs w:val="20"/>
          <w:color w:val="auto"/>
        </w:rPr>
      </w:pPr>
    </w:p>
    <w:p>
      <w:pPr>
        <w:ind w:right="240"/>
        <w:spacing w:after="0" w:line="275" w:lineRule="auto"/>
        <w:rPr>
          <w:sz w:val="20"/>
          <w:szCs w:val="20"/>
          <w:color w:val="auto"/>
        </w:rPr>
      </w:pPr>
      <w:r>
        <w:rPr>
          <w:rFonts w:ascii="Arial" w:cs="Arial" w:eastAsia="Arial" w:hAnsi="Arial"/>
          <w:sz w:val="19"/>
          <w:szCs w:val="19"/>
          <w:color w:val="auto"/>
        </w:rPr>
        <w:t>Rule 10b5-1 under the Securities Exchange Act of 1934, as amended, provides an affirmative defense to insider trading for individuals who trade stocks under plans entered into in accordance with the rules and regulations of the SEC. These plans are called 10b5-1 plans and are written instructions to a broker to transact certain securities at certain times and/or at certain prices.</w:t>
      </w:r>
    </w:p>
    <w:p>
      <w:pPr>
        <w:spacing w:after="0" w:line="150" w:lineRule="exact"/>
        <w:rPr>
          <w:sz w:val="20"/>
          <w:szCs w:val="20"/>
          <w:color w:val="auto"/>
        </w:rPr>
      </w:pPr>
    </w:p>
    <w:p>
      <w:pPr>
        <w:ind w:right="40"/>
        <w:spacing w:after="0" w:line="274" w:lineRule="auto"/>
        <w:rPr>
          <w:sz w:val="20"/>
          <w:szCs w:val="20"/>
          <w:color w:val="auto"/>
        </w:rPr>
      </w:pPr>
      <w:r>
        <w:rPr>
          <w:rFonts w:ascii="Arial" w:cs="Arial" w:eastAsia="Arial" w:hAnsi="Arial"/>
          <w:sz w:val="19"/>
          <w:szCs w:val="19"/>
          <w:color w:val="auto"/>
        </w:rPr>
        <w:t>SEC rules provide that individuals (1) may adopt, amend or terminate a 10b5-1 plan only when they are not in possession of MNPI about the company whose securities are the subject of the 10b5-1 plan and (2) must wait at least 30 days (or, for directors and Section 16 officers, 90-120 days) between executing a 10b5-1 plan or amendment and the first trade under such plan or amendment.</w:t>
      </w:r>
    </w:p>
    <w:p>
      <w:pPr>
        <w:spacing w:after="0" w:line="200" w:lineRule="exact"/>
        <w:rPr>
          <w:sz w:val="20"/>
          <w:szCs w:val="20"/>
          <w:color w:val="auto"/>
        </w:rPr>
      </w:pPr>
    </w:p>
    <w:p>
      <w:pPr>
        <w:spacing w:after="0" w:line="204" w:lineRule="exact"/>
        <w:rPr>
          <w:sz w:val="20"/>
          <w:szCs w:val="20"/>
          <w:color w:val="auto"/>
        </w:rPr>
      </w:pPr>
    </w:p>
    <w:p>
      <w:pPr>
        <w:ind w:right="180"/>
        <w:spacing w:after="0" w:line="264" w:lineRule="auto"/>
        <w:rPr>
          <w:sz w:val="20"/>
          <w:szCs w:val="20"/>
          <w:color w:val="auto"/>
        </w:rPr>
      </w:pPr>
      <w:r>
        <w:rPr>
          <w:rFonts w:ascii="Arial" w:cs="Arial" w:eastAsia="Arial" w:hAnsi="Arial"/>
          <w:sz w:val="19"/>
          <w:szCs w:val="19"/>
          <w:color w:val="auto"/>
        </w:rPr>
        <w:t>Paramount permits the use of 10b5-1 plans in certain circumstances, in accordance with this Policy. Entering into, amending and terminating 10b5-1 plans must be done while the Covered Person is not in possession of MNPI and during a trading window and must be precleared by the General Counsel. Trades effected pursuant to a precleared 10b5-1 plan will not require further preclearance at the time of the transaction if the plan specifies the dates, prices and amounts of the contemplated trades, or establishes a formula for determining the dates, prices and amounts.</w:t>
      </w:r>
    </w:p>
    <w:p>
      <w:pPr>
        <w:spacing w:after="0" w:line="176" w:lineRule="exact"/>
        <w:rPr>
          <w:sz w:val="20"/>
          <w:szCs w:val="20"/>
          <w:color w:val="auto"/>
        </w:rPr>
      </w:pPr>
    </w:p>
    <w:p>
      <w:pPr>
        <w:ind w:right="180"/>
        <w:spacing w:after="0" w:line="288" w:lineRule="auto"/>
        <w:rPr>
          <w:sz w:val="20"/>
          <w:szCs w:val="20"/>
          <w:color w:val="auto"/>
        </w:rPr>
      </w:pPr>
      <w:r>
        <w:rPr>
          <w:rFonts w:ascii="Arial" w:cs="Arial" w:eastAsia="Arial" w:hAnsi="Arial"/>
          <w:sz w:val="19"/>
          <w:szCs w:val="19"/>
          <w:color w:val="auto"/>
        </w:rPr>
        <w:t>In addition, Paramount must disclose in its quarterly SEC filings the adoption, amendment or termination of a 10b5-1 plan by any of its directors or Section 16 officers.</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What is a “trading window”?</w:t>
      </w:r>
    </w:p>
    <w:p>
      <w:pPr>
        <w:spacing w:after="0" w:line="232"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Paramount, like many public companies, has determined trading “windows” during which it is generally safest to trade. On a quarterly basis, Paramount publishes its financial results and provides other information to investors on its quarterly earnings conference calls and in reports filed with the SEC. Once these announcements are made, material information about the Company is generally available to investors and no longer “nonpublic.” For this reason, Paramount directors, Section 16 officers and certain other employees may only trade during an open trading window (subject to any additional heightened trading restrictions they might be subject to). Trading windows open after the first full trading day following Paramount’s quarterly earnings announcement and close at the close of trading on the 15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calendar day of the last month of the then current fiscal quarter (or at the close of trading on the preceding business day if such day is a weekend or holiday).</w:t>
      </w:r>
    </w:p>
    <w:p>
      <w:pPr>
        <w:spacing w:after="0" w:line="173" w:lineRule="exact"/>
        <w:rPr>
          <w:sz w:val="20"/>
          <w:szCs w:val="20"/>
          <w:color w:val="auto"/>
        </w:rPr>
      </w:pPr>
    </w:p>
    <w:p>
      <w:pPr>
        <w:ind w:right="100"/>
        <w:spacing w:after="0" w:line="275" w:lineRule="auto"/>
        <w:rPr>
          <w:sz w:val="20"/>
          <w:szCs w:val="20"/>
          <w:color w:val="auto"/>
        </w:rPr>
      </w:pPr>
      <w:r>
        <w:rPr>
          <w:rFonts w:ascii="Arial" w:cs="Arial" w:eastAsia="Arial" w:hAnsi="Arial"/>
          <w:sz w:val="19"/>
          <w:szCs w:val="19"/>
          <w:color w:val="auto"/>
        </w:rPr>
        <w:t>Paramount may close a trading window at any time and, if necessary, without notice. If a Covered Person is informed that Paramount closes a trading window outside of the typical quarterly closed window period, such Covered Person shall not disclose to others inside or outside the Company that trading has been suspended.</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How are covered persons informed they are subject to heightened trading restrictions</w:t>
      </w:r>
      <w:r>
        <w:rPr>
          <w:rFonts w:ascii="Arial" w:cs="Arial" w:eastAsia="Arial" w:hAnsi="Arial"/>
          <w:sz w:val="19"/>
          <w:szCs w:val="19"/>
          <w:b w:val="1"/>
          <w:bCs w:val="1"/>
          <w:color w:val="auto"/>
        </w:rPr>
        <w:t>?</w:t>
      </w:r>
    </w:p>
    <w:p>
      <w:pPr>
        <w:spacing w:after="0" w:line="234"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Covered Persons that are subject to heightened trading restrictions are made aware of such designation by the General Counsel or members of the General Counsel’s team and alerted quarterly, in advance of the window opening, of the anticipated dates of the upcoming window, the procedures applicable to their trading in Paramount securities and instructions for executing a trade.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20"/>
          </w:cols>
          <w:pgMar w:left="320" w:top="1390" w:right="359" w:bottom="1440" w:gutter="0" w:footer="0" w:header="0"/>
        </w:sectPr>
      </w:pPr>
    </w:p>
    <w:bookmarkStart w:id="243" w:name="page244"/>
    <w:bookmarkEnd w:id="243"/>
    <w:p>
      <w:pPr>
        <w:jc w:val="right"/>
        <w:spacing w:after="0"/>
        <w:rPr>
          <w:sz w:val="20"/>
          <w:szCs w:val="20"/>
          <w:color w:val="auto"/>
        </w:rPr>
      </w:pPr>
      <w:r>
        <w:rPr>
          <w:rFonts w:ascii="Times New Roman" w:cs="Times New Roman" w:eastAsia="Times New Roman" w:hAnsi="Times New Roman"/>
          <w:sz w:val="19"/>
          <w:szCs w:val="19"/>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13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960" w:type="dxa"/>
            <w:vAlign w:val="bottom"/>
            <w:gridSpan w:val="5"/>
          </w:tcPr>
          <w:p>
            <w:pPr>
              <w:jc w:val="center"/>
              <w:ind w:right="3880"/>
              <w:spacing w:after="0"/>
              <w:rPr>
                <w:sz w:val="20"/>
                <w:szCs w:val="20"/>
                <w:color w:val="auto"/>
              </w:rPr>
            </w:pPr>
            <w:r>
              <w:rPr>
                <w:rFonts w:ascii="Times New Roman" w:cs="Times New Roman" w:eastAsia="Times New Roman" w:hAnsi="Times New Roman"/>
                <w:sz w:val="21"/>
                <w:szCs w:val="21"/>
                <w:b w:val="1"/>
                <w:bCs w:val="1"/>
                <w:color w:val="auto"/>
              </w:rPr>
              <w:t>Subsidiaries of Paramount Global</w:t>
            </w:r>
          </w:p>
        </w:tc>
      </w:tr>
      <w:tr>
        <w:trPr>
          <w:trHeight w:val="283"/>
        </w:trPr>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(as of January 31, 2025)</w:t>
            </w:r>
          </w:p>
        </w:tc>
        <w:tc>
          <w:tcPr>
            <w:tcW w:w="3880" w:type="dxa"/>
            <w:vAlign w:val="bottom"/>
            <w:gridSpan w:val="4"/>
          </w:tcPr>
          <w:p>
            <w:pPr>
              <w:spacing w:after="0"/>
              <w:rPr>
                <w:sz w:val="24"/>
                <w:szCs w:val="24"/>
                <w:color w:val="auto"/>
              </w:rPr>
            </w:pPr>
          </w:p>
        </w:tc>
      </w:tr>
      <w:tr>
        <w:trPr>
          <w:trHeight w:val="439"/>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5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1960" w:type="dxa"/>
            <w:vAlign w:val="bottom"/>
            <w:tcBorders>
              <w:bottom w:val="single" w:sz="8" w:color="95B3D7"/>
            </w:tcBorders>
          </w:tcPr>
          <w:p>
            <w:pPr>
              <w:spacing w:after="0"/>
              <w:rPr>
                <w:sz w:val="10"/>
                <w:szCs w:val="10"/>
                <w:color w:val="auto"/>
              </w:rPr>
            </w:pPr>
          </w:p>
        </w:tc>
        <w:tc>
          <w:tcPr>
            <w:tcW w:w="580" w:type="dxa"/>
            <w:vAlign w:val="bottom"/>
            <w:tcBorders>
              <w:bottom w:val="single" w:sz="8" w:color="95B3D7"/>
            </w:tcBorders>
          </w:tcPr>
          <w:p>
            <w:pPr>
              <w:spacing w:after="0"/>
              <w:rPr>
                <w:sz w:val="10"/>
                <w:szCs w:val="10"/>
                <w:color w:val="auto"/>
              </w:rPr>
            </w:pPr>
          </w:p>
        </w:tc>
        <w:tc>
          <w:tcPr>
            <w:tcW w:w="3080" w:type="dxa"/>
            <w:vAlign w:val="bottom"/>
            <w:tcBorders>
              <w:bottom w:val="single" w:sz="8" w:color="95B3D7"/>
            </w:tcBorders>
          </w:tcPr>
          <w:p>
            <w:pPr>
              <w:spacing w:after="0"/>
              <w:rPr>
                <w:sz w:val="10"/>
                <w:szCs w:val="10"/>
                <w:color w:val="auto"/>
              </w:rPr>
            </w:pPr>
          </w:p>
        </w:tc>
        <w:tc>
          <w:tcPr>
            <w:tcW w:w="50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8"/>
        </w:trPr>
        <w:tc>
          <w:tcPr>
            <w:tcW w:w="32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13 Investments LLC</w:t>
            </w:r>
          </w:p>
        </w:tc>
        <w:tc>
          <w:tcPr>
            <w:tcW w:w="5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Louisiana</w:t>
            </w:r>
          </w:p>
        </w:tc>
      </w:tr>
      <w:tr>
        <w:trPr>
          <w:trHeight w:val="218"/>
        </w:trPr>
        <w:tc>
          <w:tcPr>
            <w:tcW w:w="32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13 Productions LLC</w:t>
            </w:r>
          </w:p>
        </w:tc>
        <w:tc>
          <w:tcPr>
            <w:tcW w:w="5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Louisiana</w:t>
            </w:r>
          </w:p>
        </w:tc>
      </w:tr>
      <w:tr>
        <w:trPr>
          <w:trHeight w:val="218"/>
        </w:trPr>
        <w:tc>
          <w:tcPr>
            <w:tcW w:w="32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14 Hours Productions Inc.</w:t>
            </w:r>
          </w:p>
        </w:tc>
        <w:tc>
          <w:tcPr>
            <w:tcW w:w="5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Canada (Ontario)</w:t>
            </w:r>
          </w:p>
        </w:tc>
      </w:tr>
      <w:tr>
        <w:trPr>
          <w:trHeight w:val="218"/>
        </w:trPr>
        <w:tc>
          <w:tcPr>
            <w:tcW w:w="32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1928778 Ontario Inc.</w:t>
            </w:r>
          </w:p>
        </w:tc>
        <w:tc>
          <w:tcPr>
            <w:tcW w:w="5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Canada (Ontario)</w:t>
            </w:r>
          </w:p>
        </w:tc>
      </w:tr>
      <w:tr>
        <w:trPr>
          <w:trHeight w:val="218"/>
        </w:trPr>
        <w:tc>
          <w:tcPr>
            <w:tcW w:w="32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22 Stars Productions Limited</w:t>
            </w:r>
          </w:p>
        </w:tc>
        <w:tc>
          <w:tcPr>
            <w:tcW w:w="5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9"/>
        </w:trPr>
        <w:tc>
          <w:tcPr>
            <w:tcW w:w="32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2POP, LLC</w:t>
            </w:r>
          </w:p>
        </w:tc>
        <w:tc>
          <w:tcPr>
            <w:tcW w:w="5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32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300 New LLC</w:t>
            </w:r>
          </w:p>
        </w:tc>
        <w:tc>
          <w:tcPr>
            <w:tcW w:w="5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32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365Gay LLC</w:t>
            </w:r>
          </w:p>
        </w:tc>
        <w:tc>
          <w:tcPr>
            <w:tcW w:w="5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32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37th Floor Productions Inc.</w:t>
            </w:r>
          </w:p>
        </w:tc>
        <w:tc>
          <w:tcPr>
            <w:tcW w:w="5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32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38th Floor Productions Inc.</w:t>
            </w:r>
          </w:p>
        </w:tc>
        <w:tc>
          <w:tcPr>
            <w:tcW w:w="5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32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5555 Communications Inc.</w:t>
            </w:r>
          </w:p>
        </w:tc>
        <w:tc>
          <w:tcPr>
            <w:tcW w:w="5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32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90210 Productions, Inc.</w:t>
            </w:r>
          </w:p>
        </w:tc>
        <w:tc>
          <w:tcPr>
            <w:tcW w:w="5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32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 G Films Canada Inc.</w:t>
            </w:r>
          </w:p>
        </w:tc>
        <w:tc>
          <w:tcPr>
            <w:tcW w:w="5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Canada (Ontario)</w:t>
            </w:r>
          </w:p>
        </w:tc>
      </w:tr>
      <w:tr>
        <w:trPr>
          <w:trHeight w:val="218"/>
        </w:trPr>
        <w:tc>
          <w:tcPr>
            <w:tcW w:w="32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 Payroll Company, Inc.</w:t>
            </w:r>
          </w:p>
        </w:tc>
        <w:tc>
          <w:tcPr>
            <w:tcW w:w="5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32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Aardvark Productions, Inc.</w:t>
            </w:r>
          </w:p>
        </w:tc>
        <w:tc>
          <w:tcPr>
            <w:tcW w:w="5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32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Aaron Spelling Productions, Inc.</w:t>
            </w:r>
          </w:p>
        </w:tc>
        <w:tc>
          <w:tcPr>
            <w:tcW w:w="5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32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 INVERSORA S.A.</w:t>
            </w:r>
          </w:p>
        </w:tc>
        <w:tc>
          <w:tcPr>
            <w:tcW w:w="5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18"/>
        </w:trPr>
        <w:tc>
          <w:tcPr>
            <w:tcW w:w="32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Acorn Pipe Line Company</w:t>
            </w:r>
          </w:p>
        </w:tc>
        <w:tc>
          <w:tcPr>
            <w:tcW w:w="5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18"/>
        </w:trPr>
        <w:tc>
          <w:tcPr>
            <w:tcW w:w="32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Acorn Properties, Inc.</w:t>
            </w:r>
          </w:p>
        </w:tc>
        <w:tc>
          <w:tcPr>
            <w:tcW w:w="5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18"/>
        </w:trPr>
        <w:tc>
          <w:tcPr>
            <w:tcW w:w="32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Acorn Trading Company</w:t>
            </w:r>
          </w:p>
        </w:tc>
        <w:tc>
          <w:tcPr>
            <w:tcW w:w="5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19"/>
        </w:trPr>
        <w:tc>
          <w:tcPr>
            <w:tcW w:w="32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Acquisition Group West LLC</w:t>
            </w:r>
          </w:p>
        </w:tc>
        <w:tc>
          <w:tcPr>
            <w:tcW w:w="5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32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Addax Music Co., Inc.</w:t>
            </w:r>
          </w:p>
        </w:tc>
        <w:tc>
          <w:tcPr>
            <w:tcW w:w="5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32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Adoy LLC</w:t>
            </w:r>
          </w:p>
        </w:tc>
        <w:tc>
          <w:tcPr>
            <w:tcW w:w="5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32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After School Productions Inc.</w:t>
            </w:r>
          </w:p>
        </w:tc>
        <w:tc>
          <w:tcPr>
            <w:tcW w:w="5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32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AfterL.com LLC</w:t>
            </w:r>
          </w:p>
        </w:tc>
        <w:tc>
          <w:tcPr>
            <w:tcW w:w="5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32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Ages Electronics, Inc.</w:t>
            </w:r>
          </w:p>
        </w:tc>
        <w:tc>
          <w:tcPr>
            <w:tcW w:w="5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32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Ages Entertainment Software LLC</w:t>
            </w:r>
          </w:p>
        </w:tc>
        <w:tc>
          <w:tcPr>
            <w:tcW w:w="5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32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Air Realty Corporation</w:t>
            </w:r>
          </w:p>
        </w:tc>
        <w:tc>
          <w:tcPr>
            <w:tcW w:w="5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32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Air Realty LLC</w:t>
            </w:r>
          </w:p>
        </w:tc>
        <w:tc>
          <w:tcPr>
            <w:tcW w:w="5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32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All About Productions LLC</w:t>
            </w:r>
          </w:p>
        </w:tc>
        <w:tc>
          <w:tcPr>
            <w:tcW w:w="5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32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All Media Inc.</w:t>
            </w:r>
          </w:p>
        </w:tc>
        <w:tc>
          <w:tcPr>
            <w:tcW w:w="5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32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ALTSIM Inc.</w:t>
            </w:r>
          </w:p>
        </w:tc>
        <w:tc>
          <w:tcPr>
            <w:tcW w:w="5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32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Amadea Film Productions, Inc.</w:t>
            </w:r>
          </w:p>
        </w:tc>
        <w:tc>
          <w:tcPr>
            <w:tcW w:w="5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18"/>
        </w:trPr>
        <w:tc>
          <w:tcPr>
            <w:tcW w:w="32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Amazing Race Productions Inc.</w:t>
            </w:r>
          </w:p>
        </w:tc>
        <w:tc>
          <w:tcPr>
            <w:tcW w:w="5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32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Ananey Communication Limited</w:t>
            </w:r>
          </w:p>
        </w:tc>
        <w:tc>
          <w:tcPr>
            <w:tcW w:w="5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Israel</w:t>
            </w:r>
          </w:p>
        </w:tc>
      </w:tr>
      <w:tr>
        <w:trPr>
          <w:trHeight w:val="218"/>
        </w:trPr>
        <w:tc>
          <w:tcPr>
            <w:tcW w:w="32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Animated Productions Inc.</w:t>
            </w:r>
          </w:p>
        </w:tc>
        <w:tc>
          <w:tcPr>
            <w:tcW w:w="5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32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Antilles Oil Company, Inc.</w:t>
            </w:r>
          </w:p>
        </w:tc>
        <w:tc>
          <w:tcPr>
            <w:tcW w:w="5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Puerto Rico</w:t>
            </w:r>
          </w:p>
        </w:tc>
      </w:tr>
      <w:tr>
        <w:trPr>
          <w:trHeight w:val="219"/>
        </w:trPr>
        <w:tc>
          <w:tcPr>
            <w:tcW w:w="32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Armacost Music LLC</w:t>
            </w:r>
          </w:p>
        </w:tc>
        <w:tc>
          <w:tcPr>
            <w:tcW w:w="5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32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Around the Block Productions, Inc.</w:t>
            </w:r>
          </w:p>
        </w:tc>
        <w:tc>
          <w:tcPr>
            <w:tcW w:w="5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32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Artcraft Productions Inc.</w:t>
            </w:r>
          </w:p>
        </w:tc>
        <w:tc>
          <w:tcPr>
            <w:tcW w:w="5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32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Aspenfair Music, Inc.</w:t>
            </w:r>
          </w:p>
        </w:tc>
        <w:tc>
          <w:tcPr>
            <w:tcW w:w="5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32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ATCO I S.A.</w:t>
            </w:r>
          </w:p>
        </w:tc>
        <w:tc>
          <w:tcPr>
            <w:tcW w:w="580" w:type="dxa"/>
            <w:vAlign w:val="bottom"/>
            <w:tcBorders>
              <w:bottom w:val="single" w:sz="8" w:color="95B3D7"/>
            </w:tcBorders>
          </w:tcPr>
          <w:p>
            <w:pPr>
              <w:spacing w:after="0"/>
              <w:rPr>
                <w:sz w:val="19"/>
                <w:szCs w:val="19"/>
                <w:color w:val="auto"/>
              </w:rPr>
            </w:pPr>
          </w:p>
        </w:tc>
        <w:tc>
          <w:tcPr>
            <w:tcW w:w="3080" w:type="dxa"/>
            <w:vAlign w:val="bottom"/>
            <w:tcBorders>
              <w:bottom w:val="single" w:sz="8" w:color="95B3D7"/>
            </w:tcBorders>
          </w:tcPr>
          <w:p>
            <w:pPr>
              <w:spacing w:after="0"/>
              <w:rPr>
                <w:sz w:val="19"/>
                <w:szCs w:val="19"/>
                <w:color w:val="auto"/>
              </w:rPr>
            </w:pPr>
          </w:p>
        </w:tc>
        <w:tc>
          <w:tcPr>
            <w:tcW w:w="500" w:type="dxa"/>
            <w:vAlign w:val="bottom"/>
            <w:tcBorders>
              <w:bottom w:val="single" w:sz="8" w:color="95B3D7"/>
              <w:right w:val="single" w:sz="8" w:color="95B3D7"/>
            </w:tcBorders>
          </w:tcPr>
          <w:p>
            <w:pPr>
              <w:spacing w:after="0"/>
              <w:rPr>
                <w:sz w:val="19"/>
                <w:szCs w:val="19"/>
                <w:color w:val="auto"/>
              </w:rPr>
            </w:pP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Argentina</w:t>
            </w:r>
          </w:p>
        </w:tc>
      </w:tr>
    </w:tbl>
    <w:p>
      <w:pPr>
        <w:sectPr>
          <w:pgSz w:w="11900" w:h="16838" w:orient="portrait"/>
          <w:cols w:equalWidth="0" w:num="1">
            <w:col w:w="11020"/>
          </w:cols>
          <w:pgMar w:left="540" w:top="114" w:right="339" w:bottom="1440" w:gutter="0" w:footer="0" w:header="0"/>
        </w:sectPr>
      </w:pPr>
    </w:p>
    <w:bookmarkStart w:id="244" w:name="page245"/>
    <w:bookmarkEnd w:id="24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Atlanta Television Station WUPA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Atlántida Comunicaciones S.A.</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Atom Digital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Atom Entertainment,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ATV ACME,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Audioscrobbler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August Street Films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Avery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Awesomeness BP,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Awesomeness Distribution,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Awesomeness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Awesomeness Music Publishing,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Awesomeness,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AwesomenessTV Holdings,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Awestruck,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AXN,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Babunga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Bahamas Underwriters Services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Bahamas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BAPP Acquisition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Barrington Songs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Bay County Energy Systems,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Bay Resource Management,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Belhaven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Bahamas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Benjamin Button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Louisiana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Acquisition Corp.</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Arabesque,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Comic View II,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Consumer Services,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Creations,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Development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Documentaries,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Event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Holdings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Innovations Publishing,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Interactive,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International,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Live from LA,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Music Soundz,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Oh Drama!,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Pictures II Development &amp; Production,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Pictures II Distribution,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Pictures II,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Productions II,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Productions IV,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Productions V,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20"/>
          </w:cols>
          <w:pgMar w:left="540" w:top="1258" w:right="539" w:bottom="1440" w:gutter="0" w:footer="0" w:header="0"/>
        </w:sectPr>
      </w:pPr>
    </w:p>
    <w:bookmarkStart w:id="245" w:name="page246"/>
    <w:bookmarkEnd w:id="24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Satellite Services,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Services,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District of Columbia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ST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Streaming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Studios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Studios Partner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Beta Theatres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BETCH SKETCH,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BETN Theatre Ventures,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BET-SVOD Holdings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Beverly Productions Canada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Canada (B.C.)</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Beverlyfax Music,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Big Frame,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BIG JOHN,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Big Shows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Big Ticket Music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Big Ticket Pictures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Big Ticket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Big Ticket Television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Bikini Bottom Holdings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Bikini Bottom Productions Limited Liability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Black Entertainment Television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District of Columbia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Blackout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Bling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Blue Cow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Blue Sea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Blue/White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BN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Bob’s Post House,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BODYBAG,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Bombay Hook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Bonneville Wind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Utah</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Boxing Acquisition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Branded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Breakdown Productions LA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Louisiana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Breakdown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Brentwood Pictures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Bronson Avenue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Bronson Gate Film Management GmbH</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Germany</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Brotherhood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Rhode Island</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Bruin Music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Bungalow One Productions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Buster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C-28 FCC Licensee Subsidiary,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20"/>
          </w:cols>
          <w:pgMar w:left="540" w:top="1258" w:right="539" w:bottom="1440" w:gutter="0" w:footer="0" w:header="0"/>
        </w:sectPr>
      </w:pPr>
    </w:p>
    <w:bookmarkStart w:id="246" w:name="page247"/>
    <w:bookmarkEnd w:id="24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Caper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Equipment Leasing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Caroline Films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Cayman Overseas Reinsurance Association Ltd.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Cayman Islands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(PDI) Distribution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247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Acquisition Holdings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Advertiser Services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AJV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All Access International UK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BS Asia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ATSC3 Protection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Broadcast International Asia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Broadcast International of Canada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Canada (Ontario)</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Broadcast Services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Broadcasting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Broadcasting West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Canada Co.</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Canada (Nova Scotia)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Canadian Film and Television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Canada (Ontario)</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Channel 10/55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Communications Services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Communications Technology Group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Consumer Products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Corporate Services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Cultural Communications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Cultural Development (Beijing) Co.,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China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Cultural Development (Hong Kong) Co.,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CW Network Partner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DBS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DEC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Domains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3"/>
              </w:rPr>
              <w:t>Virginia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EcoMedia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EMEA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Employee Services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Enterprises (UK)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Executive Services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Experiences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Film Funding Company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Films Distribution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Films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Films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Finance 1 UK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Finance 2 UK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Finance Holdings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First Run Development Company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20"/>
          </w:cols>
          <w:pgMar w:left="540" w:top="1258" w:right="539" w:bottom="1440" w:gutter="0" w:footer="0" w:header="0"/>
        </w:sectPr>
      </w:pPr>
    </w:p>
    <w:bookmarkStart w:id="247" w:name="page248"/>
    <w:bookmarkEnd w:id="24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First Run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General Entertainment Australia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Holdings (Mexico)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Hollywood Partner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Home Entertainment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IDA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Interactive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Interactive Media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International (Netherlands)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International GmbH</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Germany</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International Holdings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International Holdings UK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32"/>
        </w:trPr>
        <w:tc>
          <w:tcPr>
            <w:tcW w:w="1320" w:type="dxa"/>
            <w:vAlign w:val="bottom"/>
            <w:tcBorders>
              <w:left w:val="single" w:sz="8" w:color="95B3D7"/>
              <w:bottom w:val="single" w:sz="8" w:color="95B3D7"/>
            </w:tcBorders>
          </w:tcPr>
          <w:p>
            <w:pPr>
              <w:spacing w:after="0"/>
              <w:rPr>
                <w:sz w:val="20"/>
                <w:szCs w:val="20"/>
                <w:color w:val="auto"/>
              </w:rPr>
            </w:pPr>
          </w:p>
        </w:tc>
        <w:tc>
          <w:tcPr>
            <w:tcW w:w="6120" w:type="dxa"/>
            <w:vAlign w:val="bottom"/>
            <w:tcBorders>
              <w:bottom w:val="single" w:sz="8" w:color="95B3D7"/>
              <w:right w:val="single" w:sz="8" w:color="95B3D7"/>
            </w:tcBorders>
          </w:tcPr>
          <w:p>
            <w:pPr>
              <w:spacing w:after="0"/>
              <w:rPr>
                <w:sz w:val="20"/>
                <w:szCs w:val="20"/>
                <w:color w:val="auto"/>
              </w:rPr>
            </w:pPr>
          </w:p>
        </w:tc>
        <w:tc>
          <w:tcPr>
            <w:tcW w:w="200" w:type="dxa"/>
            <w:vAlign w:val="bottom"/>
            <w:tcBorders>
              <w:bottom w:val="single" w:sz="8" w:color="95B3D7"/>
            </w:tcBorders>
          </w:tcPr>
          <w:p>
            <w:pPr>
              <w:spacing w:after="0"/>
              <w:rPr>
                <w:sz w:val="20"/>
                <w:szCs w:val="20"/>
                <w:color w:val="auto"/>
              </w:rPr>
            </w:pPr>
          </w:p>
        </w:tc>
        <w:tc>
          <w:tcPr>
            <w:tcW w:w="2960" w:type="dxa"/>
            <w:vAlign w:val="bottom"/>
            <w:tcBorders>
              <w:bottom w:val="single" w:sz="8" w:color="95B3D7"/>
            </w:tcBorders>
          </w:tcPr>
          <w:p>
            <w:pPr>
              <w:spacing w:after="0"/>
              <w:rPr>
                <w:sz w:val="20"/>
                <w:szCs w:val="20"/>
                <w:color w:val="auto"/>
              </w:rPr>
            </w:pPr>
          </w:p>
        </w:tc>
        <w:tc>
          <w:tcPr>
            <w:tcW w:w="220" w:type="dxa"/>
            <w:vAlign w:val="bottom"/>
            <w:tcBorders>
              <w:bottom w:val="single" w:sz="8" w:color="95B3D7"/>
              <w:right w:val="single" w:sz="8" w:color="95B3D7"/>
            </w:tcBorders>
          </w:tcPr>
          <w:p>
            <w:pPr>
              <w:spacing w:after="0"/>
              <w:rPr>
                <w:sz w:val="20"/>
                <w:szCs w:val="20"/>
                <w:color w:val="auto"/>
              </w:rPr>
            </w:pP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International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International Sales Holdings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International Television (UK)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International Television Australia Pty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Australia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International Television Japan GK</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IRB Acquisition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Japan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K-Band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Last FM Holding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LITV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Mass Media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MaxPreps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Media Realty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Music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Network Ten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News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Offshore Networks Holdings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Operations Investments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Operations Services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Outdoor Investments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Overseas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Overseas Productions Two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Phoenix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Pictures Overseas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PNW Sports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Pop Partner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Productions UK Holdings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Publishing UK Holdings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Receivables Funding II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Receivables Funding III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Records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Retail Stores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20"/>
          </w:cols>
          <w:pgMar w:left="540" w:top="1258" w:right="539" w:bottom="1440" w:gutter="0" w:footer="0" w:header="0"/>
        </w:sectPr>
      </w:pPr>
    </w:p>
    <w:bookmarkStart w:id="248" w:name="page249"/>
    <w:bookmarkEnd w:id="24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Satellite News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Services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Shopping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Sports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Stages Canada Co.</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Canada (Nova Scotia)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Stations Group of Texas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Stock Holdings I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Studios Distribution UK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Studios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Studios Networks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Studios Overseas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Studios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Subsidiary Management Corp.</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Survivor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Technology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Television Licenses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Television Service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Television Stations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Temp Services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TVG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UAC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UK</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UK Channels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UK Finance LP</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UK Productions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VFX Canada ULC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Canada (B.C.)</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World Wide Ltd.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Worldwide Distribution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CBS/CTS Airport Network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CBS/CTS,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CBS/Wilmerding of PA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CBS-LUX Holding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CBS-SAC Music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CBT Sports,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CC Direct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CCG Ventures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Central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Centurion Satellite Broadcast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Championship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Channel 28 Television Station,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Channel 34 Television Station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Channel 5 Broadcasting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Channel Services GmbH</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Switzerland</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Channel Services Holdings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Charter Crude Oil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Texas</w:t>
            </w:r>
          </w:p>
        </w:tc>
      </w:tr>
    </w:tbl>
    <w:p>
      <w:pPr>
        <w:sectPr>
          <w:pgSz w:w="11900" w:h="16838" w:orient="portrait"/>
          <w:cols w:equalWidth="0" w:num="1">
            <w:col w:w="10820"/>
          </w:cols>
          <w:pgMar w:left="540" w:top="1258" w:right="539" w:bottom="1440" w:gutter="0" w:footer="0" w:header="0"/>
        </w:sectPr>
      </w:pPr>
    </w:p>
    <w:bookmarkStart w:id="249" w:name="page250"/>
    <w:bookmarkEnd w:id="24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Charter Futures Trading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Charter Media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Charter Oil (Bahamas)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Bahamas</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Charter Oil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Charter Oil Services,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Charter Oil Specialties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Bahamas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Chazo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Cinematic Arts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CIOC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CIOC Remediation Trust</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CJD,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Classless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Clicker Media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Cloverleaf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CMT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CN Pilot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Canada (Ontario)</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CNET Investments,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CNZ Productions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New Zealand</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Columbia Broadcasting System (Barbados) SRL</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Barbados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Columbia Broadcasting System Holdings UK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Columbia Broadcasting System International (Barbados) SRL</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Barbados</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Columbia Television,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Columbus Circle Films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Comanche Moon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New Mexico</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Comedy Partners</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Comicbook.Com,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Tennessee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Commerce Street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Commissioner.Com,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Compelling Music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Concord Entertainment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Country Music Television,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Tennessee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Country Network Enterprises,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Country Services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country.com,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Cradle of Life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Creative Mix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Crew You,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Cross Step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Crown Jewel Productions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Crystal Ball Productions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CSTV Networks,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CSTV Online,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CSTV Regional,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CSTV-A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CSTV-B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20"/>
          </w:cols>
          <w:pgMar w:left="540" w:top="1258" w:right="539" w:bottom="1440" w:gutter="0" w:footer="0" w:header="0"/>
        </w:sectPr>
      </w:pPr>
    </w:p>
    <w:bookmarkStart w:id="250" w:name="page251"/>
    <w:bookmarkEnd w:id="25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CVV (Japan)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DABL Network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Danielle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Danni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Louisiana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Davis Circle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Daza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DEAD X,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Delaware Resource Beneficiary,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Delaware Resource Lessee Trust</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Delaware Resource Management,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Desilu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Detroit Television Station WKBD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3"/>
              </w:rPr>
              <w:t>Virginia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DIGICO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Digital Video Ops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Direct Court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DM Holding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DMS Holdco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Dotspotter,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DT Investor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DTE Films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Dutchess Resource Management,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(Netherlands)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Distribution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Dramatic Television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Films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Finance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Funding,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Holdco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International Distribution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International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Internet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Music Publishing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Music Publishing Nashville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One Corp.</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Project Development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SKG TV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Studios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Studios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Television Animation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Television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TV Finance I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Two Corp.</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DWTT Productions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New Zealand</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Dynamic Soap,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Eagle Direct,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20"/>
          </w:cols>
          <w:pgMar w:left="540" w:top="1258" w:right="539" w:bottom="1440" w:gutter="0" w:footer="0" w:header="0"/>
        </w:sectPr>
      </w:pPr>
    </w:p>
    <w:bookmarkStart w:id="251" w:name="page252"/>
    <w:bookmarkEnd w:id="25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Eighth Century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Elevate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Elevenco Pty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Australia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ELIANIMAL,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Elite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Elysium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Emily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Energy Development Associates,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ENFISUR S.A.</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EPI Music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Erica Film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ET Media Group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Evergreen Programs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EWB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Express Lane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Eye Animation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Eye Creative Media Group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Eye Explorations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Eye International Studios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Eye Podcast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Eye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Failure To Launch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Louisiana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Fall,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Famous Orange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Famous Players International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Festival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FHT Media Holdings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Fifty-Sixth Century Antrim Iron Company,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Film Intex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Films Paramount SARL</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Films Ventures (Fiji)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First Cut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Canada (B.C.)</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First Hotel Investment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Forty-Fourth Century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Four Crowns,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French Street Management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Front Street Management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Futa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Future General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G&amp;W Leasing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G&amp;W Natural Resources Company,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Game One SAS</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Games Animation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Games Exchange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Games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20"/>
          </w:cols>
          <w:pgMar w:left="540" w:top="1257" w:right="539" w:bottom="1440" w:gutter="0" w:footer="0" w:header="0"/>
        </w:sectPr>
      </w:pPr>
    </w:p>
    <w:bookmarkStart w:id="252" w:name="page253"/>
    <w:bookmarkEnd w:id="25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Gateway Fleet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Pennsylvania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Gazella New Media Experience LP</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GC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GFB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Canada (Ontario)</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Gladiator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Glendale Property Corp.</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Global Film Distributors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Glory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Gloucester Titanium Company,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GNS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GolfWeb</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Gorgen,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Government Issue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Louisiana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Gower Avenue Films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Grace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Grad Night,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Grammar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Gramofair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Grand Bahama Petroleum Company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Bahamas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Grande Alliance Co. Ltd.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Cayman Islands</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Granite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Granville LA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Louisiana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Granville Pictures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Gravity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Canada (B.C.)</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Guidance,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Gulf &amp; Western Indonesia,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Gulf &amp; Western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Bahamas</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Hamilton Projects,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Hard Caliche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New Mexico</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Hello Doggie,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Hey Yeah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High Command Productions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House of Yes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HR Acquisition Corp.</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Hudson Street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HUSD,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Image Edit,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Imagine Radio,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Inside Edition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Interstitial Programs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Invisions Productions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Irvine Games,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Irvine Games USA,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Joseph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Jumbo Ticket Songs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20"/>
          </w:cols>
          <w:pgMar w:left="540" w:top="1258" w:right="539" w:bottom="1440" w:gutter="0" w:footer="0" w:header="0"/>
        </w:sectPr>
      </w:pPr>
    </w:p>
    <w:bookmarkStart w:id="253" w:name="page254"/>
    <w:bookmarkEnd w:id="25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Jupiter Spring Productions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Just U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K.W.M.,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KAPCAN1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Canada (B.C.)</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Kapital Entertainment,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Kapital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KapLA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Louisiana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Katled Systems,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Kilo Mining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Pennsylvania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King Street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King World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King World Development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King World Direct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King World Media Sales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King World Merchandising,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King World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King World Studios West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King World/CC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Kristina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KUTV Holdings,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KVMM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KW Development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KWP Studios,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KWP/RR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KWTS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Ladies Man Productions USA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Large Ticket Songs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Last Holiday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Louisiana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Last.FM Acquisition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Last.FM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Late Night Cartoons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Laurel Entertainment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LAXG,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Light Meter,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Liliana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Linbaba’s Story Pty Ltd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Australia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Lincoln Point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Lisarb Holding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List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Little Boston Company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Long Branch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Louisiana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Long Road Productions</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Illinois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Los Angeles Television Station KCAL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Louisiana CMT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Louisiana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Louisiana RPI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Louisiana</w:t>
            </w:r>
          </w:p>
        </w:tc>
      </w:tr>
    </w:tbl>
    <w:p>
      <w:pPr>
        <w:sectPr>
          <w:pgSz w:w="11900" w:h="16838" w:orient="portrait"/>
          <w:cols w:equalWidth="0" w:num="1">
            <w:col w:w="10820"/>
          </w:cols>
          <w:pgMar w:left="540" w:top="1258" w:right="539" w:bottom="1440" w:gutter="0" w:footer="0" w:header="0"/>
        </w:sectPr>
      </w:pPr>
    </w:p>
    <w:bookmarkStart w:id="254" w:name="page255"/>
    <w:bookmarkEnd w:id="25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Low Key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LS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Canada (Ontario)</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LT Holdings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M4Mobile,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Maarten Investerings Partnership</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MAD MOMS,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MAD Production Trucking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Magic Molehill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Magical Jade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Magical Motion Pictures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Magicam,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Marathon Holdings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Mattalex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Mattalex Two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Mayday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Canada (Ontario)</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MDP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MDR,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Meadowland Parkway Associates</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New Jersey</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Melange Pictures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Melrose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Meredith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Merlot Film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Merritt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Miami Television Station WBFS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Michaela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MMA Holdco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MonkeyWurks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MoonMan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Animation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Asia</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Cayman Islands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Asia Development Company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Asia Ventures (India) Pte.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Mauritius</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Asia Ventures Co.</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Cayman Islands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DMS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Games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Hong Kong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India</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Cayman Islands</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Argentina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Argentina S.R.L.</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Colombia S.A.S.</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Colombia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de Mexico, S. de R.L. de C.V.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Enterprises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Europe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Europe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20"/>
          </w:cols>
          <w:pgMar w:left="540" w:top="1258" w:right="539" w:bottom="1440" w:gutter="0" w:footer="0" w:header="0"/>
        </w:sectPr>
      </w:pPr>
    </w:p>
    <w:bookmarkStart w:id="255" w:name="page256"/>
    <w:bookmarkEnd w:id="25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Global Services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Holdings SARL</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Latin America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Music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Sarl</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Unipessoal, LDA</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Portugal</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NZ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New Zealand</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Ownership (Portugal), LDA</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Portugal</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Russia Holdings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S.A.</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Cayman Islands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Songs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Taiwan LDC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Cayman Islands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MTVBVI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MTVN Direct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MTVN Online Partner I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MTVN Social Gaming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Music By Nickelodeon,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Music by Video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MVP.Com Sports,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N.V. Broadcasting (Canada)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Canada (Federal)</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Narrabeen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Netherlands Management Services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Netherlands Overseas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Network Ten (Sydney) Pty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Australia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Network Ten (Adelaide) Pty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Australia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Network Ten (Brisbane) Pty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Australia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Network Ten (Melbourne) Pty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Australia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Network Ten (Perth) Pty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Australia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Network Ten All Access Pty Ltd.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Australia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Network Ten Pty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Australia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Networks CTS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Neutronium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38th Floor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Coral Ltd.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Cayman Islands</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Country Services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Creative Mix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Games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Group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International Mix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Nickelodeon Animation Studios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Not Before 10AM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Open Door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Pluto Global,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Pop Culture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Providence Assurance Company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Bahamas</w:t>
            </w:r>
          </w:p>
        </w:tc>
      </w:tr>
    </w:tbl>
    <w:p>
      <w:pPr>
        <w:sectPr>
          <w:pgSz w:w="11900" w:h="16838" w:orient="portrait"/>
          <w:cols w:equalWidth="0" w:num="1">
            <w:col w:w="10820"/>
          </w:cols>
          <w:pgMar w:left="540" w:top="1258" w:right="539" w:bottom="1440" w:gutter="0" w:footer="0" w:header="0"/>
        </w:sectPr>
      </w:pPr>
    </w:p>
    <w:bookmarkStart w:id="256" w:name="page257"/>
    <w:bookmarkEnd w:id="25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Remote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Viacom Velocity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Newdon Productions</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Illinois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 at Nite's TV Land Retromercials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Animation Studios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Asia Holdings Pte Ltd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Brasil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Direct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Global Network Ventures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Huggings U.K.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India Pvt Ltd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India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International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Magazines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Movies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Notes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Online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U.K.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UK Holdings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Virtual Worlds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Nicki Film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Night Falls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NM Classics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 Gloves Sports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Noggin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North Shore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 Before 10am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NP Domains,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NTA Films,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NTM,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Nutz Productions International,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NV International,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Georgia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 Good Songs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O’Connor Combustor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OHBWAY Investco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OM/TV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On Broadband Networks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On Second Thought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Canada (B.C.)</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On-Site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OOO VIMN Holdings Vostok</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Russian Federation</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OOO VIMN Media Vostok</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Russian Federation</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Open Door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Orange Ball Networks Subsidiary PRC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ORB,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Our Home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Ourchart.Com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20"/>
          </w:cols>
          <w:pgMar w:left="540" w:top="1258" w:right="539" w:bottom="1440" w:gutter="0" w:footer="0" w:header="0"/>
        </w:sectPr>
      </w:pPr>
    </w:p>
    <w:bookmarkStart w:id="257" w:name="page258"/>
    <w:bookmarkEnd w:id="25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Outdoor Entertainment,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Tennessee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Outlet Networks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Override Pictures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Palmetto Park Louisiana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Louisiana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Palmetto Park RI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Rhode Island</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ParaCon International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Montana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ParaCon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British Pictures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China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Digital Entertainment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Entertainment Brasil Ltda</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Entertainment Canada ULC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Canada (B.C.)</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Films of China,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Films of India, Ltd.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Films of Southeast Asia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Global Canada Holdings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Global Italia S.r.l.</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Italy</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Global Japan K.K.</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Global Korea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Republic of Korea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Global Political Action Committee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Global Productions GmbH</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Germany</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Global UK Holdings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Global Streaming International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(Australasia) Pty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Australia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(Brazil) Limitada</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(France) S.A.S.</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(Germany) GmbH</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Germany</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(Mexico) S. de R.L. de C.V.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(Mexico) Services S. de R.L. de C.V.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(UK)</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Distribution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International (Holdings)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International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International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Images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International (Netherlands)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Japan G.K.</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LAPTV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Latin America SRL</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Licensing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Movie and TV Program Planning (Beijing) Co., Ltd.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China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Network Espana, S.L.U.</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Spain</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NMOC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Overseas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20"/>
          </w:cols>
          <w:pgMar w:left="540" w:top="1258" w:right="539" w:bottom="1440" w:gutter="0" w:footer="0" w:header="0"/>
        </w:sectPr>
      </w:pPr>
    </w:p>
    <w:bookmarkStart w:id="258" w:name="page259"/>
    <w:bookmarkEnd w:id="25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Asia Pacific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Taiwan</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Australia Pty.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Australia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Brasil Distribuidora de Filmes Ltda</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Corporation (Canada)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Canada (Ontario)</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France Sarl</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Germany GmbH</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Germany</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Hong Kong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International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Louisiana Production Investments II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Louisiana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Louisiana Production Investments III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Louisiana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Louisiana Production Investments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Louisiana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Mexico S. de R.L. de C.V.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NZ</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New Zealand</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Services UK</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UK</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Poland sp. z.o.o.</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Poland</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Production Support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Productions Service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Spain S.L.U.</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Spain</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Streaming Services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Sweden AB</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Sweden</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Worldwide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ParaUSD Singapore Pte. Ltd.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Park Court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Part-Time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PatMa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Paws, Incorporated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Indiana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PCCGW Company,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PCI Canada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PCI Network Partner II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PCI Network Partner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Peanut Worm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Pen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Peppercorn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Tennessee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Permutation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Pet II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Philadelphia Television Station WPSG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Pittsburgh Television Station WPCW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Pluto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Pluto Merger Sub,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Pluto Merger Sub II,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Pluto TV Europe GmbH</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Germany</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PMV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Pop Channel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20"/>
          </w:cols>
          <w:pgMar w:left="540" w:top="1258" w:right="539" w:bottom="1440" w:gutter="0" w:footer="0" w:header="0"/>
        </w:sectPr>
      </w:pPr>
    </w:p>
    <w:bookmarkStart w:id="259" w:name="page260"/>
    <w:bookmarkEnd w:id="25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Pop Culture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Pop Media Group,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Pop Media Networks,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Pop Media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Pop Media Properties,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Pop Media Services,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Pop Music,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Pop Toons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Porta dos Fundos Produtora e Distribuidora Audiovisual S.A.</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Possible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Possum Point Incorporated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Pottle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PPC Film Management GmbH</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Germany</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PPG Holding 5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PPG Holding 95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Premiere House,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Preye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Prime Directive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Project Drew,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Prospect Company Ltd.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Cayman Islands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Proxy Music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Quemahoning Coal Processing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Pennsylvania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R.G.L. Realty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Raquel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Real TV Music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Recovery Ventures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Red de Televisión Chilevisión S.A.</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Chile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Red Devs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RED MIRROR,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Remote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Republic Distribution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Republic Entertainment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Republic Pictures Enterprises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Republic Pictures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RH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Rosy Haze Productions Pty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Australia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RTV News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RTV News Music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Sacramento Television Stations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Sagia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Canada (Ontario)</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Salton Sea Songs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Salvation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Canada (B.C.)</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Sammarnick Insurance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San Francisco Television Station KBCW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3"/>
              </w:rPr>
              <w:t>Virginia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SBX Acquisition Corp.</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20"/>
          </w:cols>
          <w:pgMar w:left="540" w:top="1257" w:right="539" w:bottom="1440" w:gutter="0" w:footer="0" w:header="0"/>
        </w:sectPr>
      </w:pPr>
    </w:p>
    <w:bookmarkStart w:id="260" w:name="page261"/>
    <w:bookmarkEnd w:id="26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Scott Mattson Farms,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Screenlife Licensing,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Nevada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Screenlife,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Washington</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See Yourself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Servicios Para Empresas de Entretenimiento, S. de R.L. de C.V.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Sexy Beast Productions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SF Films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Canada (Ontario)</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SFI Song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SHAUNTENT,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Ship House,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SHOtunes Music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Shovel Buddies,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 Pants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 Works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Digital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Harmonies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Live Entertainment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Marketing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Melodies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Networks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Networks Inc. (U.K.)</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Networks Satellite Programming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Online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Pictures Development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Satellite Networks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Songs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Showtime/Sundance Holding Company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SIFO One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SIFO Two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SKG Louisiana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Louisiana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SKG Music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SKG Music Nashville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SKG Music Publishing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SKG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Louisiana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SKG Studios Canada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Canada (Ontario)</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SN Digital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SNI/SI Networks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SnowGlobe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Soapmusic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Social Project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Solar Service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SongFair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South Park Digital Studios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Sparrow Merger Sub,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Spelling Daytime Songs,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20"/>
          </w:cols>
          <w:pgMar w:left="540" w:top="1258" w:right="539" w:bottom="1440" w:gutter="0" w:footer="0" w:header="0"/>
        </w:sectPr>
      </w:pPr>
    </w:p>
    <w:bookmarkStart w:id="261" w:name="page262"/>
    <w:bookmarkEnd w:id="26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Spelling Daytime Television,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Spelling Entertainment Group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Spelling Entertainment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Spelling Films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Spelling Films Music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Spelling Pictures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Spelling Satellite Networks,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Spelling Television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Spike Cable Networks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Spike Digital Entertainment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Sportsline.com,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Springy Productions Pty.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Australia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 Francis Ltd.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Cayman Islands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 Ives Company Ltd.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Cayman Islands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STAND IN,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Louisiana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Starfish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Stargate Acquisition Corp. One</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Start TV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Stat Crew Software,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Ohio</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Stepdude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Louisiana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Stranglehold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Streak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Canada (Ontario)</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Stuart Street,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Study Hall Films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Sunday Best,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Louisiana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Sunset Beach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Superstar Productions USA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SURRENDER,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Survivor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Swift Justice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T&amp;R Payroll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Talent Court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TAM3,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TATB,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Taylor Forge Memphis,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TB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Canada (Ontario)</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TDI Worldwide Investments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Television &amp; Telecasters (Properties) Pty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Australia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Televisión Federal S.A.</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Television Station KTXA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3"/>
              </w:rPr>
              <w:t>Virginia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Television Station WTCN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Ten Network Holdings Pty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Australia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Tentpole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TEVEFE COMERCIALIZACIÓN S.A.</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TG Film,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bl>
    <w:p>
      <w:pPr>
        <w:sectPr>
          <w:pgSz w:w="11900" w:h="16838" w:orient="portrait"/>
          <w:cols w:equalWidth="0" w:num="1">
            <w:col w:w="10820"/>
          </w:cols>
          <w:pgMar w:left="540" w:top="1257" w:right="539" w:bottom="1440" w:gutter="0" w:footer="0" w:header="0"/>
        </w:sectPr>
      </w:pPr>
    </w:p>
    <w:bookmarkStart w:id="262" w:name="page263"/>
    <w:bookmarkEnd w:id="26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 Box Italy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 Box Worldwide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 CW Television Stations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 Gramps Company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 Late Show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 Love Sickness,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 Matlock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 MTVi Group,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 New Jersey Zinc Exploration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 Paramount UK Partnership (trading as Comedy Central)</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 Saucon Valley Iron and Railroad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Pennsylvania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 Ten Group Pty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Australia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Thespians,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They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Things of the Wild Songs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Thinner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Third Century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Thirteenth Century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Thunder,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Timber Purchase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Timeline Films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Canada (Ontario)</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TIS Productions Colombia S.A.S.</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Colombia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TIS Productions Holdings S. de R.L.</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Panama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TIS Productions Mexico S. de R.L. de C.V.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TNN Classic Sessions,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TNN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Toe-to-Toe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Torand Payroll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Torand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Trans-American Resources,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TSM Services,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TSM,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Tube Mill,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Alabama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Tunes by Nickelodeon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Turnip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TV Scoop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Twofer,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UE Site Acquisition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Ultra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Canada (Ontario)</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Untitled Productions II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Untitled Science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UPN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UPN Holding Company,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UPN Properties,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Uptown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20"/>
          </w:cols>
          <w:pgMar w:left="540" w:top="1258" w:right="539" w:bottom="1440" w:gutter="0" w:footer="0" w:header="0"/>
        </w:sectPr>
      </w:pPr>
    </w:p>
    <w:bookmarkStart w:id="263" w:name="page264"/>
    <w:bookmarkEnd w:id="26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Ureal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URGE PrePaid Cards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3"/>
              </w:rPr>
              <w:t>Virginia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VBC Pilot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Canada (B.C.)</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VDS,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VE Development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VE Drive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VE Television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VGS Management Services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 Services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Alto Overseas C.V.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Animation of Korea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Asia (Beijing) Advertising and Media Co. Ltd.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China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Asia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ATV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August Songs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Blue Sky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Brand Solutions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Caledonia LP</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Camden Lock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Camden Lock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Canadian Productions Holdings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Canada (Ontario)</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Capital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Digital Studios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Domains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Canada (B.C.)</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Finance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Galaxy Tunes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Genesis Music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Global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Global Services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Hearty Ha!Ha!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Holdings Germany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Holdings Italia S.r.l.</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Italy</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Interactive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Administration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Film Finance Holdings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Jersey</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Film Finance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Jersey</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Hungary Kft.</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Hungary</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Media Networks (Malaysia) Sdn. Bhd.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Malaysia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Media Networks Africa (Pty)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South Africa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Media Networks España, S.L.</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Spain</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Media Networks Middle East FZ-LLC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Arab Emirates</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Media Networks Nigeria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Nigeria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Media Networks U.K.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Services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20"/>
          </w:cols>
          <w:pgMar w:left="540" w:top="1258" w:right="539" w:bottom="1440" w:gutter="0" w:footer="0" w:header="0"/>
        </w:sectPr>
      </w:pPr>
    </w:p>
    <w:bookmarkStart w:id="264" w:name="page265"/>
    <w:bookmarkEnd w:id="26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Studios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Media Argentina S.A.</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Music Touring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Netherlands Coöperatief U.A.</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Netherlands Management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Networks Europe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Networks Italia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Networks Japan G.K.</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Notes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Origins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Overseas Holdings C.V.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Realty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RMP International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RMP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SG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Songs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Special Events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Sterling Finance C.V.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Subsidiary Management Corp.</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Telecommunications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Theater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TN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Tunes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TV Investco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Ventures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ViacomCBS Blockchain Partner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ViacomCBS Chilevisión Holding I SpA</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Chile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ViacomCBS Chilevisión Holding II SpA</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Chile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ViacomCBS Integration Holdings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ViacomCBS Interactive Holdings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ViacomCBS International Distribution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ViacomCBS International Studios Productions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ViacomCBS Networks International Czech s.r.o</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Czech Republic</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ViacomCBS Realty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Vidoo Video Solutions Ltd.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Israel</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Argentina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Australia Pty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Australia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Brasil Participações Ltda.</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CP Services (UK)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CP Services, ULC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Canada (B.C.)</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Finance Holding (UK) Ltd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Finance Jersey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Jersey</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Germany GmbH</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Germany</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Netherlands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bl>
    <w:p>
      <w:pPr>
        <w:sectPr>
          <w:pgSz w:w="11900" w:h="16838" w:orient="portrait"/>
          <w:cols w:equalWidth="0" w:num="1">
            <w:col w:w="10820"/>
          </w:cols>
          <w:pgMar w:left="540" w:top="1258" w:right="539" w:bottom="1440" w:gutter="0" w:footer="0" w:header="0"/>
        </w:sectPr>
      </w:pPr>
    </w:p>
    <w:bookmarkStart w:id="265" w:name="page266"/>
    <w:bookmarkEnd w:id="26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Netherlands Holding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Nordic AB</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Sweden</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Poland sp. z o.o.</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Poland</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Polska B.V.</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Netherlands</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Singapore Pte. Ltd.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Switzerland AG</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Switzerland</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Viper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Canada (B.C.)</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VISI Services,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Visions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VIVA Media GmbH</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Germany</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VJK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VMN Digital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VMN Noord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VMPG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VNM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VP Direct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VP Programs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VPIX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VSC Compositions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VSC Music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Waste Resource Energy,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WBCE Corp.</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WCC FSC I,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WCC Project Corp.</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Westgate Pictures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White Mountain Productions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WhoSay,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Wildness,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Wilmerding Aircraft Leasing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Wilmerding Asset Management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Wilmerding Canada Holdings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Wilmerding CBS Holding Company,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Wilmerding Electric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Wilmerding Environmental Management Company of Ohio,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Wilmerding Hanford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Wilmerding Holdings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Wilmerding Idaho Nuclear Company,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Wilmerding International Holdings UK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Wilmerding Investment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Wilmerding Licensing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Pennsylvania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Wilmerding Reinvestment Company,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Wilmerding World Investment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Wilshire Court Productions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Wilshire Entertainment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Wilshire/Hauser Company</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20"/>
          </w:cols>
          <w:pgMar w:left="540" w:top="1258" w:right="539" w:bottom="1440" w:gutter="0" w:footer="0" w:header="0"/>
        </w:sectPr>
      </w:pPr>
    </w:p>
    <w:bookmarkStart w:id="266" w:name="page267"/>
    <w:bookmarkEnd w:id="26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 Organization</w:t>
            </w:r>
          </w:p>
        </w:tc>
      </w:tr>
      <w:tr>
        <w:trPr>
          <w:trHeight w:val="126"/>
        </w:trPr>
        <w:tc>
          <w:tcPr>
            <w:tcW w:w="1320" w:type="dxa"/>
            <w:vAlign w:val="bottom"/>
            <w:tcBorders>
              <w:top w:val="single" w:sz="8" w:color="auto"/>
              <w:bottom w:val="single" w:sz="8" w:color="95B3D7"/>
            </w:tcBorders>
          </w:tcPr>
          <w:p>
            <w:pPr>
              <w:spacing w:after="0"/>
              <w:rPr>
                <w:sz w:val="10"/>
                <w:szCs w:val="10"/>
                <w:color w:val="auto"/>
              </w:rPr>
            </w:pPr>
          </w:p>
        </w:tc>
        <w:tc>
          <w:tcPr>
            <w:tcW w:w="6120" w:type="dxa"/>
            <w:vAlign w:val="bottom"/>
            <w:tcBorders>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960" w:type="dxa"/>
            <w:vAlign w:val="bottom"/>
            <w:tcBorders>
              <w:top w:val="single" w:sz="8" w:color="auto"/>
              <w:bottom w:val="single" w:sz="8" w:color="95B3D7"/>
            </w:tcBorders>
          </w:tcPr>
          <w:p>
            <w:pPr>
              <w:spacing w:after="0"/>
              <w:rPr>
                <w:sz w:val="10"/>
                <w:szCs w:val="10"/>
                <w:color w:val="auto"/>
              </w:rPr>
            </w:pPr>
          </w:p>
        </w:tc>
        <w:tc>
          <w:tcPr>
            <w:tcW w:w="220" w:type="dxa"/>
            <w:vAlign w:val="bottom"/>
            <w:tcBorders>
              <w:bottom w:val="single" w:sz="8" w:color="95B3D7"/>
            </w:tcBorders>
          </w:tcPr>
          <w:p>
            <w:pPr>
              <w:spacing w:after="0"/>
              <w:rPr>
                <w:sz w:val="10"/>
                <w:szCs w:val="10"/>
                <w:color w:val="auto"/>
              </w:rPr>
            </w:pP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Woburn Insurance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Bermuda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Wordsmith,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World Sports Enterprises</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Tennessee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World Volleyball League,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Worldvision Enterprises (France) S.A.R.L.</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Worldvision Enterprises (United Kingdom) Ltd.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Worldvision Enterprises de Venezuela</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Venezuela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Worldvision Enterprises Latino-Americana, S.A.</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Panama</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Worldvision Enterprises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Worldvision Enterprises of Canada, Limited</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Worldvision Home Video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Worldwide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WPIC Corporation</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Animal Music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Wuthering Heights, CA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Yellams</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Cayman Islands</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Yellowstone Finance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York Resource Energy Systems,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YP Productions Inc.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Canada (Ontario)</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Zarina 99 Vermogensverwaltungs GmbH</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Germany</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ZDE,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19"/>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Zoo Films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8"/>
        </w:trPr>
        <w:tc>
          <w:tcPr>
            <w:tcW w:w="744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Zukor LLC</w:t>
            </w:r>
          </w:p>
        </w:tc>
        <w:tc>
          <w:tcPr>
            <w:tcW w:w="200" w:type="dxa"/>
            <w:vAlign w:val="bottom"/>
            <w:tcBorders>
              <w:bottom w:val="single" w:sz="8" w:color="95B3D7"/>
            </w:tcBorders>
          </w:tcPr>
          <w:p>
            <w:pPr>
              <w:spacing w:after="0"/>
              <w:rPr>
                <w:sz w:val="19"/>
                <w:szCs w:val="19"/>
                <w:color w:val="auto"/>
              </w:rPr>
            </w:pPr>
          </w:p>
        </w:tc>
        <w:tc>
          <w:tcPr>
            <w:tcW w:w="3180" w:type="dxa"/>
            <w:vAlign w:val="bottom"/>
            <w:tcBorders>
              <w:bottom w:val="single" w:sz="8" w:color="95B3D7"/>
              <w:right w:val="single" w:sz="8" w:color="95B3D7"/>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820"/>
          </w:cols>
          <w:pgMar w:left="540" w:top="1258" w:right="539" w:bottom="1440" w:gutter="0" w:footer="0" w:header="0"/>
        </w:sectPr>
      </w:pPr>
    </w:p>
    <w:bookmarkStart w:id="267" w:name="page268"/>
    <w:bookmarkEnd w:id="267"/>
    <w:p>
      <w:pPr>
        <w:jc w:val="right"/>
        <w:spacing w:after="0"/>
        <w:rPr>
          <w:sz w:val="20"/>
          <w:szCs w:val="20"/>
          <w:color w:val="auto"/>
        </w:rPr>
      </w:pPr>
      <w:r>
        <w:rPr>
          <w:rFonts w:ascii="Times New Roman" w:cs="Times New Roman" w:eastAsia="Times New Roman" w:hAnsi="Times New Roman"/>
          <w:sz w:val="19"/>
          <w:szCs w:val="19"/>
          <w:b w:val="1"/>
          <w:bCs w:val="1"/>
          <w:color w:val="auto"/>
        </w:rPr>
        <w:t>Exhibit 23(a)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CONSENT OF INDEPENDENT REGISTERED PUBLIC ACCOUNTING FIRM</w:t>
      </w:r>
    </w:p>
    <w:p>
      <w:pPr>
        <w:spacing w:after="0" w:line="200" w:lineRule="exact"/>
        <w:rPr>
          <w:sz w:val="20"/>
          <w:szCs w:val="20"/>
          <w:color w:val="auto"/>
        </w:rPr>
      </w:pPr>
    </w:p>
    <w:p>
      <w:pPr>
        <w:spacing w:after="0" w:line="27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We hereby consent to the incorporation by reference in the Registration Statements on Form S-3 (No. 333-270701) and on Forms S-8 (No. 333-55346, No. 333-82422, No. 333-164441, No. 333-192673, No. 333-198455, No. 333-204282, No. 333-234238, No. 333-235366, No. 333-235365, No. 333-235364, No. 333-258649, No. 333-267798 and No. 333-281546) of Paramount Global of our report dated February 26, 2025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PricewaterhouseCoopers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New York, New York</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February 26, 2025</w:t>
      </w:r>
    </w:p>
    <w:p>
      <w:pPr>
        <w:sectPr>
          <w:pgSz w:w="11900" w:h="16838" w:orient="portrait"/>
          <w:cols w:equalWidth="0" w:num="1">
            <w:col w:w="11240"/>
          </w:cols>
          <w:pgMar w:left="320" w:top="114" w:right="339" w:bottom="1440" w:gutter="0" w:footer="0" w:header="0"/>
        </w:sectPr>
      </w:pPr>
    </w:p>
    <w:bookmarkStart w:id="268" w:name="page269"/>
    <w:bookmarkEnd w:id="268"/>
    <w:p>
      <w:pPr>
        <w:jc w:val="right"/>
        <w:spacing w:after="0"/>
        <w:rPr>
          <w:sz w:val="20"/>
          <w:szCs w:val="20"/>
          <w:color w:val="auto"/>
        </w:rPr>
      </w:pPr>
      <w:r>
        <w:rPr>
          <w:rFonts w:ascii="Times New Roman" w:cs="Times New Roman" w:eastAsia="Times New Roman" w:hAnsi="Times New Roman"/>
          <w:sz w:val="19"/>
          <w:szCs w:val="19"/>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PARAMOUNT GLOBAL</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Power of Attorney</w:t>
      </w:r>
    </w:p>
    <w:p>
      <w:pPr>
        <w:spacing w:after="0" w:line="200" w:lineRule="exact"/>
        <w:rPr>
          <w:sz w:val="20"/>
          <w:szCs w:val="20"/>
          <w:color w:val="auto"/>
        </w:rPr>
      </w:pPr>
    </w:p>
    <w:p>
      <w:pPr>
        <w:spacing w:after="0" w:line="284"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9"/>
          <w:szCs w:val="19"/>
          <w:color w:val="auto"/>
        </w:rPr>
        <w:t>KNOW ALL PERSONS BY THESE PRESENTS that the undersigned director of PARAMOUNT GLOBAL, a Delaware corporation (the “Company”), hereby constitutes and appoints Caryn K. Groce to be her true and lawful attorney-in-fact and agent, with full power of substitution and resubstitution, for her and in her name, place and stead, in any and all capacities, to sign or cause to be signed electronically the Company’s Annual Report on Form 10</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K for the fiscal year ended December 31, 2024,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her substitute or substitutes, shall lawfully do or cause to be done by virtue hereof.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I have hereunto signed my name this 13</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day of February, 2025.</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9"/>
          <w:szCs w:val="19"/>
          <w:color w:val="auto"/>
        </w:rPr>
        <w:t>/s/ Barbara M. Byrne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3630295</wp:posOffset>
            </wp:positionH>
            <wp:positionV relativeFrom="paragraph">
              <wp:posOffset>35560</wp:posOffset>
            </wp:positionV>
            <wp:extent cx="274256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3">
                      <a:extLst>
                        <a:ext uri="{28A0092B-C50C-407E-A947-70E740481C1C}"/>
                      </a:extLst>
                    </a:blip>
                    <a:srcRect/>
                    <a:stretch>
                      <a:fillRect/>
                    </a:stretch>
                  </pic:blipFill>
                  <pic:spPr bwMode="auto">
                    <a:xfrm>
                      <a:off x="0" y="0"/>
                      <a:ext cx="2742565" cy="8255"/>
                    </a:xfrm>
                    <a:prstGeom prst="rect">
                      <a:avLst/>
                    </a:prstGeom>
                    <a:noFill/>
                  </pic:spPr>
                </pic:pic>
              </a:graphicData>
            </a:graphic>
          </wp:anchor>
        </w:drawing>
      </w:r>
    </w:p>
    <w:p>
      <w:pPr>
        <w:spacing w:after="0" w:line="40"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9"/>
          <w:szCs w:val="19"/>
          <w:color w:val="auto"/>
        </w:rPr>
        <w:t>Barbara M. Byrne</w:t>
      </w:r>
    </w:p>
    <w:p>
      <w:pPr>
        <w:sectPr>
          <w:pgSz w:w="11900" w:h="16838" w:orient="portrait"/>
          <w:cols w:equalWidth="0" w:num="1">
            <w:col w:w="11240"/>
          </w:cols>
          <w:pgMar w:left="320" w:top="351" w:right="339" w:bottom="1440" w:gutter="0" w:footer="0" w:header="0"/>
        </w:sectPr>
      </w:pPr>
    </w:p>
    <w:bookmarkStart w:id="269" w:name="page270"/>
    <w:bookmarkEnd w:id="269"/>
    <w:p>
      <w:pPr>
        <w:jc w:val="center"/>
        <w:spacing w:after="0"/>
        <w:rPr>
          <w:sz w:val="20"/>
          <w:szCs w:val="20"/>
          <w:color w:val="auto"/>
        </w:rPr>
      </w:pPr>
      <w:r>
        <w:rPr>
          <w:rFonts w:ascii="Times New Roman" w:cs="Times New Roman" w:eastAsia="Times New Roman" w:hAnsi="Times New Roman"/>
          <w:sz w:val="19"/>
          <w:szCs w:val="19"/>
          <w:b w:val="1"/>
          <w:bCs w:val="1"/>
          <w:color w:val="auto"/>
        </w:rPr>
        <w:t>PARAMOUNT GLOBAL</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Power of Attorney</w:t>
      </w:r>
    </w:p>
    <w:p>
      <w:pPr>
        <w:spacing w:after="0" w:line="200" w:lineRule="exact"/>
        <w:rPr>
          <w:sz w:val="20"/>
          <w:szCs w:val="20"/>
          <w:color w:val="auto"/>
        </w:rPr>
      </w:pPr>
    </w:p>
    <w:p>
      <w:pPr>
        <w:spacing w:after="0" w:line="284"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9"/>
          <w:szCs w:val="19"/>
          <w:color w:val="auto"/>
        </w:rPr>
        <w:t>KNOW ALL PERSONS BY THESE PRESENTS that the undersigned director of PARAMOUNT GLOBAL, a Delaware corporation (the “Company”), hereby constitutes and appoints Caryn K. Groce to be her true and lawful attorney-in-fact and agent, with full power of substitution and resubstitution, for her and in her name, place and stead, in any and all capacities, to sign or cause to be signed electronically the Company’s Annual Report on Form 10</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K for the fiscal year ended December 31, 2024,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her substitute or substitutes, shall lawfully do or cause to be done by virtue hereof.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I have hereunto signed my name this 13</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day of February, 2025.</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9"/>
          <w:szCs w:val="19"/>
          <w:color w:val="auto"/>
        </w:rPr>
        <w:t>/s/ Linda M. Griego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3630295</wp:posOffset>
            </wp:positionH>
            <wp:positionV relativeFrom="paragraph">
              <wp:posOffset>35560</wp:posOffset>
            </wp:positionV>
            <wp:extent cx="274256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4">
                      <a:extLst>
                        <a:ext uri="{28A0092B-C50C-407E-A947-70E740481C1C}"/>
                      </a:extLst>
                    </a:blip>
                    <a:srcRect/>
                    <a:stretch>
                      <a:fillRect/>
                    </a:stretch>
                  </pic:blipFill>
                  <pic:spPr bwMode="auto">
                    <a:xfrm>
                      <a:off x="0" y="0"/>
                      <a:ext cx="2742565" cy="8255"/>
                    </a:xfrm>
                    <a:prstGeom prst="rect">
                      <a:avLst/>
                    </a:prstGeom>
                    <a:noFill/>
                  </pic:spPr>
                </pic:pic>
              </a:graphicData>
            </a:graphic>
          </wp:anchor>
        </w:drawing>
      </w:r>
    </w:p>
    <w:p>
      <w:pPr>
        <w:spacing w:after="0" w:line="40"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9"/>
          <w:szCs w:val="19"/>
          <w:color w:val="auto"/>
        </w:rPr>
        <w:t>Linda M. Griego</w:t>
      </w:r>
    </w:p>
    <w:p>
      <w:pPr>
        <w:sectPr>
          <w:pgSz w:w="11900" w:h="16838" w:orient="portrait"/>
          <w:cols w:equalWidth="0" w:num="1">
            <w:col w:w="11240"/>
          </w:cols>
          <w:pgMar w:left="320" w:top="1385" w:right="339" w:bottom="1440" w:gutter="0" w:footer="0" w:header="0"/>
        </w:sectPr>
      </w:pPr>
    </w:p>
    <w:bookmarkStart w:id="270" w:name="page271"/>
    <w:bookmarkEnd w:id="270"/>
    <w:p>
      <w:pPr>
        <w:jc w:val="center"/>
        <w:spacing w:after="0"/>
        <w:rPr>
          <w:sz w:val="20"/>
          <w:szCs w:val="20"/>
          <w:color w:val="auto"/>
        </w:rPr>
      </w:pPr>
      <w:r>
        <w:rPr>
          <w:rFonts w:ascii="Times New Roman" w:cs="Times New Roman" w:eastAsia="Times New Roman" w:hAnsi="Times New Roman"/>
          <w:sz w:val="19"/>
          <w:szCs w:val="19"/>
          <w:b w:val="1"/>
          <w:bCs w:val="1"/>
          <w:color w:val="auto"/>
        </w:rPr>
        <w:t>PARAMOUNT GLOBAL</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Power of Attorney</w:t>
      </w:r>
    </w:p>
    <w:p>
      <w:pPr>
        <w:spacing w:after="0" w:line="200" w:lineRule="exact"/>
        <w:rPr>
          <w:sz w:val="20"/>
          <w:szCs w:val="20"/>
          <w:color w:val="auto"/>
        </w:rPr>
      </w:pPr>
    </w:p>
    <w:p>
      <w:pPr>
        <w:spacing w:after="0" w:line="284"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9"/>
          <w:szCs w:val="19"/>
          <w:color w:val="auto"/>
        </w:rPr>
        <w:t>KNOW ALL PERSONS BY THESE PRESENTS that the undersigned director of PARAMOUNT GLOBAL, a Delaware corporation (the “Company”), hereby constitutes and appoints Caryn K. Groce to be her true and lawful attorney-in-fact and agent, with full power of substitution and resubstitution, for her and in her name, place and stead, in any and all capacities, to sign or cause to be signed electronically the Company’s Annual Report on Form 10</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K for the fiscal year ended December 31, 2024,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her substitute or substitutes, shall lawfully do or cause to be done by virtue hereof.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I have hereunto signed my name this 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day of February, 2025.</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9"/>
          <w:szCs w:val="19"/>
          <w:color w:val="auto"/>
        </w:rPr>
        <w:t>/s/ Judith A. McHale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3630295</wp:posOffset>
            </wp:positionH>
            <wp:positionV relativeFrom="paragraph">
              <wp:posOffset>35560</wp:posOffset>
            </wp:positionV>
            <wp:extent cx="274256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5">
                      <a:extLst>
                        <a:ext uri="{28A0092B-C50C-407E-A947-70E740481C1C}"/>
                      </a:extLst>
                    </a:blip>
                    <a:srcRect/>
                    <a:stretch>
                      <a:fillRect/>
                    </a:stretch>
                  </pic:blipFill>
                  <pic:spPr bwMode="auto">
                    <a:xfrm>
                      <a:off x="0" y="0"/>
                      <a:ext cx="2742565" cy="8255"/>
                    </a:xfrm>
                    <a:prstGeom prst="rect">
                      <a:avLst/>
                    </a:prstGeom>
                    <a:noFill/>
                  </pic:spPr>
                </pic:pic>
              </a:graphicData>
            </a:graphic>
          </wp:anchor>
        </w:drawing>
      </w:r>
    </w:p>
    <w:p>
      <w:pPr>
        <w:spacing w:after="0" w:line="40"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9"/>
          <w:szCs w:val="19"/>
          <w:color w:val="auto"/>
        </w:rPr>
        <w:t>Judith A. McHale</w:t>
      </w:r>
    </w:p>
    <w:p>
      <w:pPr>
        <w:sectPr>
          <w:pgSz w:w="11900" w:h="16838" w:orient="portrait"/>
          <w:cols w:equalWidth="0" w:num="1">
            <w:col w:w="11240"/>
          </w:cols>
          <w:pgMar w:left="320" w:top="1385" w:right="339" w:bottom="1440" w:gutter="0" w:footer="0" w:header="0"/>
        </w:sectPr>
      </w:pPr>
    </w:p>
    <w:bookmarkStart w:id="271" w:name="page272"/>
    <w:bookmarkEnd w:id="271"/>
    <w:p>
      <w:pPr>
        <w:jc w:val="center"/>
        <w:spacing w:after="0"/>
        <w:rPr>
          <w:sz w:val="20"/>
          <w:szCs w:val="20"/>
          <w:color w:val="auto"/>
        </w:rPr>
      </w:pPr>
      <w:r>
        <w:rPr>
          <w:rFonts w:ascii="Times New Roman" w:cs="Times New Roman" w:eastAsia="Times New Roman" w:hAnsi="Times New Roman"/>
          <w:sz w:val="19"/>
          <w:szCs w:val="19"/>
          <w:b w:val="1"/>
          <w:bCs w:val="1"/>
          <w:color w:val="auto"/>
        </w:rPr>
        <w:t>PARAMOUNT GLOBAL</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Power of Attorney</w:t>
      </w:r>
    </w:p>
    <w:p>
      <w:pPr>
        <w:spacing w:after="0" w:line="200" w:lineRule="exact"/>
        <w:rPr>
          <w:sz w:val="20"/>
          <w:szCs w:val="20"/>
          <w:color w:val="auto"/>
        </w:rPr>
      </w:pPr>
    </w:p>
    <w:p>
      <w:pPr>
        <w:spacing w:after="0" w:line="284"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9"/>
          <w:szCs w:val="19"/>
          <w:color w:val="auto"/>
        </w:rPr>
        <w:t>KNOW ALL PERSONS BY THESE PRESENTS that the undersigned director of PARAMOUNT GLOBAL, a Delaware corporation (the “Company”), hereby constitutes and appoints Caryn K. Groce to be her true and lawful attorney-in-fact and agent, with full power of substitution and resubstitution, for her and in her name, place and stead, in any and all capacities, to sign or cause to be signed electronically the Company’s Annual Report on Form 10</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K for the fiscal year ended December 31, 2024,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her substitute or substitutes, shall lawfully do or cause to be done by virtue hereof.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I have hereunto signed my name this 19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day of February, 2025.</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9"/>
          <w:szCs w:val="19"/>
          <w:color w:val="auto"/>
        </w:rPr>
        <w:t>/s/ Shari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3630295</wp:posOffset>
            </wp:positionH>
            <wp:positionV relativeFrom="paragraph">
              <wp:posOffset>35560</wp:posOffset>
            </wp:positionV>
            <wp:extent cx="274256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6">
                      <a:extLst>
                        <a:ext uri="{28A0092B-C50C-407E-A947-70E740481C1C}"/>
                      </a:extLst>
                    </a:blip>
                    <a:srcRect/>
                    <a:stretch>
                      <a:fillRect/>
                    </a:stretch>
                  </pic:blipFill>
                  <pic:spPr bwMode="auto">
                    <a:xfrm>
                      <a:off x="0" y="0"/>
                      <a:ext cx="2742565" cy="8255"/>
                    </a:xfrm>
                    <a:prstGeom prst="rect">
                      <a:avLst/>
                    </a:prstGeom>
                    <a:noFill/>
                  </pic:spPr>
                </pic:pic>
              </a:graphicData>
            </a:graphic>
          </wp:anchor>
        </w:drawing>
      </w:r>
    </w:p>
    <w:p>
      <w:pPr>
        <w:spacing w:after="0" w:line="40"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9"/>
          <w:szCs w:val="19"/>
          <w:color w:val="auto"/>
        </w:rPr>
        <w:t>Shari Redstone</w:t>
      </w:r>
    </w:p>
    <w:p>
      <w:pPr>
        <w:sectPr>
          <w:pgSz w:w="11900" w:h="16838" w:orient="portrait"/>
          <w:cols w:equalWidth="0" w:num="1">
            <w:col w:w="11240"/>
          </w:cols>
          <w:pgMar w:left="320" w:top="1385" w:right="339" w:bottom="1440" w:gutter="0" w:footer="0" w:header="0"/>
        </w:sectPr>
      </w:pPr>
    </w:p>
    <w:bookmarkStart w:id="272" w:name="page273"/>
    <w:bookmarkEnd w:id="272"/>
    <w:p>
      <w:pPr>
        <w:jc w:val="center"/>
        <w:spacing w:after="0"/>
        <w:rPr>
          <w:sz w:val="20"/>
          <w:szCs w:val="20"/>
          <w:color w:val="auto"/>
        </w:rPr>
      </w:pPr>
      <w:r>
        <w:rPr>
          <w:rFonts w:ascii="Times New Roman" w:cs="Times New Roman" w:eastAsia="Times New Roman" w:hAnsi="Times New Roman"/>
          <w:sz w:val="19"/>
          <w:szCs w:val="19"/>
          <w:b w:val="1"/>
          <w:bCs w:val="1"/>
          <w:color w:val="auto"/>
        </w:rPr>
        <w:t>PARAMOUNT GLOBAL</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Power of Attorney</w:t>
      </w:r>
    </w:p>
    <w:p>
      <w:pPr>
        <w:spacing w:after="0" w:line="200" w:lineRule="exact"/>
        <w:rPr>
          <w:sz w:val="20"/>
          <w:szCs w:val="20"/>
          <w:color w:val="auto"/>
        </w:rPr>
      </w:pPr>
    </w:p>
    <w:p>
      <w:pPr>
        <w:spacing w:after="0" w:line="284"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9"/>
          <w:szCs w:val="19"/>
          <w:color w:val="auto"/>
        </w:rPr>
        <w:t>KNOW ALL PERSONS BY THESE PRESENTS that the undersigned director of PARAMOUNT GLOBAL, a Delaware corporation (the “Company”), hereby constitutes and appoints Caryn K. Groce to be her true and lawful attorney-in-fact and agent, with full power of substitution and resubstitution, for her and in her name, place and stead, in any and all capacities, to sign or cause to be signed electronically the Company’s Annual Report on Form 10</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K for the fiscal year ended December 31, 2024,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her substitute or substitutes, shall lawfully do or cause to be done by virtue hereof.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I have hereunto signed my name this 13</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day of February, 2025.</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9"/>
          <w:szCs w:val="19"/>
          <w:color w:val="auto"/>
        </w:rPr>
        <w:t>/s/ Susan Schuman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3630295</wp:posOffset>
            </wp:positionH>
            <wp:positionV relativeFrom="paragraph">
              <wp:posOffset>35560</wp:posOffset>
            </wp:positionV>
            <wp:extent cx="274256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7">
                      <a:extLst>
                        <a:ext uri="{28A0092B-C50C-407E-A947-70E740481C1C}"/>
                      </a:extLst>
                    </a:blip>
                    <a:srcRect/>
                    <a:stretch>
                      <a:fillRect/>
                    </a:stretch>
                  </pic:blipFill>
                  <pic:spPr bwMode="auto">
                    <a:xfrm>
                      <a:off x="0" y="0"/>
                      <a:ext cx="2742565" cy="8255"/>
                    </a:xfrm>
                    <a:prstGeom prst="rect">
                      <a:avLst/>
                    </a:prstGeom>
                    <a:noFill/>
                  </pic:spPr>
                </pic:pic>
              </a:graphicData>
            </a:graphic>
          </wp:anchor>
        </w:drawing>
      </w:r>
    </w:p>
    <w:p>
      <w:pPr>
        <w:spacing w:after="0" w:line="40"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9"/>
          <w:szCs w:val="19"/>
          <w:color w:val="auto"/>
        </w:rPr>
        <w:t>Susan Schuman</w:t>
      </w:r>
    </w:p>
    <w:p>
      <w:pPr>
        <w:sectPr>
          <w:pgSz w:w="11900" w:h="16838" w:orient="portrait"/>
          <w:cols w:equalWidth="0" w:num="1">
            <w:col w:w="11240"/>
          </w:cols>
          <w:pgMar w:left="320" w:top="1385" w:right="339" w:bottom="1440" w:gutter="0" w:footer="0" w:header="0"/>
        </w:sectPr>
      </w:pPr>
    </w:p>
    <w:bookmarkStart w:id="273" w:name="page274"/>
    <w:bookmarkEnd w:id="273"/>
    <w:p>
      <w:pPr>
        <w:jc w:val="right"/>
        <w:spacing w:after="0"/>
        <w:rPr>
          <w:sz w:val="20"/>
          <w:szCs w:val="20"/>
          <w:color w:val="auto"/>
        </w:rPr>
      </w:pPr>
      <w:r>
        <w:rPr>
          <w:rFonts w:ascii="Times New Roman" w:cs="Times New Roman" w:eastAsia="Times New Roman" w:hAnsi="Times New Roman"/>
          <w:sz w:val="19"/>
          <w:szCs w:val="19"/>
          <w:b w:val="1"/>
          <w:bCs w:val="1"/>
          <w:color w:val="auto"/>
        </w:rPr>
        <w:t>Exhibit 31(a)</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Christopher D. McCarthy, certify that:</w:t>
      </w:r>
    </w:p>
    <w:p>
      <w:pPr>
        <w:spacing w:after="0" w:line="365" w:lineRule="exact"/>
        <w:rPr>
          <w:sz w:val="20"/>
          <w:szCs w:val="20"/>
          <w:color w:val="auto"/>
        </w:rPr>
      </w:pPr>
    </w:p>
    <w:p>
      <w:pPr>
        <w:ind w:left="320" w:hanging="314"/>
        <w:spacing w:after="0"/>
        <w:tabs>
          <w:tab w:leader="none" w:pos="320" w:val="left"/>
        </w:tabs>
        <w:numPr>
          <w:ilvl w:val="0"/>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reviewed this Annual Report on Form 10-K of Paramount Global;</w:t>
      </w:r>
    </w:p>
    <w:p>
      <w:pPr>
        <w:spacing w:after="0" w:line="192" w:lineRule="exact"/>
        <w:rPr>
          <w:rFonts w:ascii="Times New Roman" w:cs="Times New Roman" w:eastAsia="Times New Roman" w:hAnsi="Times New Roman"/>
          <w:sz w:val="19"/>
          <w:szCs w:val="19"/>
          <w:color w:val="auto"/>
        </w:rPr>
      </w:pPr>
    </w:p>
    <w:p>
      <w:pPr>
        <w:ind w:left="320" w:right="120" w:hanging="314"/>
        <w:spacing w:after="0" w:line="280" w:lineRule="auto"/>
        <w:tabs>
          <w:tab w:leader="none" w:pos="320" w:val="left"/>
        </w:tabs>
        <w:numPr>
          <w:ilvl w:val="0"/>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9"/>
          <w:szCs w:val="19"/>
          <w:color w:val="auto"/>
        </w:rPr>
      </w:pPr>
    </w:p>
    <w:p>
      <w:pPr>
        <w:ind w:left="320" w:right="440" w:hanging="314"/>
        <w:spacing w:after="0" w:line="300" w:lineRule="auto"/>
        <w:tabs>
          <w:tab w:leader="none" w:pos="320" w:val="left"/>
        </w:tabs>
        <w:numPr>
          <w:ilvl w:val="0"/>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Times New Roman" w:cs="Times New Roman" w:eastAsia="Times New Roman" w:hAnsi="Times New Roman"/>
          <w:sz w:val="19"/>
          <w:szCs w:val="19"/>
          <w:color w:val="auto"/>
        </w:rPr>
      </w:pPr>
    </w:p>
    <w:p>
      <w:pPr>
        <w:ind w:left="320" w:right="20" w:hanging="314"/>
        <w:spacing w:after="0" w:line="273" w:lineRule="auto"/>
        <w:tabs>
          <w:tab w:leader="none" w:pos="320" w:val="left"/>
        </w:tabs>
        <w:numPr>
          <w:ilvl w:val="0"/>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Times New Roman" w:cs="Times New Roman" w:eastAsia="Times New Roman" w:hAnsi="Times New Roman"/>
          <w:sz w:val="19"/>
          <w:szCs w:val="19"/>
          <w:color w:val="auto"/>
        </w:rPr>
      </w:pPr>
    </w:p>
    <w:p>
      <w:pPr>
        <w:ind w:left="720" w:right="160" w:hanging="396"/>
        <w:spacing w:after="0" w:line="273" w:lineRule="auto"/>
        <w:tabs>
          <w:tab w:leader="none" w:pos="710" w:val="left"/>
        </w:tabs>
        <w:numPr>
          <w:ilvl w:val="1"/>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Times New Roman" w:cs="Times New Roman" w:eastAsia="Times New Roman" w:hAnsi="Times New Roman"/>
          <w:sz w:val="19"/>
          <w:szCs w:val="19"/>
          <w:color w:val="auto"/>
        </w:rPr>
      </w:pPr>
    </w:p>
    <w:p>
      <w:pPr>
        <w:ind w:left="720" w:right="240" w:hanging="396"/>
        <w:spacing w:after="0" w:line="273" w:lineRule="auto"/>
        <w:tabs>
          <w:tab w:leader="none" w:pos="708" w:val="left"/>
        </w:tabs>
        <w:numPr>
          <w:ilvl w:val="1"/>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rFonts w:ascii="Times New Roman" w:cs="Times New Roman" w:eastAsia="Times New Roman" w:hAnsi="Times New Roman"/>
          <w:sz w:val="19"/>
          <w:szCs w:val="19"/>
          <w:color w:val="auto"/>
        </w:rPr>
      </w:pPr>
    </w:p>
    <w:p>
      <w:pPr>
        <w:jc w:val="both"/>
        <w:ind w:left="720" w:right="20" w:hanging="396"/>
        <w:spacing w:after="0" w:line="300" w:lineRule="auto"/>
        <w:tabs>
          <w:tab w:leader="none" w:pos="710" w:val="left"/>
        </w:tabs>
        <w:numPr>
          <w:ilvl w:val="1"/>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3" w:lineRule="exact"/>
        <w:rPr>
          <w:rFonts w:ascii="Times New Roman" w:cs="Times New Roman" w:eastAsia="Times New Roman" w:hAnsi="Times New Roman"/>
          <w:sz w:val="19"/>
          <w:szCs w:val="19"/>
          <w:color w:val="auto"/>
        </w:rPr>
      </w:pPr>
    </w:p>
    <w:p>
      <w:pPr>
        <w:ind w:left="720" w:right="40" w:hanging="396"/>
        <w:spacing w:after="0" w:line="273" w:lineRule="auto"/>
        <w:tabs>
          <w:tab w:leader="none" w:pos="708" w:val="left"/>
        </w:tabs>
        <w:numPr>
          <w:ilvl w:val="1"/>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8" w:lineRule="exact"/>
        <w:rPr>
          <w:rFonts w:ascii="Times New Roman" w:cs="Times New Roman" w:eastAsia="Times New Roman" w:hAnsi="Times New Roman"/>
          <w:sz w:val="19"/>
          <w:szCs w:val="19"/>
          <w:color w:val="auto"/>
        </w:rPr>
      </w:pPr>
    </w:p>
    <w:p>
      <w:pPr>
        <w:ind w:left="320" w:right="340" w:hanging="314"/>
        <w:spacing w:after="0" w:line="273" w:lineRule="auto"/>
        <w:tabs>
          <w:tab w:leader="none" w:pos="320" w:val="left"/>
        </w:tabs>
        <w:numPr>
          <w:ilvl w:val="0"/>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Times New Roman" w:cs="Times New Roman" w:eastAsia="Times New Roman" w:hAnsi="Times New Roman"/>
          <w:sz w:val="19"/>
          <w:szCs w:val="19"/>
          <w:color w:val="auto"/>
        </w:rPr>
      </w:pPr>
    </w:p>
    <w:p>
      <w:pPr>
        <w:ind w:left="720" w:right="300" w:hanging="396"/>
        <w:spacing w:after="0" w:line="300" w:lineRule="auto"/>
        <w:tabs>
          <w:tab w:leader="none" w:pos="710" w:val="left"/>
        </w:tabs>
        <w:numPr>
          <w:ilvl w:val="1"/>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3" w:lineRule="exact"/>
        <w:rPr>
          <w:rFonts w:ascii="Times New Roman" w:cs="Times New Roman" w:eastAsia="Times New Roman" w:hAnsi="Times New Roman"/>
          <w:sz w:val="19"/>
          <w:szCs w:val="19"/>
          <w:color w:val="auto"/>
        </w:rPr>
      </w:pPr>
    </w:p>
    <w:p>
      <w:pPr>
        <w:ind w:left="720" w:right="600" w:hanging="396"/>
        <w:spacing w:after="0" w:line="285" w:lineRule="auto"/>
        <w:tabs>
          <w:tab w:leader="none" w:pos="708" w:val="left"/>
        </w:tabs>
        <w:numPr>
          <w:ilvl w:val="1"/>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February 26, 2025</w:t>
      </w:r>
    </w:p>
    <w:p>
      <w:pPr>
        <w:spacing w:after="0" w:line="6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auto"/>
        </w:rPr>
        <w:t>/s/ Christopher D.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3141980</wp:posOffset>
            </wp:positionH>
            <wp:positionV relativeFrom="paragraph">
              <wp:posOffset>27305</wp:posOffset>
            </wp:positionV>
            <wp:extent cx="39966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8">
                      <a:extLst>
                        <a:ext uri="{28A0092B-C50C-407E-A947-70E740481C1C}"/>
                      </a:extLst>
                    </a:blip>
                    <a:srcRect/>
                    <a:stretch>
                      <a:fillRect/>
                    </a:stretch>
                  </pic:blipFill>
                  <pic:spPr bwMode="auto">
                    <a:xfrm>
                      <a:off x="0" y="0"/>
                      <a:ext cx="3996690" cy="8255"/>
                    </a:xfrm>
                    <a:prstGeom prst="rect">
                      <a:avLst/>
                    </a:prstGeom>
                    <a:noFill/>
                  </pic:spPr>
                </pic:pic>
              </a:graphicData>
            </a:graphic>
          </wp:anchor>
        </w:drawing>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auto"/>
        </w:rPr>
        <w:t>Christopher D. McCarthy</w:t>
      </w:r>
    </w:p>
    <w:p>
      <w:pPr>
        <w:spacing w:after="0" w:line="3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auto"/>
        </w:rPr>
        <w:t>Office of the Chief Executive Officer</w:t>
      </w:r>
    </w:p>
    <w:p>
      <w:pPr>
        <w:sectPr>
          <w:pgSz w:w="11900" w:h="16838" w:orient="portrait"/>
          <w:cols w:equalWidth="0" w:num="1">
            <w:col w:w="11240"/>
          </w:cols>
          <w:pgMar w:left="320" w:top="590" w:right="339" w:bottom="1440" w:gutter="0" w:footer="0" w:header="0"/>
        </w:sectPr>
      </w:pPr>
    </w:p>
    <w:bookmarkStart w:id="274" w:name="page275"/>
    <w:bookmarkEnd w:id="274"/>
    <w:p>
      <w:pPr>
        <w:jc w:val="right"/>
        <w:spacing w:after="0"/>
        <w:rPr>
          <w:sz w:val="20"/>
          <w:szCs w:val="20"/>
          <w:color w:val="auto"/>
        </w:rPr>
      </w:pPr>
      <w:r>
        <w:rPr>
          <w:rFonts w:ascii="Times New Roman" w:cs="Times New Roman" w:eastAsia="Times New Roman" w:hAnsi="Times New Roman"/>
          <w:sz w:val="19"/>
          <w:szCs w:val="19"/>
          <w:b w:val="1"/>
          <w:bCs w:val="1"/>
          <w:color w:val="auto"/>
        </w:rPr>
        <w:t>Exhibit 31(b)</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Naveen Chopra, certify that:</w:t>
      </w:r>
    </w:p>
    <w:p>
      <w:pPr>
        <w:spacing w:after="0" w:line="365" w:lineRule="exact"/>
        <w:rPr>
          <w:sz w:val="20"/>
          <w:szCs w:val="20"/>
          <w:color w:val="auto"/>
        </w:rPr>
      </w:pPr>
    </w:p>
    <w:p>
      <w:pPr>
        <w:ind w:left="340" w:hanging="334"/>
        <w:spacing w:after="0"/>
        <w:tabs>
          <w:tab w:leader="none" w:pos="340" w:val="left"/>
        </w:tabs>
        <w:numPr>
          <w:ilvl w:val="0"/>
          <w:numId w:val="2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reviewed this Annual Report on Form 10-K of Paramount Global;</w:t>
      </w:r>
    </w:p>
    <w:p>
      <w:pPr>
        <w:spacing w:after="0" w:line="192" w:lineRule="exact"/>
        <w:rPr>
          <w:rFonts w:ascii="Times New Roman" w:cs="Times New Roman" w:eastAsia="Times New Roman" w:hAnsi="Times New Roman"/>
          <w:sz w:val="19"/>
          <w:szCs w:val="19"/>
          <w:color w:val="auto"/>
        </w:rPr>
      </w:pPr>
    </w:p>
    <w:p>
      <w:pPr>
        <w:ind w:left="320" w:right="120" w:hanging="314"/>
        <w:spacing w:after="0" w:line="280" w:lineRule="auto"/>
        <w:tabs>
          <w:tab w:leader="none" w:pos="342" w:val="left"/>
        </w:tabs>
        <w:numPr>
          <w:ilvl w:val="0"/>
          <w:numId w:val="2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9"/>
          <w:szCs w:val="19"/>
          <w:color w:val="auto"/>
        </w:rPr>
      </w:pPr>
    </w:p>
    <w:p>
      <w:pPr>
        <w:ind w:left="320" w:right="440" w:hanging="314"/>
        <w:spacing w:after="0" w:line="300" w:lineRule="auto"/>
        <w:tabs>
          <w:tab w:leader="none" w:pos="342" w:val="left"/>
        </w:tabs>
        <w:numPr>
          <w:ilvl w:val="0"/>
          <w:numId w:val="2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Times New Roman" w:cs="Times New Roman" w:eastAsia="Times New Roman" w:hAnsi="Times New Roman"/>
          <w:sz w:val="19"/>
          <w:szCs w:val="19"/>
          <w:color w:val="auto"/>
        </w:rPr>
      </w:pPr>
    </w:p>
    <w:p>
      <w:pPr>
        <w:ind w:left="320" w:hanging="314"/>
        <w:spacing w:after="0" w:line="273" w:lineRule="auto"/>
        <w:tabs>
          <w:tab w:leader="none" w:pos="338" w:val="left"/>
        </w:tabs>
        <w:numPr>
          <w:ilvl w:val="0"/>
          <w:numId w:val="2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Times New Roman" w:cs="Times New Roman" w:eastAsia="Times New Roman" w:hAnsi="Times New Roman"/>
          <w:sz w:val="19"/>
          <w:szCs w:val="19"/>
          <w:color w:val="auto"/>
        </w:rPr>
      </w:pPr>
    </w:p>
    <w:p>
      <w:pPr>
        <w:ind w:left="720" w:right="160" w:hanging="396"/>
        <w:spacing w:after="0" w:line="273" w:lineRule="auto"/>
        <w:tabs>
          <w:tab w:leader="none" w:pos="732" w:val="left"/>
        </w:tabs>
        <w:numPr>
          <w:ilvl w:val="1"/>
          <w:numId w:val="2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Times New Roman" w:cs="Times New Roman" w:eastAsia="Times New Roman" w:hAnsi="Times New Roman"/>
          <w:sz w:val="19"/>
          <w:szCs w:val="19"/>
          <w:color w:val="auto"/>
        </w:rPr>
      </w:pPr>
    </w:p>
    <w:p>
      <w:pPr>
        <w:ind w:left="720" w:right="220" w:hanging="396"/>
        <w:spacing w:after="0" w:line="273" w:lineRule="auto"/>
        <w:tabs>
          <w:tab w:leader="none" w:pos="743" w:val="left"/>
        </w:tabs>
        <w:numPr>
          <w:ilvl w:val="1"/>
          <w:numId w:val="2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rFonts w:ascii="Times New Roman" w:cs="Times New Roman" w:eastAsia="Times New Roman" w:hAnsi="Times New Roman"/>
          <w:sz w:val="19"/>
          <w:szCs w:val="19"/>
          <w:color w:val="auto"/>
        </w:rPr>
      </w:pPr>
    </w:p>
    <w:p>
      <w:pPr>
        <w:jc w:val="both"/>
        <w:ind w:left="720" w:right="20" w:hanging="396"/>
        <w:spacing w:after="0" w:line="300" w:lineRule="auto"/>
        <w:tabs>
          <w:tab w:leader="none" w:pos="732" w:val="left"/>
        </w:tabs>
        <w:numPr>
          <w:ilvl w:val="1"/>
          <w:numId w:val="2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3" w:lineRule="exact"/>
        <w:rPr>
          <w:rFonts w:ascii="Times New Roman" w:cs="Times New Roman" w:eastAsia="Times New Roman" w:hAnsi="Times New Roman"/>
          <w:sz w:val="19"/>
          <w:szCs w:val="19"/>
          <w:color w:val="auto"/>
        </w:rPr>
      </w:pPr>
    </w:p>
    <w:p>
      <w:pPr>
        <w:ind w:left="720" w:right="420" w:hanging="396"/>
        <w:spacing w:after="0" w:line="273" w:lineRule="auto"/>
        <w:tabs>
          <w:tab w:leader="none" w:pos="743" w:val="left"/>
        </w:tabs>
        <w:numPr>
          <w:ilvl w:val="1"/>
          <w:numId w:val="2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8" w:lineRule="exact"/>
        <w:rPr>
          <w:rFonts w:ascii="Times New Roman" w:cs="Times New Roman" w:eastAsia="Times New Roman" w:hAnsi="Times New Roman"/>
          <w:sz w:val="19"/>
          <w:szCs w:val="19"/>
          <w:color w:val="auto"/>
        </w:rPr>
      </w:pPr>
    </w:p>
    <w:p>
      <w:pPr>
        <w:ind w:left="320" w:right="340" w:hanging="314"/>
        <w:spacing w:after="0" w:line="273" w:lineRule="auto"/>
        <w:tabs>
          <w:tab w:leader="none" w:pos="338" w:val="left"/>
        </w:tabs>
        <w:numPr>
          <w:ilvl w:val="0"/>
          <w:numId w:val="2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Times New Roman" w:cs="Times New Roman" w:eastAsia="Times New Roman" w:hAnsi="Times New Roman"/>
          <w:sz w:val="19"/>
          <w:szCs w:val="19"/>
          <w:color w:val="auto"/>
        </w:rPr>
      </w:pPr>
    </w:p>
    <w:p>
      <w:pPr>
        <w:ind w:left="720" w:right="280" w:hanging="396"/>
        <w:spacing w:after="0" w:line="300" w:lineRule="auto"/>
        <w:tabs>
          <w:tab w:leader="none" w:pos="722" w:val="left"/>
        </w:tabs>
        <w:numPr>
          <w:ilvl w:val="1"/>
          <w:numId w:val="2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3" w:lineRule="exact"/>
        <w:rPr>
          <w:rFonts w:ascii="Times New Roman" w:cs="Times New Roman" w:eastAsia="Times New Roman" w:hAnsi="Times New Roman"/>
          <w:sz w:val="19"/>
          <w:szCs w:val="19"/>
          <w:color w:val="auto"/>
        </w:rPr>
      </w:pPr>
    </w:p>
    <w:p>
      <w:pPr>
        <w:ind w:left="720" w:right="580" w:hanging="396"/>
        <w:spacing w:after="0" w:line="285" w:lineRule="auto"/>
        <w:tabs>
          <w:tab w:leader="none" w:pos="733" w:val="left"/>
        </w:tabs>
        <w:numPr>
          <w:ilvl w:val="1"/>
          <w:numId w:val="2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February 26, 2025</w:t>
      </w:r>
    </w:p>
    <w:p>
      <w:pPr>
        <w:spacing w:after="0" w:line="6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auto"/>
        </w:rPr>
        <w:t>/s/ Naveen Chopra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3141980</wp:posOffset>
            </wp:positionH>
            <wp:positionV relativeFrom="paragraph">
              <wp:posOffset>27305</wp:posOffset>
            </wp:positionV>
            <wp:extent cx="39966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9">
                      <a:extLst>
                        <a:ext uri="{28A0092B-C50C-407E-A947-70E740481C1C}"/>
                      </a:extLst>
                    </a:blip>
                    <a:srcRect/>
                    <a:stretch>
                      <a:fillRect/>
                    </a:stretch>
                  </pic:blipFill>
                  <pic:spPr bwMode="auto">
                    <a:xfrm>
                      <a:off x="0" y="0"/>
                      <a:ext cx="3996690" cy="8255"/>
                    </a:xfrm>
                    <a:prstGeom prst="rect">
                      <a:avLst/>
                    </a:prstGeom>
                    <a:noFill/>
                  </pic:spPr>
                </pic:pic>
              </a:graphicData>
            </a:graphic>
          </wp:anchor>
        </w:drawing>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auto"/>
        </w:rPr>
        <w:t>Naveen Chopra</w:t>
      </w:r>
    </w:p>
    <w:p>
      <w:pPr>
        <w:spacing w:after="0" w:line="3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auto"/>
        </w:rPr>
        <w:t>Executive Vice President, Chief Financial Officer</w:t>
      </w:r>
    </w:p>
    <w:p>
      <w:pPr>
        <w:sectPr>
          <w:pgSz w:w="11900" w:h="16838" w:orient="portrait"/>
          <w:cols w:equalWidth="0" w:num="1">
            <w:col w:w="11240"/>
          </w:cols>
          <w:pgMar w:left="320" w:top="590" w:right="339" w:bottom="1440" w:gutter="0" w:footer="0" w:header="0"/>
        </w:sectPr>
      </w:pPr>
    </w:p>
    <w:bookmarkStart w:id="275" w:name="page276"/>
    <w:bookmarkEnd w:id="275"/>
    <w:p>
      <w:pPr>
        <w:jc w:val="right"/>
        <w:spacing w:after="0"/>
        <w:rPr>
          <w:sz w:val="20"/>
          <w:szCs w:val="20"/>
          <w:color w:val="auto"/>
        </w:rPr>
      </w:pPr>
      <w:r>
        <w:rPr>
          <w:rFonts w:ascii="Times New Roman" w:cs="Times New Roman" w:eastAsia="Times New Roman" w:hAnsi="Times New Roman"/>
          <w:sz w:val="19"/>
          <w:szCs w:val="19"/>
          <w:b w:val="1"/>
          <w:bCs w:val="1"/>
          <w:color w:val="auto"/>
        </w:rPr>
        <w:t>Exhibit 32(a)</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 Pursuant to 18 U.S.C. Section 1350,</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Section 906 of the Sarbanes-Oxley Act of 2002</w:t>
      </w:r>
    </w:p>
    <w:p>
      <w:pPr>
        <w:spacing w:after="0" w:line="200" w:lineRule="exact"/>
        <w:rPr>
          <w:sz w:val="20"/>
          <w:szCs w:val="20"/>
          <w:color w:val="auto"/>
        </w:rPr>
      </w:pPr>
    </w:p>
    <w:p>
      <w:pPr>
        <w:spacing w:after="0" w:line="32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In connection with the Annual Report of Paramount Global (the “Company”) on Form 10-K for the year ended December 31, 2024 as filed with the Securities and Exchange Commission (the “Report”), I, Christopher D. McCarthy, Office of the Chief Executive Officer of the Company, certify that to my knowledge:</w:t>
      </w:r>
    </w:p>
    <w:p>
      <w:pPr>
        <w:spacing w:after="0" w:line="367" w:lineRule="exact"/>
        <w:rPr>
          <w:sz w:val="20"/>
          <w:szCs w:val="20"/>
          <w:color w:val="auto"/>
        </w:rPr>
      </w:pPr>
    </w:p>
    <w:p>
      <w:pPr>
        <w:ind w:left="820" w:hanging="337"/>
        <w:spacing w:after="0"/>
        <w:tabs>
          <w:tab w:leader="none" w:pos="820" w:val="left"/>
        </w:tabs>
        <w:numPr>
          <w:ilvl w:val="0"/>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Report fully complies with the requirements of section 13(a) or 15(d) of the Securities Exchange Act of 1934; and</w:t>
      </w:r>
    </w:p>
    <w:p>
      <w:pPr>
        <w:spacing w:after="0" w:line="232" w:lineRule="exact"/>
        <w:rPr>
          <w:rFonts w:ascii="Times New Roman" w:cs="Times New Roman" w:eastAsia="Times New Roman" w:hAnsi="Times New Roman"/>
          <w:sz w:val="19"/>
          <w:szCs w:val="19"/>
          <w:color w:val="auto"/>
        </w:rPr>
      </w:pPr>
    </w:p>
    <w:p>
      <w:pPr>
        <w:ind w:left="480" w:firstLine="3"/>
        <w:spacing w:after="0" w:line="300" w:lineRule="auto"/>
        <w:tabs>
          <w:tab w:leader="none" w:pos="829" w:val="left"/>
        </w:tabs>
        <w:numPr>
          <w:ilvl w:val="0"/>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 Christopher D.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212026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00">
                      <a:extLst>
                        <a:ext uri="{28A0092B-C50C-407E-A947-70E740481C1C}"/>
                      </a:extLst>
                    </a:blip>
                    <a:srcRect/>
                    <a:stretch>
                      <a:fillRect/>
                    </a:stretch>
                  </pic:blipFill>
                  <pic:spPr bwMode="auto">
                    <a:xfrm>
                      <a:off x="0" y="0"/>
                      <a:ext cx="2120265" cy="825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Christopher D. McCarthy</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February 26, 2025</w:t>
      </w:r>
    </w:p>
    <w:p>
      <w:pPr>
        <w:sectPr>
          <w:pgSz w:w="11900" w:h="16838" w:orient="portrait"/>
          <w:cols w:equalWidth="0" w:num="1">
            <w:col w:w="11240"/>
          </w:cols>
          <w:pgMar w:left="320" w:top="828" w:right="339" w:bottom="1440" w:gutter="0" w:footer="0" w:header="0"/>
        </w:sectPr>
      </w:pPr>
    </w:p>
    <w:bookmarkStart w:id="276" w:name="page277"/>
    <w:bookmarkEnd w:id="276"/>
    <w:p>
      <w:pPr>
        <w:jc w:val="right"/>
        <w:spacing w:after="0"/>
        <w:rPr>
          <w:sz w:val="20"/>
          <w:szCs w:val="20"/>
          <w:color w:val="auto"/>
        </w:rPr>
      </w:pPr>
      <w:r>
        <w:rPr>
          <w:rFonts w:ascii="Times New Roman" w:cs="Times New Roman" w:eastAsia="Times New Roman" w:hAnsi="Times New Roman"/>
          <w:sz w:val="19"/>
          <w:szCs w:val="19"/>
          <w:b w:val="1"/>
          <w:bCs w:val="1"/>
          <w:color w:val="auto"/>
        </w:rPr>
        <w:t>Exhibit 32(b)</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 Pursuant to 18 U.S.C. Section 1350,</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Section 906 of the Sarbanes-Oxley Act of 2002</w:t>
      </w:r>
    </w:p>
    <w:p>
      <w:pPr>
        <w:spacing w:after="0" w:line="200" w:lineRule="exact"/>
        <w:rPr>
          <w:sz w:val="20"/>
          <w:szCs w:val="20"/>
          <w:color w:val="auto"/>
        </w:rPr>
      </w:pPr>
    </w:p>
    <w:p>
      <w:pPr>
        <w:spacing w:after="0" w:line="32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In connection with the Annual Report of Paramount Global (the “Company”) on Form 10-K for the year ended December 31, 2024 as filed with the Securities and Exchange Commission (the ”Report”), I, Naveen Chopra, Executive Vice President, Chief Financial Officer of the Company, certify that to my knowledge:</w:t>
      </w:r>
    </w:p>
    <w:p>
      <w:pPr>
        <w:spacing w:after="0" w:line="367" w:lineRule="exact"/>
        <w:rPr>
          <w:sz w:val="20"/>
          <w:szCs w:val="20"/>
          <w:color w:val="auto"/>
        </w:rPr>
      </w:pPr>
    </w:p>
    <w:p>
      <w:pPr>
        <w:ind w:left="820" w:hanging="337"/>
        <w:spacing w:after="0"/>
        <w:tabs>
          <w:tab w:leader="none" w:pos="820" w:val="left"/>
        </w:tabs>
        <w:numPr>
          <w:ilvl w:val="0"/>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Report fully complies with the requirements of section 13(a) or 15(d) of the Securities Exchange Act of 1934; and</w:t>
      </w:r>
    </w:p>
    <w:p>
      <w:pPr>
        <w:spacing w:after="0" w:line="232" w:lineRule="exact"/>
        <w:rPr>
          <w:rFonts w:ascii="Times New Roman" w:cs="Times New Roman" w:eastAsia="Times New Roman" w:hAnsi="Times New Roman"/>
          <w:sz w:val="19"/>
          <w:szCs w:val="19"/>
          <w:color w:val="auto"/>
        </w:rPr>
      </w:pPr>
    </w:p>
    <w:p>
      <w:pPr>
        <w:ind w:left="480" w:firstLine="3"/>
        <w:spacing w:after="0" w:line="300" w:lineRule="auto"/>
        <w:tabs>
          <w:tab w:leader="none" w:pos="829" w:val="left"/>
        </w:tabs>
        <w:numPr>
          <w:ilvl w:val="0"/>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 Naveen Chopra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16992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01">
                      <a:extLst>
                        <a:ext uri="{28A0092B-C50C-407E-A947-70E740481C1C}"/>
                      </a:extLst>
                    </a:blip>
                    <a:srcRect/>
                    <a:stretch>
                      <a:fillRect/>
                    </a:stretch>
                  </pic:blipFill>
                  <pic:spPr bwMode="auto">
                    <a:xfrm>
                      <a:off x="0" y="0"/>
                      <a:ext cx="1699260" cy="825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Naveen Chopra</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February 26, 2025</w:t>
      </w:r>
    </w:p>
    <w:sectPr>
      <w:pgSz w:w="11900" w:h="16838" w:orient="portrait"/>
      <w:cols w:equalWidth="0" w:num="1">
        <w:col w:w="11240"/>
      </w:cols>
      <w:pgMar w:left="320" w:top="8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4E1DD5"/>
    <w:multiLevelType w:val="hybridMultilevel"/>
    <w:lvl w:ilvl="0">
      <w:lvlJc w:val="left"/>
      <w:lvlText w:val="☒"/>
      <w:numFmt w:val="bullet"/>
      <w:start w:val="1"/>
    </w:lvl>
  </w:abstractNum>
  <w:abstractNum w:abstractNumId="1">
    <w:nsid w:val="57D2F10E"/>
    <w:multiLevelType w:val="hybridMultilevel"/>
    <w:lvl w:ilvl="0">
      <w:lvlJc w:val="left"/>
      <w:lvlText w:val="☐"/>
      <w:numFmt w:val="bullet"/>
      <w:start w:val="1"/>
    </w:lvl>
  </w:abstractNum>
  <w:abstractNum w:abstractNumId="2">
    <w:nsid w:val="BFFAE18"/>
    <w:multiLevelType w:val="hybridMultilevel"/>
    <w:lvl w:ilvl="0">
      <w:lvlJc w:val="left"/>
      <w:lvlText w:val="(%1)"/>
      <w:numFmt w:val="lowerLetter"/>
      <w:start w:val="2"/>
    </w:lvl>
  </w:abstractNum>
  <w:abstractNum w:abstractNumId="3">
    <w:nsid w:val="E3E47A8"/>
    <w:multiLevelType w:val="hybridMultilevel"/>
    <w:lvl w:ilvl="0">
      <w:lvlJc w:val="left"/>
      <w:lvlText w:val="•"/>
      <w:numFmt w:val="bullet"/>
      <w:start w:val="1"/>
    </w:lvl>
  </w:abstractNum>
  <w:abstractNum w:abstractNumId="4">
    <w:nsid w:val="2E48F044"/>
    <w:multiLevelType w:val="hybridMultilevel"/>
    <w:lvl w:ilvl="0">
      <w:lvlJc w:val="left"/>
      <w:lvlText w:val="•"/>
      <w:numFmt w:val="bullet"/>
      <w:start w:val="1"/>
    </w:lvl>
  </w:abstractNum>
  <w:abstractNum w:abstractNumId="5">
    <w:nsid w:val="49D0FEAC"/>
    <w:multiLevelType w:val="hybridMultilevel"/>
    <w:lvl w:ilvl="0">
      <w:lvlJc w:val="left"/>
      <w:lvlText w:val="•"/>
      <w:numFmt w:val="bullet"/>
      <w:start w:val="1"/>
    </w:lvl>
  </w:abstractNum>
  <w:abstractNum w:abstractNumId="6">
    <w:nsid w:val="4BEE5A5B"/>
    <w:multiLevelType w:val="hybridMultilevel"/>
    <w:lvl w:ilvl="0">
      <w:lvlJc w:val="left"/>
      <w:lvlText w:val="•"/>
      <w:numFmt w:val="bullet"/>
      <w:start w:val="1"/>
    </w:lvl>
  </w:abstractNum>
  <w:abstractNum w:abstractNumId="7">
    <w:nsid w:val="5551B9F3"/>
    <w:multiLevelType w:val="hybridMultilevel"/>
    <w:lvl w:ilvl="0">
      <w:lvlJc w:val="left"/>
      <w:lvlText w:val="•"/>
      <w:numFmt w:val="bullet"/>
      <w:start w:val="1"/>
    </w:lvl>
  </w:abstractNum>
  <w:abstractNum w:abstractNumId="8">
    <w:nsid w:val="24F6AB8E"/>
    <w:multiLevelType w:val="hybridMultilevel"/>
    <w:lvl w:ilvl="0">
      <w:lvlJc w:val="left"/>
      <w:lvlText w:val="•"/>
      <w:numFmt w:val="bullet"/>
      <w:start w:val="1"/>
    </w:lvl>
  </w:abstractNum>
  <w:abstractNum w:abstractNumId="9">
    <w:nsid w:val="634C574C"/>
    <w:multiLevelType w:val="hybridMultilevel"/>
    <w:lvl w:ilvl="0">
      <w:lvlJc w:val="left"/>
      <w:lvlText w:val="•"/>
      <w:numFmt w:val="bullet"/>
      <w:start w:val="1"/>
    </w:lvl>
  </w:abstractNum>
  <w:abstractNum w:abstractNumId="10">
    <w:nsid w:val="24E99DD7"/>
    <w:multiLevelType w:val="hybridMultilevel"/>
    <w:lvl w:ilvl="0">
      <w:lvlJc w:val="left"/>
      <w:lvlText w:val="•"/>
      <w:numFmt w:val="bullet"/>
      <w:start w:val="1"/>
    </w:lvl>
  </w:abstractNum>
  <w:abstractNum w:abstractNumId="11">
    <w:nsid w:val="2A31B62D"/>
    <w:multiLevelType w:val="hybridMultilevel"/>
    <w:lvl w:ilvl="0">
      <w:lvlJc w:val="left"/>
      <w:lvlText w:val="•"/>
      <w:numFmt w:val="bullet"/>
      <w:start w:val="1"/>
    </w:lvl>
  </w:abstractNum>
  <w:abstractNum w:abstractNumId="12">
    <w:nsid w:val="1849C29B"/>
    <w:multiLevelType w:val="hybridMultilevel"/>
    <w:lvl w:ilvl="0">
      <w:lvlJc w:val="left"/>
      <w:lvlText w:val="•"/>
      <w:numFmt w:val="bullet"/>
      <w:start w:val="1"/>
    </w:lvl>
  </w:abstractNum>
  <w:abstractNum w:abstractNumId="13">
    <w:nsid w:val="7DFF9D09"/>
    <w:multiLevelType w:val="hybridMultilevel"/>
    <w:lvl w:ilvl="0">
      <w:lvlJc w:val="left"/>
      <w:lvlText w:val="•"/>
      <w:numFmt w:val="bullet"/>
      <w:start w:val="1"/>
    </w:lvl>
  </w:abstractNum>
  <w:abstractNum w:abstractNumId="14">
    <w:nsid w:val="754342"/>
    <w:multiLevelType w:val="hybridMultilevel"/>
    <w:lvl w:ilvl="0">
      <w:lvlJc w:val="left"/>
      <w:lvlText w:val="%1."/>
      <w:numFmt w:val="decimal"/>
      <w:start w:val="1"/>
    </w:lvl>
  </w:abstractNum>
  <w:abstractNum w:abstractNumId="15">
    <w:nsid w:val="69E7F3E5"/>
    <w:multiLevelType w:val="hybridMultilevel"/>
    <w:lvl w:ilvl="0">
      <w:lvlJc w:val="left"/>
      <w:lvlText w:val="•"/>
      <w:numFmt w:val="bullet"/>
      <w:start w:val="1"/>
    </w:lvl>
  </w:abstractNum>
  <w:abstractNum w:abstractNumId="16">
    <w:nsid w:val="2A6DE806"/>
    <w:multiLevelType w:val="hybridMultilevel"/>
    <w:lvl w:ilvl="0">
      <w:lvlJc w:val="left"/>
      <w:lvlText w:val="•"/>
      <w:numFmt w:val="bullet"/>
      <w:start w:val="1"/>
    </w:lvl>
  </w:abstractNum>
  <w:abstractNum w:abstractNumId="17">
    <w:nsid w:val="1816F8C4"/>
    <w:multiLevelType w:val="hybridMultilevel"/>
    <w:lvl w:ilvl="0">
      <w:lvlJc w:val="left"/>
      <w:lvlText w:val="•"/>
      <w:numFmt w:val="bullet"/>
      <w:start w:val="1"/>
    </w:lvl>
  </w:abstractNum>
  <w:abstractNum w:abstractNumId="18">
    <w:nsid w:val="37DF2233"/>
    <w:multiLevelType w:val="hybridMultilevel"/>
    <w:lvl w:ilvl="0">
      <w:lvlJc w:val="left"/>
      <w:lvlText w:val="•"/>
      <w:numFmt w:val="bullet"/>
      <w:start w:val="1"/>
    </w:lvl>
  </w:abstractNum>
  <w:abstractNum w:abstractNumId="19">
    <w:nsid w:val="7AB49DAF"/>
    <w:multiLevelType w:val="hybridMultilevel"/>
    <w:lvl w:ilvl="0">
      <w:lvlJc w:val="left"/>
      <w:lvlText w:val="•"/>
      <w:numFmt w:val="bullet"/>
      <w:start w:val="1"/>
    </w:lvl>
  </w:abstractNum>
  <w:abstractNum w:abstractNumId="20">
    <w:nsid w:val="759F82CD"/>
    <w:multiLevelType w:val="hybridMultilevel"/>
    <w:lvl w:ilvl="0">
      <w:lvlJc w:val="left"/>
      <w:lvlText w:val="•"/>
      <w:numFmt w:val="bullet"/>
      <w:start w:val="1"/>
    </w:lvl>
  </w:abstractNum>
  <w:abstractNum w:abstractNumId="21">
    <w:nsid w:val="61E74EA3"/>
    <w:multiLevelType w:val="hybridMultilevel"/>
    <w:lvl w:ilvl="0">
      <w:lvlJc w:val="left"/>
      <w:lvlText w:val="•"/>
      <w:numFmt w:val="bullet"/>
      <w:start w:val="1"/>
    </w:lvl>
  </w:abstractNum>
  <w:abstractNum w:abstractNumId="22">
    <w:nsid w:val="597B4D84"/>
    <w:multiLevelType w:val="hybridMultilevel"/>
    <w:lvl w:ilvl="0">
      <w:lvlJc w:val="left"/>
      <w:lvlText w:val="(%1)"/>
      <w:numFmt w:val="lowerLetter"/>
      <w:start w:val="1"/>
    </w:lvl>
  </w:abstractNum>
  <w:abstractNum w:abstractNumId="23">
    <w:nsid w:val="F819E7F"/>
    <w:multiLevelType w:val="hybridMultilevel"/>
    <w:lvl w:ilvl="0">
      <w:lvlJc w:val="left"/>
      <w:lvlText w:val="(%1)"/>
      <w:numFmt w:val="lowerLetter"/>
      <w:start w:val="1"/>
    </w:lvl>
  </w:abstractNum>
  <w:abstractNum w:abstractNumId="24">
    <w:nsid w:val="57C7D42D"/>
    <w:multiLevelType w:val="hybridMultilevel"/>
    <w:lvl w:ilvl="0">
      <w:lvlJc w:val="left"/>
      <w:lvlText w:val="(%1)"/>
      <w:numFmt w:val="lowerLetter"/>
      <w:start w:val="1"/>
    </w:lvl>
  </w:abstractNum>
  <w:abstractNum w:abstractNumId="25">
    <w:nsid w:val="312167AD"/>
    <w:multiLevelType w:val="hybridMultilevel"/>
    <w:lvl w:ilvl="0">
      <w:lvlJc w:val="left"/>
      <w:lvlText w:val="•"/>
      <w:numFmt w:val="bullet"/>
      <w:start w:val="1"/>
    </w:lvl>
  </w:abstractNum>
  <w:abstractNum w:abstractNumId="26">
    <w:nsid w:val="631B64D4"/>
    <w:multiLevelType w:val="hybridMultilevel"/>
    <w:lvl w:ilvl="0">
      <w:lvlJc w:val="left"/>
      <w:lvlText w:val="(%1)"/>
      <w:numFmt w:val="lowerLetter"/>
      <w:start w:val="1"/>
    </w:lvl>
  </w:abstractNum>
  <w:abstractNum w:abstractNumId="27">
    <w:nsid w:val="78B5E776"/>
    <w:multiLevelType w:val="hybridMultilevel"/>
    <w:lvl w:ilvl="0">
      <w:lvlJc w:val="left"/>
      <w:lvlText w:val="(%1)"/>
      <w:numFmt w:val="lowerLetter"/>
      <w:start w:val="1"/>
    </w:lvl>
  </w:abstractNum>
  <w:abstractNum w:abstractNumId="28">
    <w:nsid w:val="75486E47"/>
    <w:multiLevelType w:val="hybridMultilevel"/>
    <w:lvl w:ilvl="0">
      <w:lvlJc w:val="left"/>
      <w:lvlText w:val="(%1)"/>
      <w:numFmt w:val="lowerLetter"/>
      <w:start w:val="1"/>
    </w:lvl>
  </w:abstractNum>
  <w:abstractNum w:abstractNumId="29">
    <w:nsid w:val="6E534CDE"/>
    <w:multiLevelType w:val="hybridMultilevel"/>
    <w:lvl w:ilvl="0">
      <w:lvlJc w:val="left"/>
      <w:lvlText w:val="(%1)"/>
      <w:numFmt w:val="lowerLetter"/>
      <w:start w:val="1"/>
    </w:lvl>
  </w:abstractNum>
  <w:abstractNum w:abstractNumId="30">
    <w:nsid w:val="1A0DDE32"/>
    <w:multiLevelType w:val="hybridMultilevel"/>
    <w:lvl w:ilvl="0">
      <w:lvlJc w:val="left"/>
      <w:lvlText w:val="(%1)"/>
      <w:numFmt w:val="lowerLetter"/>
      <w:start w:val="1"/>
    </w:lvl>
  </w:abstractNum>
  <w:abstractNum w:abstractNumId="31">
    <w:nsid w:val="65968C1C"/>
    <w:multiLevelType w:val="hybridMultilevel"/>
    <w:lvl w:ilvl="0">
      <w:lvlJc w:val="left"/>
      <w:lvlText w:val="(%1)"/>
      <w:numFmt w:val="lowerLetter"/>
      <w:start w:val="1"/>
    </w:lvl>
  </w:abstractNum>
  <w:abstractNum w:abstractNumId="32">
    <w:nsid w:val="46263DEC"/>
    <w:multiLevelType w:val="hybridMultilevel"/>
    <w:lvl w:ilvl="0">
      <w:lvlJc w:val="left"/>
      <w:lvlText w:val="(%1)"/>
      <w:numFmt w:val="lowerLetter"/>
      <w:start w:val="1"/>
    </w:lvl>
  </w:abstractNum>
  <w:abstractNum w:abstractNumId="33">
    <w:nsid w:val="260D8C4A"/>
    <w:multiLevelType w:val="hybridMultilevel"/>
    <w:lvl w:ilvl="0">
      <w:lvlJc w:val="left"/>
      <w:lvlText w:val="•"/>
      <w:numFmt w:val="bullet"/>
      <w:start w:val="1"/>
    </w:lvl>
  </w:abstractNum>
  <w:abstractNum w:abstractNumId="34">
    <w:nsid w:val="73D4D3C4"/>
    <w:multiLevelType w:val="hybridMultilevel"/>
    <w:lvl w:ilvl="0">
      <w:lvlJc w:val="left"/>
      <w:lvlText w:val="%1."/>
      <w:numFmt w:val="decimal"/>
      <w:start w:val="3"/>
    </w:lvl>
  </w:abstractNum>
  <w:abstractNum w:abstractNumId="35">
    <w:nsid w:val="746F2E30"/>
    <w:multiLevelType w:val="hybridMultilevel"/>
    <w:lvl w:ilvl="0">
      <w:lvlJc w:val="left"/>
      <w:lvlText w:val="(%1)"/>
      <w:numFmt w:val="lowerLetter"/>
      <w:start w:val="1"/>
    </w:lvl>
  </w:abstractNum>
  <w:abstractNum w:abstractNumId="36">
    <w:nsid w:val="6FDE8AF6"/>
    <w:multiLevelType w:val="hybridMultilevel"/>
    <w:lvl w:ilvl="0">
      <w:lvlJc w:val="left"/>
      <w:lvlText w:val="(%1)"/>
      <w:numFmt w:val="lowerLetter"/>
      <w:start w:val="1"/>
    </w:lvl>
    <w:lvl w:ilvl="1">
      <w:lvlJc w:val="left"/>
      <w:lvlText w:val="(%2)"/>
      <w:numFmt w:val="lowerLetter"/>
      <w:start w:val="35"/>
    </w:lvl>
  </w:abstractNum>
  <w:abstractNum w:abstractNumId="37">
    <w:nsid w:val="3FC32E20"/>
    <w:multiLevelType w:val="hybridMultilevel"/>
    <w:lvl w:ilvl="0">
      <w:lvlJc w:val="left"/>
      <w:lvlText w:val="(%1)"/>
      <w:numFmt w:val="lowerLetter"/>
      <w:start w:val="1"/>
    </w:lvl>
  </w:abstractNum>
  <w:abstractNum w:abstractNumId="38">
    <w:nsid w:val="49C0E823"/>
    <w:multiLevelType w:val="hybridMultilevel"/>
    <w:lvl w:ilvl="0">
      <w:lvlJc w:val="left"/>
      <w:lvlText w:val="(%1)"/>
      <w:numFmt w:val="lowerLetter"/>
      <w:start w:val="1"/>
    </w:lvl>
  </w:abstractNum>
  <w:abstractNum w:abstractNumId="39">
    <w:nsid w:val="14D53685"/>
    <w:multiLevelType w:val="hybridMultilevel"/>
    <w:lvl w:ilvl="0">
      <w:lvlJc w:val="left"/>
      <w:lvlText w:val="(%1)"/>
      <w:numFmt w:val="lowerLetter"/>
      <w:start w:val="1"/>
    </w:lvl>
  </w:abstractNum>
  <w:abstractNum w:abstractNumId="40">
    <w:nsid w:val="230F856C"/>
    <w:multiLevelType w:val="hybridMultilevel"/>
    <w:lvl w:ilvl="0">
      <w:lvlJc w:val="left"/>
      <w:lvlText w:val="(%1)"/>
      <w:numFmt w:val="lowerLetter"/>
      <w:start w:val="1"/>
    </w:lvl>
  </w:abstractNum>
  <w:abstractNum w:abstractNumId="41">
    <w:nsid w:val="6EAA85FB"/>
    <w:multiLevelType w:val="hybridMultilevel"/>
    <w:lvl w:ilvl="0">
      <w:lvlJc w:val="left"/>
      <w:lvlText w:val="(%1)"/>
      <w:numFmt w:val="lowerLetter"/>
      <w:start w:val="1"/>
    </w:lvl>
  </w:abstractNum>
  <w:abstractNum w:abstractNumId="42">
    <w:nsid w:val="3F06ECB2"/>
    <w:multiLevelType w:val="hybridMultilevel"/>
    <w:lvl w:ilvl="0">
      <w:lvlJc w:val="left"/>
      <w:lvlText w:val="(%1)"/>
      <w:numFmt w:val="lowerLetter"/>
      <w:start w:val="1"/>
    </w:lvl>
  </w:abstractNum>
  <w:abstractNum w:abstractNumId="43">
    <w:nsid w:val="3B594807"/>
    <w:multiLevelType w:val="hybridMultilevel"/>
    <w:lvl w:ilvl="0">
      <w:lvlJc w:val="left"/>
      <w:lvlText w:val="(%1)"/>
      <w:numFmt w:val="lowerLetter"/>
      <w:start w:val="1"/>
    </w:lvl>
  </w:abstractNum>
  <w:abstractNum w:abstractNumId="44">
    <w:nsid w:val="6CAA2304"/>
    <w:multiLevelType w:val="hybridMultilevel"/>
    <w:lvl w:ilvl="0">
      <w:lvlJc w:val="left"/>
      <w:lvlText w:val="(%1)"/>
      <w:numFmt w:val="lowerLetter"/>
      <w:start w:val="1"/>
    </w:lvl>
  </w:abstractNum>
  <w:abstractNum w:abstractNumId="45">
    <w:nsid w:val="3F7C2FF4"/>
    <w:multiLevelType w:val="hybridMultilevel"/>
    <w:lvl w:ilvl="0">
      <w:lvlJc w:val="left"/>
      <w:lvlText w:val="(%1)"/>
      <w:numFmt w:val="lowerLetter"/>
      <w:start w:val="3"/>
    </w:lvl>
  </w:abstractNum>
  <w:abstractNum w:abstractNumId="46">
    <w:nsid w:val="25413BEC"/>
    <w:multiLevelType w:val="hybridMultilevel"/>
    <w:lvl w:ilvl="0">
      <w:lvlJc w:val="left"/>
      <w:lvlText w:val="(%1)"/>
      <w:numFmt w:val="lowerLetter"/>
      <w:start w:val="1"/>
    </w:lvl>
  </w:abstractNum>
  <w:abstractNum w:abstractNumId="47">
    <w:nsid w:val="17180B0B"/>
    <w:multiLevelType w:val="hybridMultilevel"/>
    <w:lvl w:ilvl="0">
      <w:lvlJc w:val="left"/>
      <w:lvlText w:val="%1."/>
      <w:numFmt w:val="decimal"/>
      <w:start w:val="1"/>
    </w:lvl>
  </w:abstractNum>
  <w:abstractNum w:abstractNumId="48">
    <w:nsid w:val="579328B9"/>
    <w:multiLevelType w:val="hybridMultilevel"/>
    <w:lvl w:ilvl="0">
      <w:lvlJc w:val="left"/>
      <w:lvlText w:val="%1."/>
      <w:numFmt w:val="decimal"/>
      <w:start w:val="2"/>
    </w:lvl>
  </w:abstractNum>
  <w:abstractNum w:abstractNumId="49">
    <w:nsid w:val="5D205E20"/>
    <w:multiLevelType w:val="hybridMultilevel"/>
    <w:lvl w:ilvl="0">
      <w:lvlJc w:val="left"/>
      <w:lvlText w:val="%1."/>
      <w:numFmt w:val="decimal"/>
      <w:start w:val="3"/>
    </w:lvl>
  </w:abstractNum>
  <w:abstractNum w:abstractNumId="50">
    <w:nsid w:val="11CCA8BA"/>
    <w:multiLevelType w:val="hybridMultilevel"/>
    <w:lvl w:ilvl="0">
      <w:lvlJc w:val="left"/>
      <w:lvlText w:val="(%1)"/>
      <w:numFmt w:val="decimal"/>
      <w:start w:val="2"/>
    </w:lvl>
    <w:lvl w:ilvl="1">
      <w:lvlJc w:val="left"/>
      <w:lvlText w:val="(%2)"/>
      <w:numFmt w:val="lowerLetter"/>
      <w:start w:val="1"/>
    </w:lvl>
  </w:abstractNum>
  <w:abstractNum w:abstractNumId="51">
    <w:nsid w:val="4D32AB86"/>
    <w:multiLevelType w:val="hybridMultilevel"/>
    <w:lvl w:ilvl="0">
      <w:lvlJc w:val="left"/>
      <w:lvlText w:val="+"/>
      <w:numFmt w:val="bullet"/>
      <w:start w:val="1"/>
    </w:lvl>
  </w:abstractNum>
  <w:abstractNum w:abstractNumId="52">
    <w:nsid w:val="3F07ACC3"/>
    <w:multiLevelType w:val="hybridMultilevel"/>
    <w:lvl w:ilvl="0">
      <w:lvlJc w:val="left"/>
      <w:lvlText w:val="±"/>
      <w:numFmt w:val="bullet"/>
      <w:start w:val="1"/>
    </w:lvl>
  </w:abstractNum>
  <w:abstractNum w:abstractNumId="53">
    <w:nsid w:val="6B47F63E"/>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54">
    <w:nsid w:val="5CB44A05"/>
    <w:multiLevelType w:val="hybridMultilevel"/>
    <w:lvl w:ilvl="0">
      <w:lvlJc w:val="left"/>
      <w:lvlText w:val="+"/>
      <w:numFmt w:val="bullet"/>
      <w:start w:val="1"/>
    </w:lvl>
  </w:abstractNum>
  <w:abstractNum w:abstractNumId="55">
    <w:nsid w:val="16CF80F1"/>
    <w:multiLevelType w:val="hybridMultilevel"/>
    <w:lvl w:ilvl="0">
      <w:lvlJc w:val="left"/>
      <w:lvlText w:val="±"/>
      <w:numFmt w:val="bullet"/>
      <w:start w:val="1"/>
    </w:lvl>
  </w:abstractNum>
  <w:abstractNum w:abstractNumId="56">
    <w:nsid w:val="1C695DEC"/>
    <w:multiLevelType w:val="hybridMultilevel"/>
    <w:lvl w:ilvl="0">
      <w:lvlJc w:val="left"/>
      <w:lvlText w:val="(%1)"/>
      <w:numFmt w:val="lowerLetter"/>
      <w:start w:val="11"/>
    </w:lvl>
  </w:abstractNum>
  <w:abstractNum w:abstractNumId="57">
    <w:nsid w:val="3FCFAED9"/>
    <w:multiLevelType w:val="hybridMultilevel"/>
    <w:lvl w:ilvl="0">
      <w:lvlJc w:val="left"/>
      <w:lvlText w:val="(%1)"/>
      <w:numFmt w:val="lowerLetter"/>
      <w:start w:val="27"/>
    </w:lvl>
  </w:abstractNum>
  <w:abstractNum w:abstractNumId="58">
    <w:nsid w:val="F856867"/>
    <w:multiLevelType w:val="hybridMultilevel"/>
    <w:lvl w:ilvl="0">
      <w:lvlJc w:val="left"/>
      <w:lvlText w:val="+"/>
      <w:numFmt w:val="bullet"/>
      <w:start w:val="1"/>
    </w:lvl>
  </w:abstractNum>
  <w:abstractNum w:abstractNumId="59">
    <w:nsid w:val="11B1CC33"/>
    <w:multiLevelType w:val="hybridMultilevel"/>
    <w:lvl w:ilvl="0">
      <w:lvlJc w:val="left"/>
      <w:lvlText w:val="±"/>
      <w:numFmt w:val="bullet"/>
      <w:start w:val="1"/>
    </w:lvl>
  </w:abstractNum>
  <w:abstractNum w:abstractNumId="60">
    <w:nsid w:val="2E22FBB7"/>
    <w:multiLevelType w:val="hybridMultilevel"/>
    <w:lvl w:ilvl="0">
      <w:lvlJc w:val="left"/>
      <w:lvlText w:val="(%1)"/>
      <w:numFmt w:val="lowerLetter"/>
      <w:start w:val="31"/>
    </w:lvl>
  </w:abstractNum>
  <w:abstractNum w:abstractNumId="61">
    <w:nsid w:val="29934699"/>
    <w:multiLevelType w:val="hybridMultilevel"/>
    <w:lvl w:ilvl="0">
      <w:lvlJc w:val="left"/>
      <w:lvlText w:val="+"/>
      <w:numFmt w:val="bullet"/>
      <w:start w:val="1"/>
    </w:lvl>
  </w:abstractNum>
  <w:abstractNum w:abstractNumId="62">
    <w:nsid w:val="77485850"/>
    <w:multiLevelType w:val="hybridMultilevel"/>
    <w:lvl w:ilvl="0">
      <w:lvlJc w:val="left"/>
      <w:lvlText w:val="±"/>
      <w:numFmt w:val="bullet"/>
      <w:start w:val="1"/>
    </w:lvl>
  </w:abstractNum>
  <w:abstractNum w:abstractNumId="63">
    <w:nsid w:val="744939A3"/>
    <w:multiLevelType w:val="hybridMultilevel"/>
    <w:lvl w:ilvl="0">
      <w:lvlJc w:val="left"/>
      <w:lvlText w:val="%1"/>
      <w:numFmt w:val="decimal"/>
      <w:start w:val="1"/>
    </w:lvl>
    <w:lvl w:ilvl="1">
      <w:lvlJc w:val="left"/>
      <w:lvlText w:val="(%2)"/>
      <w:numFmt w:val="lowerLetter"/>
      <w:start w:val="49"/>
    </w:lvl>
  </w:abstractNum>
  <w:abstractNum w:abstractNumId="64">
    <w:nsid w:val="4FA0D2E3"/>
    <w:multiLevelType w:val="hybridMultilevel"/>
    <w:lvl w:ilvl="0">
      <w:lvlJc w:val="left"/>
      <w:lvlText w:val="(%1)"/>
      <w:numFmt w:val="decimal"/>
      <w:start w:val="19"/>
    </w:lvl>
    <w:lvl w:ilvl="1">
      <w:lvlJc w:val="left"/>
      <w:lvlText w:val="%2"/>
      <w:numFmt w:val="lowerLetter"/>
      <w:start w:val="1"/>
    </w:lvl>
  </w:abstractNum>
  <w:abstractNum w:abstractNumId="65">
    <w:nsid w:val="6B1D2C14"/>
    <w:multiLevelType w:val="hybridMultilevel"/>
    <w:lvl w:ilvl="0">
      <w:lvlJc w:val="left"/>
      <w:lvlText w:val="(%1)"/>
      <w:numFmt w:val="decimal"/>
      <w:start w:val="21"/>
    </w:lvl>
  </w:abstractNum>
  <w:abstractNum w:abstractNumId="66">
    <w:nsid w:val="68B867D3"/>
    <w:multiLevelType w:val="hybridMultilevel"/>
    <w:lvl w:ilvl="0">
      <w:lvlJc w:val="left"/>
      <w:lvlText w:val="(%1)"/>
      <w:numFmt w:val="decimal"/>
      <w:start w:val="23"/>
    </w:lvl>
    <w:lvl w:ilvl="1">
      <w:lvlJc w:val="left"/>
      <w:lvlText w:val="(%2)"/>
      <w:numFmt w:val="lowerLetter"/>
      <w:start w:val="1"/>
    </w:lvl>
  </w:abstractNum>
  <w:abstractNum w:abstractNumId="67">
    <w:nsid w:val="3F7F5DD9"/>
    <w:multiLevelType w:val="hybridMultilevel"/>
    <w:lvl w:ilvl="0">
      <w:lvlJc w:val="left"/>
      <w:lvlText w:val="(%1)"/>
      <w:numFmt w:val="decimal"/>
      <w:start w:val="31"/>
    </w:lvl>
    <w:lvl w:ilvl="1">
      <w:lvlJc w:val="left"/>
      <w:lvlText w:val="(%2)"/>
      <w:numFmt w:val="lowerLetter"/>
      <w:start w:val="1"/>
    </w:lvl>
  </w:abstractNum>
  <w:abstractNum w:abstractNumId="68">
    <w:nsid w:val="2AE05A34"/>
    <w:multiLevelType w:val="hybridMultilevel"/>
    <w:lvl w:ilvl="0">
      <w:lvlJc w:val="left"/>
      <w:lvlText w:val="(%1)"/>
      <w:numFmt w:val="decimal"/>
      <w:start w:val="97"/>
    </w:lvl>
  </w:abstractNum>
  <w:abstractNum w:abstractNumId="69">
    <w:nsid w:val="32794FF7"/>
    <w:multiLevelType w:val="hybridMultilevel"/>
    <w:lvl w:ilvl="0">
      <w:lvlJc w:val="left"/>
      <w:lvlText w:val="(%1)"/>
      <w:numFmt w:val="decimal"/>
      <w:start w:val="101"/>
    </w:lvl>
    <w:lvl w:ilvl="1">
      <w:lvlJc w:val="left"/>
      <w:lvlText w:val="%2."/>
      <w:numFmt w:val="decimal"/>
      <w:start w:val="101"/>
    </w:lvl>
  </w:abstractNum>
  <w:abstractNum w:abstractNumId="70">
    <w:nsid w:val="5454945E"/>
    <w:multiLevelType w:val="hybridMultilevel"/>
    <w:lvl w:ilvl="0">
      <w:lvlJc w:val="left"/>
      <w:lvlText w:val="%1"/>
      <w:numFmt w:val="decimal"/>
      <w:start w:val="1"/>
    </w:lvl>
    <w:lvl w:ilvl="1">
      <w:lvlJc w:val="left"/>
      <w:lvlText w:val="%2."/>
      <w:numFmt w:val="decimal"/>
      <w:start w:val="101"/>
    </w:lvl>
  </w:abstractNum>
  <w:abstractNum w:abstractNumId="71">
    <w:nsid w:val="4DEFDFA0"/>
    <w:multiLevelType w:val="hybridMultilevel"/>
    <w:lvl w:ilvl="0">
      <w:lvlJc w:val="left"/>
      <w:lvlText w:val="%1"/>
      <w:numFmt w:val="decimal"/>
      <w:start w:val="1"/>
    </w:lvl>
    <w:lvl w:ilvl="1">
      <w:lvlJc w:val="left"/>
      <w:lvlText w:val="%2."/>
      <w:numFmt w:val="decimal"/>
      <w:start w:val="101"/>
    </w:lvl>
  </w:abstractNum>
  <w:abstractNum w:abstractNumId="72">
    <w:nsid w:val="2123D5F2"/>
    <w:multiLevelType w:val="hybridMultilevel"/>
    <w:lvl w:ilvl="0">
      <w:lvlJc w:val="left"/>
      <w:lvlText w:val="%1"/>
      <w:numFmt w:val="decimal"/>
      <w:start w:val="1"/>
    </w:lvl>
    <w:lvl w:ilvl="1">
      <w:lvlJc w:val="left"/>
      <w:lvlText w:val="%2."/>
      <w:numFmt w:val="decimal"/>
      <w:start w:val="101"/>
    </w:lvl>
  </w:abstractNum>
  <w:abstractNum w:abstractNumId="73">
    <w:nsid w:val="135B8110"/>
    <w:multiLevelType w:val="hybridMultilevel"/>
    <w:lvl w:ilvl="0">
      <w:lvlJc w:val="left"/>
      <w:lvlText w:val="%1"/>
      <w:numFmt w:val="decimal"/>
      <w:start w:val="1"/>
    </w:lvl>
    <w:lvl w:ilvl="1">
      <w:lvlJc w:val="left"/>
      <w:lvlText w:val="%2."/>
      <w:numFmt w:val="decimal"/>
      <w:start w:val="101"/>
    </w:lvl>
  </w:abstractNum>
  <w:abstractNum w:abstractNumId="74">
    <w:nsid w:val="94927A8"/>
    <w:multiLevelType w:val="hybridMultilevel"/>
    <w:lvl w:ilvl="0">
      <w:lvlJc w:val="left"/>
      <w:lvlText w:val="%1"/>
      <w:numFmt w:val="decimal"/>
      <w:start w:val="1"/>
    </w:lvl>
    <w:lvl w:ilvl="1">
      <w:lvlJc w:val="left"/>
      <w:lvlText w:val="%2."/>
      <w:numFmt w:val="decimal"/>
      <w:start w:val="101"/>
    </w:lvl>
  </w:abstractNum>
  <w:abstractNum w:abstractNumId="75">
    <w:nsid w:val="DCDF8F6"/>
    <w:multiLevelType w:val="hybridMultilevel"/>
    <w:lvl w:ilvl="0">
      <w:lvlJc w:val="left"/>
      <w:lvlText w:val="(%1)"/>
      <w:numFmt w:val="decimal"/>
      <w:start w:val="104"/>
    </w:lvl>
  </w:abstractNum>
  <w:abstractNum w:abstractNumId="76">
    <w:nsid w:val="52D7B105"/>
    <w:multiLevelType w:val="hybridMultilevel"/>
    <w:lvl w:ilvl="0">
      <w:lvlJc w:val="left"/>
      <w:lvlText w:val="+"/>
      <w:numFmt w:val="bullet"/>
      <w:start w:val="1"/>
    </w:lvl>
  </w:abstractNum>
  <w:abstractNum w:abstractNumId="77">
    <w:nsid w:val="2E8A6394"/>
    <w:multiLevelType w:val="hybridMultilevel"/>
    <w:lvl w:ilvl="0">
      <w:lvlJc w:val="left"/>
      <w:lvlText w:val="±"/>
      <w:numFmt w:val="bullet"/>
      <w:start w:val="1"/>
    </w:lvl>
  </w:abstractNum>
  <w:abstractNum w:abstractNumId="78">
    <w:nsid w:val="24E60401"/>
    <w:multiLevelType w:val="hybridMultilevel"/>
    <w:lvl w:ilvl="0">
      <w:lvlJc w:val="left"/>
      <w:lvlText w:val="%1"/>
      <w:numFmt w:val="lowerLetter"/>
      <w:start w:val="1"/>
    </w:lvl>
    <w:lvl w:ilvl="1">
      <w:lvlJc w:val="left"/>
      <w:lvlText w:val="%2."/>
      <w:numFmt w:val="decimal"/>
      <w:start w:val="1"/>
    </w:lvl>
  </w:abstractNum>
  <w:abstractNum w:abstractNumId="79">
    <w:nsid w:val="2A6AD9BE"/>
    <w:multiLevelType w:val="hybridMultilevel"/>
    <w:lvl w:ilvl="0">
      <w:lvlJc w:val="left"/>
      <w:lvlText w:val="(%1)"/>
      <w:numFmt w:val="lowerLetter"/>
      <w:start w:val="1"/>
    </w:lvl>
    <w:lvl w:ilvl="1">
      <w:lvlJc w:val="left"/>
      <w:lvlText w:val="%2"/>
      <w:numFmt w:val="decimal"/>
      <w:start w:val="1"/>
    </w:lvl>
  </w:abstractNum>
  <w:abstractNum w:abstractNumId="80">
    <w:nsid w:val="BAAC1B4"/>
    <w:multiLevelType w:val="hybridMultilevel"/>
    <w:lvl w:ilvl="0">
      <w:lvlJc w:val="left"/>
      <w:lvlText w:val="(%1)"/>
      <w:numFmt w:val="lowerRoman"/>
      <w:start w:val="1"/>
    </w:lvl>
  </w:abstractNum>
  <w:abstractNum w:abstractNumId="81">
    <w:nsid w:val="36B2ACBC"/>
    <w:multiLevelType w:val="hybridMultilevel"/>
    <w:lvl w:ilvl="0">
      <w:lvlJc w:val="left"/>
      <w:lvlText w:val="(%1)"/>
      <w:numFmt w:val="lowerLetter"/>
      <w:start w:val="3"/>
    </w:lvl>
    <w:lvl w:ilvl="1">
      <w:lvlJc w:val="left"/>
      <w:lvlText w:val="%2."/>
      <w:numFmt w:val="decimal"/>
      <w:start w:val="4"/>
    </w:lvl>
  </w:abstractNum>
  <w:abstractNum w:abstractNumId="82">
    <w:nsid w:val="779D8544"/>
    <w:multiLevelType w:val="hybridMultilevel"/>
    <w:lvl w:ilvl="0">
      <w:lvlJc w:val="left"/>
      <w:lvlText w:val="(%1)"/>
      <w:numFmt w:val="lowerLetter"/>
      <w:start w:val="1"/>
    </w:lvl>
  </w:abstractNum>
  <w:abstractNum w:abstractNumId="83">
    <w:nsid w:val="4AB26E78"/>
    <w:multiLevelType w:val="hybridMultilevel"/>
    <w:lvl w:ilvl="0">
      <w:lvlJc w:val="left"/>
      <w:lvlText w:val="(%1)"/>
      <w:numFmt w:val="lowerRoman"/>
      <w:start w:val="1"/>
    </w:lvl>
  </w:abstractNum>
  <w:abstractNum w:abstractNumId="84">
    <w:nsid w:val="21FAA2FA"/>
    <w:multiLevelType w:val="hybridMultilevel"/>
    <w:lvl w:ilvl="0">
      <w:lvlJc w:val="left"/>
      <w:lvlText w:val="(%1)"/>
      <w:numFmt w:val="lowerRoman"/>
      <w:start w:val="2"/>
    </w:lvl>
    <w:lvl w:ilvl="1">
      <w:lvlJc w:val="left"/>
      <w:lvlText w:val="%2."/>
      <w:numFmt w:val="decimal"/>
      <w:start w:val="1"/>
    </w:lvl>
  </w:abstractNum>
  <w:abstractNum w:abstractNumId="85">
    <w:nsid w:val="5451CF49"/>
    <w:multiLevelType w:val="hybridMultilevel"/>
    <w:lvl w:ilvl="0">
      <w:lvlJc w:val="left"/>
      <w:lvlText w:val="(%1)"/>
      <w:numFmt w:val="lowerLetter"/>
      <w:start w:val="2"/>
    </w:lvl>
  </w:abstractNum>
  <w:abstractNum w:abstractNumId="86">
    <w:nsid w:val="6181EF69"/>
    <w:multiLevelType w:val="hybridMultilevel"/>
    <w:lvl w:ilvl="0">
      <w:lvlJc w:val="left"/>
      <w:lvlText w:val="(%1)"/>
      <w:numFmt w:val="lowerRoman"/>
      <w:start w:val="1"/>
    </w:lvl>
    <w:lvl w:ilvl="1">
      <w:lvlJc w:val="left"/>
      <w:lvlText w:val="%2."/>
      <w:numFmt w:val="decimal"/>
      <w:start w:val="1"/>
    </w:lvl>
  </w:abstractNum>
  <w:abstractNum w:abstractNumId="87">
    <w:nsid w:val="3E6400E6"/>
    <w:multiLevelType w:val="hybridMultilevel"/>
    <w:lvl w:ilvl="0">
      <w:lvlJc w:val="left"/>
      <w:lvlText w:val="(%1)"/>
      <w:numFmt w:val="lowerLetter"/>
      <w:start w:val="3"/>
    </w:lvl>
    <w:lvl w:ilvl="1">
      <w:lvlJc w:val="left"/>
      <w:lvlText w:val="%2."/>
      <w:numFmt w:val="decimal"/>
      <w:start w:val="7"/>
    </w:lvl>
  </w:abstractNum>
  <w:abstractNum w:abstractNumId="88">
    <w:nsid w:val="14217E23"/>
    <w:multiLevelType w:val="hybridMultilevel"/>
    <w:lvl w:ilvl="0">
      <w:lvlJc w:val="left"/>
      <w:lvlText w:val="(%1)"/>
      <w:numFmt w:val="lowerLetter"/>
      <w:start w:val="1"/>
    </w:lvl>
  </w:abstractNum>
  <w:abstractNum w:abstractNumId="89">
    <w:nsid w:val="710757D0"/>
    <w:multiLevelType w:val="hybridMultilevel"/>
    <w:lvl w:ilvl="0">
      <w:lvlJc w:val="left"/>
      <w:lvlText w:val="(%1)"/>
      <w:numFmt w:val="lowerLetter"/>
      <w:start w:val="4"/>
    </w:lvl>
    <w:lvl w:ilvl="1">
      <w:lvlJc w:val="left"/>
      <w:lvlText w:val="%2."/>
      <w:numFmt w:val="decimal"/>
      <w:start w:val="8"/>
    </w:lvl>
  </w:abstractNum>
  <w:abstractNum w:abstractNumId="90">
    <w:nsid w:val="5015CD1A"/>
    <w:multiLevelType w:val="hybridMultilevel"/>
    <w:lvl w:ilvl="0">
      <w:lvlJc w:val="left"/>
      <w:lvlText w:val="(%1)"/>
      <w:numFmt w:val="lowerLetter"/>
      <w:start w:val="1"/>
    </w:lvl>
  </w:abstractNum>
  <w:abstractNum w:abstractNumId="91">
    <w:nsid w:val="424479DA"/>
    <w:multiLevelType w:val="hybridMultilevel"/>
    <w:lvl w:ilvl="0">
      <w:lvlJc w:val="left"/>
      <w:lvlText w:val="(%1)"/>
      <w:numFmt w:val="lowerRoman"/>
      <w:start w:val="1"/>
    </w:lvl>
  </w:abstractNum>
  <w:abstractNum w:abstractNumId="92">
    <w:nsid w:val="1A9A9E69"/>
    <w:multiLevelType w:val="hybridMultilevel"/>
    <w:lvl w:ilvl="0">
      <w:lvlJc w:val="left"/>
      <w:lvlText w:val="(%1)"/>
      <w:numFmt w:val="lowerRoman"/>
      <w:start w:val="4"/>
    </w:lvl>
  </w:abstractNum>
  <w:abstractNum w:abstractNumId="93">
    <w:nsid w:val="475E256A"/>
    <w:multiLevelType w:val="hybridMultilevel"/>
    <w:lvl w:ilvl="0">
      <w:lvlJc w:val="left"/>
      <w:lvlText w:val="(%1)"/>
      <w:numFmt w:val="lowerLetter"/>
      <w:start w:val="2"/>
    </w:lvl>
    <w:lvl w:ilvl="1">
      <w:lvlJc w:val="left"/>
      <w:lvlText w:val="%2."/>
      <w:numFmt w:val="decimal"/>
      <w:start w:val="9"/>
    </w:lvl>
  </w:abstractNum>
  <w:abstractNum w:abstractNumId="94">
    <w:nsid w:val="368DB37E"/>
    <w:multiLevelType w:val="hybridMultilevel"/>
    <w:lvl w:ilvl="0">
      <w:lvlJc w:val="left"/>
      <w:lvlText w:val="(%1)"/>
      <w:numFmt w:val="lowerLetter"/>
      <w:start w:val="1"/>
    </w:lvl>
  </w:abstractNum>
  <w:abstractNum w:abstractNumId="95">
    <w:nsid w:val="6A3B714C"/>
    <w:multiLevelType w:val="hybridMultilevel"/>
    <w:lvl w:ilvl="0">
      <w:lvlJc w:val="left"/>
      <w:lvlText w:val="(%1)"/>
      <w:numFmt w:val="lowerLetter"/>
      <w:start w:val="5"/>
    </w:lvl>
    <w:lvl w:ilvl="1">
      <w:lvlJc w:val="left"/>
      <w:lvlText w:val="%2."/>
      <w:numFmt w:val="decimal"/>
      <w:start w:val="10"/>
    </w:lvl>
  </w:abstractNum>
  <w:abstractNum w:abstractNumId="96">
    <w:nsid w:val="327B517E"/>
    <w:multiLevelType w:val="hybridMultilevel"/>
    <w:lvl w:ilvl="0">
      <w:lvlJc w:val="left"/>
      <w:lvlText w:val="%1"/>
      <w:numFmt w:val="lowerRoman"/>
      <w:start w:val="1"/>
    </w:lvl>
    <w:lvl w:ilvl="1">
      <w:lvlJc w:val="left"/>
      <w:lvlText w:val="(%2)"/>
      <w:numFmt w:val="lowerLetter"/>
      <w:start w:val="1"/>
    </w:lvl>
  </w:abstractNum>
  <w:abstractNum w:abstractNumId="97">
    <w:nsid w:val="1F461B51"/>
    <w:multiLevelType w:val="hybridMultilevel"/>
    <w:lvl w:ilvl="0">
      <w:lvlJc w:val="left"/>
      <w:lvlText w:val="(%1)"/>
      <w:numFmt w:val="lowerRoman"/>
      <w:start w:val="6"/>
    </w:lvl>
    <w:lvl w:ilvl="1">
      <w:lvlJc w:val="left"/>
      <w:lvlText w:val="(%2)"/>
      <w:numFmt w:val="lowerLetter"/>
      <w:start w:val="3"/>
    </w:lvl>
  </w:abstractNum>
  <w:abstractNum w:abstractNumId="98">
    <w:nsid w:val="29BACF25"/>
    <w:multiLevelType w:val="hybridMultilevel"/>
    <w:lvl w:ilvl="0">
      <w:lvlJc w:val="left"/>
      <w:lvlText w:val="(%1)"/>
      <w:numFmt w:val="decimal"/>
      <w:start w:val="10"/>
    </w:lvl>
    <w:lvl w:ilvl="1">
      <w:lvlJc w:val="left"/>
      <w:lvlText w:val="%2."/>
      <w:numFmt w:val="decimal"/>
      <w:start w:val="11"/>
    </w:lvl>
  </w:abstractNum>
  <w:abstractNum w:abstractNumId="99">
    <w:nsid w:val="5D5BABB3"/>
    <w:multiLevelType w:val="hybridMultilevel"/>
    <w:lvl w:ilvl="0">
      <w:lvlJc w:val="left"/>
      <w:lvlText w:val="(%1)"/>
      <w:numFmt w:val="lowerLetter"/>
      <w:start w:val="1"/>
    </w:lvl>
  </w:abstractNum>
  <w:abstractNum w:abstractNumId="100">
    <w:nsid w:val="51BF6B48"/>
    <w:multiLevelType w:val="hybridMultilevel"/>
    <w:lvl w:ilvl="0">
      <w:lvlJc w:val="left"/>
      <w:lvlText w:val="(%1)"/>
      <w:numFmt w:val="lowerRoman"/>
      <w:start w:val="1"/>
    </w:lvl>
  </w:abstractNum>
  <w:abstractNum w:abstractNumId="101">
    <w:nsid w:val="7E0F6384"/>
    <w:multiLevelType w:val="hybridMultilevel"/>
    <w:lvl w:ilvl="0">
      <w:lvlJc w:val="left"/>
      <w:lvlText w:val="(%1)"/>
      <w:numFmt w:val="lowerLetter"/>
      <w:start w:val="2"/>
    </w:lvl>
  </w:abstractNum>
  <w:abstractNum w:abstractNumId="102">
    <w:nsid w:val="2B4B8B53"/>
    <w:multiLevelType w:val="hybridMultilevel"/>
    <w:lvl w:ilvl="0">
      <w:lvlJc w:val="left"/>
      <w:lvlText w:val="(%1)"/>
      <w:numFmt w:val="lowerRoman"/>
      <w:start w:val="1"/>
    </w:lvl>
  </w:abstractNum>
  <w:abstractNum w:abstractNumId="103">
    <w:nsid w:val="72E3413A"/>
    <w:multiLevelType w:val="hybridMultilevel"/>
    <w:lvl w:ilvl="0">
      <w:lvlJc w:val="left"/>
      <w:lvlText w:val="(%1)"/>
      <w:numFmt w:val="lowerRoman"/>
      <w:start w:val="3"/>
    </w:lvl>
    <w:lvl w:ilvl="1">
      <w:lvlJc w:val="left"/>
      <w:lvlText w:val="(%2)"/>
      <w:numFmt w:val="lowerLetter"/>
      <w:start w:val="24"/>
    </w:lvl>
  </w:abstractNum>
  <w:abstractNum w:abstractNumId="104">
    <w:nsid w:val="116AE494"/>
    <w:multiLevelType w:val="hybridMultilevel"/>
    <w:lvl w:ilvl="0">
      <w:lvlJc w:val="left"/>
      <w:lvlText w:val="(%1)"/>
      <w:numFmt w:val="lowerRoman"/>
      <w:start w:val="6"/>
    </w:lvl>
  </w:abstractNum>
  <w:abstractNum w:abstractNumId="105">
    <w:nsid w:val="3494B2FB"/>
    <w:multiLevelType w:val="hybridMultilevel"/>
    <w:lvl w:ilvl="0">
      <w:lvlJc w:val="left"/>
      <w:lvlText w:val="(%1)"/>
      <w:numFmt w:val="lowerLetter"/>
      <w:start w:val="4"/>
    </w:lvl>
  </w:abstractNum>
  <w:abstractNum w:abstractNumId="106">
    <w:nsid w:val="B13A31"/>
    <w:multiLevelType w:val="hybridMultilevel"/>
    <w:lvl w:ilvl="0">
      <w:lvlJc w:val="left"/>
      <w:lvlText w:val="%1"/>
      <w:numFmt w:val="lowerLetter"/>
      <w:start w:val="1"/>
    </w:lvl>
    <w:lvl w:ilvl="1">
      <w:lvlJc w:val="left"/>
      <w:lvlText w:val="%2."/>
      <w:numFmt w:val="decimal"/>
      <w:start w:val="12"/>
    </w:lvl>
  </w:abstractNum>
  <w:abstractNum w:abstractNumId="107">
    <w:nsid w:val="64429599"/>
    <w:multiLevelType w:val="hybridMultilevel"/>
    <w:lvl w:ilvl="0">
      <w:lvlJc w:val="left"/>
      <w:lvlText w:val="(%1)"/>
      <w:numFmt w:val="lowerLetter"/>
      <w:start w:val="1"/>
    </w:lvl>
    <w:lvl w:ilvl="1">
      <w:lvlJc w:val="left"/>
      <w:lvlText w:val="%2."/>
      <w:numFmt w:val="decimal"/>
      <w:start w:val="14"/>
    </w:lvl>
  </w:abstractNum>
  <w:abstractNum w:abstractNumId="108">
    <w:nsid w:val="631F1690"/>
    <w:multiLevelType w:val="hybridMultilevel"/>
    <w:lvl w:ilvl="0">
      <w:lvlJc w:val="left"/>
      <w:lvlText w:val="%1"/>
      <w:numFmt w:val="decimal"/>
      <w:start w:val="1"/>
    </w:lvl>
    <w:lvl w:ilvl="1">
      <w:lvlJc w:val="left"/>
      <w:lvlText w:val="%2."/>
      <w:numFmt w:val="decimal"/>
      <w:start w:val="15"/>
    </w:lvl>
  </w:abstractNum>
  <w:abstractNum w:abstractNumId="109">
    <w:nsid w:val="25973E32"/>
    <w:multiLevelType w:val="hybridMultilevel"/>
    <w:lvl w:ilvl="0">
      <w:lvlJc w:val="left"/>
      <w:lvlText w:val="(%1)"/>
      <w:numFmt w:val="decimal"/>
      <w:start w:val="12"/>
    </w:lvl>
    <w:lvl w:ilvl="1">
      <w:lvlJc w:val="left"/>
      <w:lvlText w:val="%2"/>
      <w:numFmt w:val="decimal"/>
      <w:start w:val="1"/>
    </w:lvl>
  </w:abstractNum>
  <w:abstractNum w:abstractNumId="110">
    <w:nsid w:val="EAD6F57"/>
    <w:multiLevelType w:val="hybridMultilevel"/>
    <w:lvl w:ilvl="0">
      <w:lvlJc w:val="left"/>
      <w:lvlText w:val="(%1)"/>
      <w:numFmt w:val="decimal"/>
      <w:start w:val="10"/>
    </w:lvl>
    <w:lvl w:ilvl="1">
      <w:lvlJc w:val="left"/>
      <w:lvlText w:val="%2."/>
      <w:numFmt w:val="decimal"/>
      <w:start w:val="16"/>
    </w:lvl>
  </w:abstractNum>
  <w:abstractNum w:abstractNumId="111">
    <w:nsid w:val="6EC9D844"/>
    <w:multiLevelType w:val="hybridMultilevel"/>
    <w:lvl w:ilvl="0">
      <w:lvlJc w:val="left"/>
      <w:lvlText w:val="%1"/>
      <w:numFmt w:val="lowerLetter"/>
      <w:start w:val="1"/>
    </w:lvl>
    <w:lvl w:ilvl="1">
      <w:lvlJc w:val="left"/>
      <w:lvlText w:val="%2."/>
      <w:numFmt w:val="decimal"/>
      <w:start w:val="17"/>
    </w:lvl>
  </w:abstractNum>
  <w:abstractNum w:abstractNumId="112">
    <w:nsid w:val="5C49EAEE"/>
    <w:multiLevelType w:val="hybridMultilevel"/>
    <w:lvl w:ilvl="0">
      <w:lvlJc w:val="left"/>
      <w:lvlText w:val="(%1)"/>
      <w:numFmt w:val="lowerLetter"/>
      <w:start w:val="1"/>
    </w:lvl>
    <w:lvl w:ilvl="1">
      <w:lvlJc w:val="left"/>
      <w:lvlText w:val="%2."/>
      <w:numFmt w:val="decimal"/>
      <w:start w:val="18"/>
    </w:lvl>
  </w:abstractNum>
  <w:abstractNum w:abstractNumId="113">
    <w:nsid w:val="64AF49B"/>
    <w:multiLevelType w:val="hybridMultilevel"/>
    <w:lvl w:ilvl="0">
      <w:lvlJc w:val="left"/>
      <w:lvlText w:val="(%1)"/>
      <w:numFmt w:val="lowerLetter"/>
      <w:start w:val="1"/>
    </w:lvl>
  </w:abstractNum>
  <w:abstractNum w:abstractNumId="114">
    <w:nsid w:val="397C46BC"/>
    <w:multiLevelType w:val="hybridMultilevel"/>
    <w:lvl w:ilvl="0">
      <w:lvlJc w:val="left"/>
      <w:lvlText w:val="%1"/>
      <w:numFmt w:val="lowerLetter"/>
      <w:start w:val="1"/>
    </w:lvl>
    <w:lvl w:ilvl="1">
      <w:lvlJc w:val="left"/>
      <w:lvlText w:val="%2."/>
      <w:numFmt w:val="decimal"/>
      <w:start w:val="19"/>
    </w:lvl>
  </w:abstractNum>
  <w:abstractNum w:abstractNumId="115">
    <w:nsid w:val="7E448DE9"/>
    <w:multiLevelType w:val="hybridMultilevel"/>
    <w:lvl w:ilvl="0">
      <w:lvlJc w:val="left"/>
      <w:lvlText w:val="(%1)"/>
      <w:numFmt w:val="lowerLetter"/>
      <w:start w:val="1"/>
    </w:lvl>
    <w:lvl w:ilvl="1">
      <w:lvlJc w:val="left"/>
      <w:lvlText w:val="%2"/>
      <w:numFmt w:val="decimal"/>
      <w:start w:val="1"/>
    </w:lvl>
  </w:abstractNum>
  <w:abstractNum w:abstractNumId="116">
    <w:nsid w:val="5A9CC3E5"/>
    <w:multiLevelType w:val="hybridMultilevel"/>
    <w:lvl w:ilvl="0">
      <w:lvlJc w:val="left"/>
      <w:lvlText w:val="(%1)"/>
      <w:numFmt w:val="lowerRoman"/>
      <w:start w:val="1"/>
    </w:lvl>
    <w:lvl w:ilvl="1">
      <w:lvlJc w:val="left"/>
      <w:lvlText w:val="(%2)"/>
      <w:numFmt w:val="lowerRoman"/>
      <w:start w:val="10"/>
    </w:lvl>
  </w:abstractNum>
  <w:abstractNum w:abstractNumId="117">
    <w:nsid w:val="1AFE3625"/>
    <w:multiLevelType w:val="hybridMultilevel"/>
    <w:lvl w:ilvl="0">
      <w:lvlJc w:val="left"/>
      <w:lvlText w:val="(%1)"/>
      <w:numFmt w:val="lowerLetter"/>
      <w:start w:val="4"/>
    </w:lvl>
  </w:abstractNum>
  <w:abstractNum w:abstractNumId="118">
    <w:nsid w:val="3CA88ECF"/>
    <w:multiLevelType w:val="hybridMultilevel"/>
    <w:lvl w:ilvl="0">
      <w:lvlJc w:val="left"/>
      <w:lvlText w:val="(%1)"/>
      <w:numFmt w:val="lowerRoman"/>
      <w:start w:val="1"/>
    </w:lvl>
    <w:lvl w:ilvl="1">
      <w:lvlJc w:val="left"/>
      <w:lvlText w:val="(%2)"/>
      <w:numFmt w:val="upperLetter"/>
      <w:start w:val="24"/>
    </w:lvl>
  </w:abstractNum>
  <w:abstractNum w:abstractNumId="119">
    <w:nsid w:val="6EBE4208"/>
    <w:multiLevelType w:val="hybridMultilevel"/>
    <w:lvl w:ilvl="0">
      <w:lvlJc w:val="left"/>
      <w:lvlText w:val="(%1)"/>
      <w:numFmt w:val="lowerLetter"/>
      <w:start w:val="6"/>
    </w:lvl>
  </w:abstractNum>
  <w:abstractNum w:abstractNumId="120">
    <w:nsid w:val="C058DF5"/>
    <w:multiLevelType w:val="hybridMultilevel"/>
    <w:lvl w:ilvl="0">
      <w:lvlJc w:val="left"/>
      <w:lvlText w:val="(%1)"/>
      <w:numFmt w:val="lowerLetter"/>
      <w:start w:val="8"/>
    </w:lvl>
  </w:abstractNum>
  <w:abstractNum w:abstractNumId="121">
    <w:nsid w:val="CBE5BE9"/>
    <w:multiLevelType w:val="hybridMultilevel"/>
    <w:lvl w:ilvl="0">
      <w:lvlJc w:val="left"/>
      <w:lvlText w:val="%1"/>
      <w:numFmt w:val="lowerLetter"/>
      <w:start w:val="1"/>
    </w:lvl>
    <w:lvl w:ilvl="1">
      <w:lvlJc w:val="left"/>
      <w:lvlText w:val="%2."/>
      <w:numFmt w:val="decimal"/>
      <w:start w:val="20"/>
    </w:lvl>
  </w:abstractNum>
  <w:abstractNum w:abstractNumId="122">
    <w:nsid w:val="3102BBE2"/>
    <w:multiLevelType w:val="hybridMultilevel"/>
    <w:lvl w:ilvl="0">
      <w:lvlJc w:val="left"/>
      <w:lvlText w:val="(%1)"/>
      <w:numFmt w:val="lowerLetter"/>
      <w:start w:val="1"/>
    </w:lvl>
    <w:lvl w:ilvl="1">
      <w:lvlJc w:val="left"/>
      <w:lvlText w:val="%2."/>
      <w:numFmt w:val="decimal"/>
      <w:start w:val="21"/>
    </w:lvl>
  </w:abstractNum>
  <w:abstractNum w:abstractNumId="123">
    <w:nsid w:val="26A02C5E"/>
    <w:multiLevelType w:val="hybridMultilevel"/>
    <w:lvl w:ilvl="0">
      <w:lvlJc w:val="left"/>
      <w:lvlText w:val="%1."/>
      <w:numFmt w:val="decimal"/>
      <w:start w:val="23"/>
    </w:lvl>
  </w:abstractNum>
  <w:abstractNum w:abstractNumId="124">
    <w:nsid w:val="541C8153"/>
    <w:multiLevelType w:val="hybridMultilevel"/>
    <w:lvl w:ilvl="0">
      <w:lvlJc w:val="left"/>
      <w:lvlText w:val="(%1)"/>
      <w:numFmt w:val="lowerLetter"/>
      <w:start w:val="3"/>
    </w:lvl>
    <w:lvl w:ilvl="1">
      <w:lvlJc w:val="left"/>
      <w:lvlText w:val="%2."/>
      <w:numFmt w:val="decimal"/>
      <w:start w:val="3"/>
    </w:lvl>
  </w:abstractNum>
  <w:abstractNum w:abstractNumId="125">
    <w:nsid w:val="67906F60"/>
    <w:multiLevelType w:val="hybridMultilevel"/>
    <w:lvl w:ilvl="0">
      <w:lvlJc w:val="left"/>
      <w:lvlText w:val="%1."/>
      <w:numFmt w:val="decimal"/>
      <w:start w:val="5"/>
    </w:lvl>
  </w:abstractNum>
  <w:abstractNum w:abstractNumId="126">
    <w:nsid w:val="10DB9DAA"/>
    <w:multiLevelType w:val="hybridMultilevel"/>
    <w:lvl w:ilvl="0">
      <w:lvlJc w:val="left"/>
      <w:lvlText w:val="%1."/>
      <w:numFmt w:val="decimal"/>
      <w:start w:val="1"/>
    </w:lvl>
  </w:abstractNum>
  <w:abstractNum w:abstractNumId="127">
    <w:nsid w:val="697D2D2"/>
    <w:multiLevelType w:val="hybridMultilevel"/>
    <w:lvl w:ilvl="0">
      <w:lvlJc w:val="left"/>
      <w:lvlText w:val="%1."/>
      <w:numFmt w:val="decimal"/>
      <w:start w:val="1"/>
    </w:lvl>
  </w:abstractNum>
  <w:abstractNum w:abstractNumId="128">
    <w:nsid w:val="6D68AB2"/>
    <w:multiLevelType w:val="hybridMultilevel"/>
    <w:lvl w:ilvl="0">
      <w:lvlJc w:val="left"/>
      <w:lvlText w:val="%1."/>
      <w:numFmt w:val="decimal"/>
      <w:start w:val="3"/>
    </w:lvl>
  </w:abstractNum>
  <w:abstractNum w:abstractNumId="129">
    <w:nsid w:val="3A966CD0"/>
    <w:multiLevelType w:val="hybridMultilevel"/>
    <w:lvl w:ilvl="0">
      <w:lvlJc w:val="left"/>
      <w:lvlText w:val="%1."/>
      <w:numFmt w:val="decimal"/>
      <w:start w:val="5"/>
    </w:lvl>
  </w:abstractNum>
  <w:abstractNum w:abstractNumId="130">
    <w:nsid w:val="63F37E85"/>
    <w:multiLevelType w:val="hybridMultilevel"/>
    <w:lvl w:ilvl="0">
      <w:lvlJc w:val="left"/>
      <w:lvlText w:val="%1."/>
      <w:numFmt w:val="decimal"/>
      <w:start w:val="6"/>
    </w:lvl>
  </w:abstractNum>
  <w:abstractNum w:abstractNumId="131">
    <w:nsid w:val="5895F5FA"/>
    <w:multiLevelType w:val="hybridMultilevel"/>
    <w:lvl w:ilvl="0">
      <w:lvlJc w:val="left"/>
      <w:lvlText w:val="%1"/>
      <w:numFmt w:val="lowerLetter"/>
      <w:start w:val="1"/>
    </w:lvl>
    <w:lvl w:ilvl="1">
      <w:lvlJc w:val="left"/>
      <w:lvlText w:val="%2."/>
      <w:numFmt w:val="decimal"/>
      <w:start w:val="1"/>
    </w:lvl>
  </w:abstractNum>
  <w:abstractNum w:abstractNumId="132">
    <w:nsid w:val="38A5D054"/>
    <w:multiLevelType w:val="hybridMultilevel"/>
    <w:lvl w:ilvl="0">
      <w:lvlJc w:val="left"/>
      <w:lvlText w:val="(%1)"/>
      <w:numFmt w:val="lowerLetter"/>
      <w:start w:val="1"/>
    </w:lvl>
    <w:lvl w:ilvl="1">
      <w:lvlJc w:val="left"/>
      <w:lvlText w:val="%2"/>
      <w:numFmt w:val="decimal"/>
      <w:start w:val="1"/>
    </w:lvl>
  </w:abstractNum>
  <w:abstractNum w:abstractNumId="133">
    <w:nsid w:val="F3F09D8"/>
    <w:multiLevelType w:val="hybridMultilevel"/>
    <w:lvl w:ilvl="0">
      <w:lvlJc w:val="left"/>
      <w:lvlText w:val="(%1)"/>
      <w:numFmt w:val="lowerRoman"/>
      <w:start w:val="1"/>
    </w:lvl>
  </w:abstractNum>
  <w:abstractNum w:abstractNumId="134">
    <w:nsid w:val="4B793735"/>
    <w:multiLevelType w:val="hybridMultilevel"/>
    <w:lvl w:ilvl="0">
      <w:lvlJc w:val="left"/>
      <w:lvlText w:val="(%1)"/>
      <w:numFmt w:val="lowerRoman"/>
      <w:start w:val="2"/>
    </w:lvl>
  </w:abstractNum>
  <w:abstractNum w:abstractNumId="135">
    <w:nsid w:val="4A10B4E8"/>
    <w:multiLevelType w:val="hybridMultilevel"/>
    <w:lvl w:ilvl="0">
      <w:lvlJc w:val="left"/>
      <w:lvlText w:val="(%1)"/>
      <w:numFmt w:val="lowerLetter"/>
      <w:start w:val="3"/>
    </w:lvl>
  </w:abstractNum>
  <w:abstractNum w:abstractNumId="136">
    <w:nsid w:val="43D3BCD4"/>
    <w:multiLevelType w:val="hybridMultilevel"/>
    <w:lvl w:ilvl="0">
      <w:lvlJc w:val="left"/>
      <w:lvlText w:val="%1"/>
      <w:numFmt w:val="lowerLetter"/>
      <w:start w:val="1"/>
    </w:lvl>
    <w:lvl w:ilvl="1">
      <w:lvlJc w:val="left"/>
      <w:lvlText w:val="%2."/>
      <w:numFmt w:val="decimal"/>
      <w:start w:val="4"/>
    </w:lvl>
  </w:abstractNum>
  <w:abstractNum w:abstractNumId="137">
    <w:nsid w:val="4C2A7166"/>
    <w:multiLevelType w:val="hybridMultilevel"/>
    <w:lvl w:ilvl="0">
      <w:lvlJc w:val="left"/>
      <w:lvlText w:val="(%1)"/>
      <w:numFmt w:val="lowerLetter"/>
      <w:start w:val="1"/>
    </w:lvl>
    <w:lvl w:ilvl="1">
      <w:lvlJc w:val="left"/>
      <w:lvlText w:val="%2"/>
      <w:numFmt w:val="decimal"/>
      <w:start w:val="1"/>
    </w:lvl>
  </w:abstractNum>
  <w:abstractNum w:abstractNumId="138">
    <w:nsid w:val="2E534A82"/>
    <w:multiLevelType w:val="hybridMultilevel"/>
    <w:lvl w:ilvl="0">
      <w:lvlJc w:val="left"/>
      <w:lvlText w:val="%1"/>
      <w:numFmt w:val="lowerLetter"/>
      <w:start w:val="1"/>
    </w:lvl>
    <w:lvl w:ilvl="1">
      <w:lvlJc w:val="left"/>
      <w:lvlText w:val="%2."/>
      <w:numFmt w:val="decimal"/>
      <w:start w:val="5"/>
    </w:lvl>
  </w:abstractNum>
  <w:abstractNum w:abstractNumId="139">
    <w:nsid w:val="26F2D364"/>
    <w:multiLevelType w:val="hybridMultilevel"/>
    <w:lvl w:ilvl="0">
      <w:lvlJc w:val="left"/>
      <w:lvlText w:val="(%1)"/>
      <w:numFmt w:val="lowerLetter"/>
      <w:start w:val="1"/>
    </w:lvl>
    <w:lvl w:ilvl="1">
      <w:lvlJc w:val="left"/>
      <w:lvlText w:val="%2"/>
      <w:numFmt w:val="decimal"/>
      <w:start w:val="1"/>
    </w:lvl>
  </w:abstractNum>
  <w:abstractNum w:abstractNumId="140">
    <w:nsid w:val="71C1AF98"/>
    <w:multiLevelType w:val="hybridMultilevel"/>
    <w:lvl w:ilvl="0">
      <w:lvlJc w:val="left"/>
      <w:lvlText w:val="(%1)"/>
      <w:numFmt w:val="lowerRoman"/>
      <w:start w:val="1"/>
    </w:lvl>
    <w:lvl w:ilvl="1">
      <w:lvlJc w:val="left"/>
      <w:lvlText w:val="%2."/>
      <w:numFmt w:val="decimal"/>
      <w:start w:val="1"/>
    </w:lvl>
  </w:abstractNum>
  <w:abstractNum w:abstractNumId="141">
    <w:nsid w:val="3D00B9D9"/>
    <w:multiLevelType w:val="hybridMultilevel"/>
    <w:lvl w:ilvl="0">
      <w:lvlJc w:val="left"/>
      <w:lvlText w:val="(%1)"/>
      <w:numFmt w:val="lowerLetter"/>
      <w:start w:val="3"/>
    </w:lvl>
    <w:lvl w:ilvl="1">
      <w:lvlJc w:val="left"/>
      <w:lvlText w:val="%2."/>
      <w:numFmt w:val="decimal"/>
      <w:start w:val="7"/>
    </w:lvl>
  </w:abstractNum>
  <w:abstractNum w:abstractNumId="142">
    <w:nsid w:val="15BCABA8"/>
    <w:multiLevelType w:val="hybridMultilevel"/>
    <w:lvl w:ilvl="0">
      <w:lvlJc w:val="left"/>
      <w:lvlText w:val="(%1)"/>
      <w:numFmt w:val="lowerLetter"/>
      <w:start w:val="1"/>
    </w:lvl>
  </w:abstractNum>
  <w:abstractNum w:abstractNumId="143">
    <w:nsid w:val="4E0B9A87"/>
    <w:multiLevelType w:val="hybridMultilevel"/>
    <w:lvl w:ilvl="0">
      <w:lvlJc w:val="left"/>
      <w:lvlText w:val="(%1)"/>
      <w:numFmt w:val="lowerLetter"/>
      <w:start w:val="3"/>
    </w:lvl>
    <w:lvl w:ilvl="1">
      <w:lvlJc w:val="left"/>
      <w:lvlText w:val="%2."/>
      <w:numFmt w:val="decimal"/>
      <w:start w:val="8"/>
    </w:lvl>
  </w:abstractNum>
  <w:abstractNum w:abstractNumId="144">
    <w:nsid w:val="434BAE75"/>
    <w:multiLevelType w:val="hybridMultilevel"/>
    <w:lvl w:ilvl="0">
      <w:lvlJc w:val="left"/>
      <w:lvlText w:val="(%1)"/>
      <w:numFmt w:val="lowerLetter"/>
      <w:start w:val="1"/>
    </w:lvl>
  </w:abstractNum>
  <w:abstractNum w:abstractNumId="145">
    <w:nsid w:val="4F38F265"/>
    <w:multiLevelType w:val="hybridMultilevel"/>
    <w:lvl w:ilvl="0">
      <w:lvlJc w:val="left"/>
      <w:lvlText w:val="(%1)"/>
      <w:numFmt w:val="lowerRoman"/>
      <w:start w:val="1"/>
    </w:lvl>
  </w:abstractNum>
  <w:abstractNum w:abstractNumId="146">
    <w:nsid w:val="4C502870"/>
    <w:multiLevelType w:val="hybridMultilevel"/>
    <w:lvl w:ilvl="0">
      <w:lvlJc w:val="left"/>
      <w:lvlText w:val="(%1)"/>
      <w:numFmt w:val="lowerRoman"/>
      <w:start w:val="3"/>
    </w:lvl>
  </w:abstractNum>
  <w:abstractNum w:abstractNumId="147">
    <w:nsid w:val="1DE8725A"/>
    <w:multiLevelType w:val="hybridMultilevel"/>
    <w:lvl w:ilvl="0">
      <w:lvlJc w:val="left"/>
      <w:lvlText w:val="(%1)"/>
      <w:numFmt w:val="lowerLetter"/>
      <w:start w:val="2"/>
    </w:lvl>
    <w:lvl w:ilvl="1">
      <w:lvlJc w:val="left"/>
      <w:lvlText w:val="%2."/>
      <w:numFmt w:val="decimal"/>
      <w:start w:val="9"/>
    </w:lvl>
  </w:abstractNum>
  <w:abstractNum w:abstractNumId="148">
    <w:nsid w:val="6A37288A"/>
    <w:multiLevelType w:val="hybridMultilevel"/>
    <w:lvl w:ilvl="0">
      <w:lvlJc w:val="left"/>
      <w:lvlText w:val="(%1)"/>
      <w:numFmt w:val="lowerLetter"/>
      <w:start w:val="1"/>
    </w:lvl>
  </w:abstractNum>
  <w:abstractNum w:abstractNumId="149">
    <w:nsid w:val="8F8B73F"/>
    <w:multiLevelType w:val="hybridMultilevel"/>
    <w:lvl w:ilvl="0">
      <w:lvlJc w:val="left"/>
      <w:lvlText w:val="(%1)"/>
      <w:numFmt w:val="lowerLetter"/>
      <w:start w:val="3"/>
    </w:lvl>
    <w:lvl w:ilvl="1">
      <w:lvlJc w:val="left"/>
      <w:lvlText w:val="%2."/>
      <w:numFmt w:val="decimal"/>
      <w:start w:val="10"/>
    </w:lvl>
  </w:abstractNum>
  <w:abstractNum w:abstractNumId="150">
    <w:nsid w:val="CA6B462"/>
    <w:multiLevelType w:val="hybridMultilevel"/>
    <w:lvl w:ilvl="0">
      <w:lvlJc w:val="left"/>
      <w:lvlText w:val="(%1)"/>
      <w:numFmt w:val="lowerLetter"/>
      <w:start w:val="1"/>
    </w:lvl>
  </w:abstractNum>
  <w:abstractNum w:abstractNumId="151">
    <w:nsid w:val="763CB680"/>
    <w:multiLevelType w:val="hybridMultilevel"/>
    <w:lvl w:ilvl="0">
      <w:lvlJc w:val="left"/>
      <w:lvlText w:val="%1"/>
      <w:numFmt w:val="decimal"/>
      <w:start w:val="1"/>
    </w:lvl>
    <w:lvl w:ilvl="1">
      <w:lvlJc w:val="left"/>
      <w:lvlText w:val="(%2)"/>
      <w:numFmt w:val="lowerLetter"/>
      <w:start w:val="3"/>
    </w:lvl>
  </w:abstractNum>
  <w:abstractNum w:abstractNumId="152">
    <w:nsid w:val="15B71329"/>
    <w:multiLevelType w:val="hybridMultilevel"/>
    <w:lvl w:ilvl="0">
      <w:lvlJc w:val="left"/>
      <w:lvlText w:val="(%1)"/>
      <w:numFmt w:val="decimal"/>
      <w:start w:val="10"/>
    </w:lvl>
    <w:lvl w:ilvl="1">
      <w:lvlJc w:val="left"/>
      <w:lvlText w:val="%2"/>
      <w:numFmt w:val="lowerLetter"/>
      <w:start w:val="1"/>
    </w:lvl>
  </w:abstractNum>
  <w:abstractNum w:abstractNumId="153">
    <w:nsid w:val="3DA97044"/>
    <w:multiLevelType w:val="hybridMultilevel"/>
    <w:lvl w:ilvl="0">
      <w:lvlJc w:val="left"/>
      <w:lvlText w:val="%1"/>
      <w:numFmt w:val="lowerLetter"/>
      <w:start w:val="1"/>
    </w:lvl>
    <w:lvl w:ilvl="1">
      <w:lvlJc w:val="left"/>
      <w:lvlText w:val="%2."/>
      <w:numFmt w:val="decimal"/>
      <w:start w:val="11"/>
    </w:lvl>
  </w:abstractNum>
  <w:abstractNum w:abstractNumId="154">
    <w:nsid w:val="1CDCE2DE"/>
    <w:multiLevelType w:val="hybridMultilevel"/>
    <w:lvl w:ilvl="0">
      <w:lvlJc w:val="left"/>
      <w:lvlText w:val="(%1)"/>
      <w:numFmt w:val="lowerLetter"/>
      <w:start w:val="1"/>
    </w:lvl>
    <w:lvl w:ilvl="1">
      <w:lvlJc w:val="left"/>
      <w:lvlText w:val="%2"/>
      <w:numFmt w:val="decimal"/>
      <w:start w:val="1"/>
    </w:lvl>
  </w:abstractNum>
  <w:abstractNum w:abstractNumId="155">
    <w:nsid w:val="69D3947C"/>
    <w:multiLevelType w:val="hybridMultilevel"/>
    <w:lvl w:ilvl="0">
      <w:lvlJc w:val="left"/>
      <w:lvlText w:val="(%1)"/>
      <w:numFmt w:val="lowerRoman"/>
      <w:start w:val="1"/>
    </w:lvl>
  </w:abstractNum>
  <w:abstractNum w:abstractNumId="156">
    <w:nsid w:val="2539DFA5"/>
    <w:multiLevelType w:val="hybridMultilevel"/>
    <w:lvl w:ilvl="0">
      <w:lvlJc w:val="left"/>
      <w:lvlText w:val="(%1)"/>
      <w:numFmt w:val="lowerLetter"/>
      <w:start w:val="2"/>
    </w:lvl>
  </w:abstractNum>
  <w:abstractNum w:abstractNumId="157">
    <w:nsid w:val="2DB88089"/>
    <w:multiLevelType w:val="hybridMultilevel"/>
    <w:lvl w:ilvl="0">
      <w:lvlJc w:val="left"/>
      <w:lvlText w:val="(%1)"/>
      <w:numFmt w:val="lowerLetter"/>
      <w:start w:val="3"/>
    </w:lvl>
  </w:abstractNum>
  <w:abstractNum w:abstractNumId="158">
    <w:nsid w:val="706B674E"/>
    <w:multiLevelType w:val="hybridMultilevel"/>
    <w:lvl w:ilvl="0">
      <w:lvlJc w:val="left"/>
      <w:lvlText w:val="(%1)"/>
      <w:numFmt w:val="lowerRoman"/>
      <w:start w:val="1"/>
    </w:lvl>
  </w:abstractNum>
  <w:abstractNum w:abstractNumId="159">
    <w:nsid w:val="2C106A57"/>
    <w:multiLevelType w:val="hybridMultilevel"/>
    <w:lvl w:ilvl="0">
      <w:lvlJc w:val="left"/>
      <w:lvlText w:val="%1"/>
      <w:numFmt w:val="lowerRoman"/>
      <w:start w:val="1"/>
    </w:lvl>
    <w:lvl w:ilvl="1">
      <w:lvlJc w:val="left"/>
      <w:lvlText w:val="(%2)"/>
      <w:numFmt w:val="lowerLetter"/>
      <w:start w:val="24"/>
    </w:lvl>
  </w:abstractNum>
  <w:abstractNum w:abstractNumId="160">
    <w:nsid w:val="684EED59"/>
    <w:multiLevelType w:val="hybridMultilevel"/>
    <w:lvl w:ilvl="0">
      <w:lvlJc w:val="left"/>
      <w:lvlText w:val="(%1)"/>
      <w:numFmt w:val="lowerRoman"/>
      <w:start w:val="7"/>
    </w:lvl>
    <w:lvl w:ilvl="1">
      <w:lvlJc w:val="left"/>
      <w:lvlText w:val="%2"/>
      <w:numFmt w:val="lowerLetter"/>
      <w:start w:val="1"/>
    </w:lvl>
  </w:abstractNum>
  <w:abstractNum w:abstractNumId="161">
    <w:nsid w:val="545EE5D3"/>
    <w:multiLevelType w:val="hybridMultilevel"/>
    <w:lvl w:ilvl="0">
      <w:lvlJc w:val="left"/>
      <w:lvlText w:val="(%1)"/>
      <w:numFmt w:val="lowerLetter"/>
      <w:start w:val="4"/>
    </w:lvl>
  </w:abstractNum>
  <w:abstractNum w:abstractNumId="162">
    <w:nsid w:val="4A66051"/>
    <w:multiLevelType w:val="hybridMultilevel"/>
    <w:lvl w:ilvl="0">
      <w:lvlJc w:val="left"/>
      <w:lvlText w:val="(%1)"/>
      <w:numFmt w:val="lowerLetter"/>
      <w:start w:val="5"/>
    </w:lvl>
    <w:lvl w:ilvl="1">
      <w:lvlJc w:val="left"/>
      <w:lvlText w:val="%2."/>
      <w:numFmt w:val="decimal"/>
      <w:start w:val="12"/>
    </w:lvl>
  </w:abstractNum>
  <w:abstractNum w:abstractNumId="163">
    <w:nsid w:val="20F4BDAD"/>
    <w:multiLevelType w:val="hybridMultilevel"/>
    <w:lvl w:ilvl="0">
      <w:lvlJc w:val="left"/>
      <w:lvlText w:val="(%1)"/>
      <w:numFmt w:val="lowerLetter"/>
      <w:start w:val="1"/>
    </w:lvl>
    <w:lvl w:ilvl="1">
      <w:lvlJc w:val="left"/>
      <w:lvlText w:val="%2."/>
      <w:numFmt w:val="decimal"/>
      <w:start w:val="14"/>
    </w:lvl>
  </w:abstractNum>
  <w:abstractNum w:abstractNumId="164">
    <w:nsid w:val="639DEFAC"/>
    <w:multiLevelType w:val="hybridMultilevel"/>
    <w:lvl w:ilvl="0">
      <w:lvlJc w:val="left"/>
      <w:lvlText w:val="%1"/>
      <w:numFmt w:val="lowerLetter"/>
      <w:start w:val="1"/>
    </w:lvl>
    <w:lvl w:ilvl="1">
      <w:lvlJc w:val="left"/>
      <w:lvlText w:val="%2."/>
      <w:numFmt w:val="decimal"/>
      <w:start w:val="15"/>
    </w:lvl>
  </w:abstractNum>
  <w:abstractNum w:abstractNumId="165">
    <w:nsid w:val="501F9786"/>
    <w:multiLevelType w:val="hybridMultilevel"/>
    <w:lvl w:ilvl="0">
      <w:lvlJc w:val="left"/>
      <w:lvlText w:val="(%1)"/>
      <w:numFmt w:val="lowerLetter"/>
      <w:start w:val="1"/>
    </w:lvl>
    <w:lvl w:ilvl="1">
      <w:lvlJc w:val="left"/>
      <w:lvlText w:val="%2"/>
      <w:numFmt w:val="decimal"/>
      <w:start w:val="1"/>
    </w:lvl>
  </w:abstractNum>
  <w:abstractNum w:abstractNumId="166">
    <w:nsid w:val="6B057295"/>
    <w:multiLevelType w:val="hybridMultilevel"/>
    <w:lvl w:ilvl="0">
      <w:lvlJc w:val="left"/>
      <w:lvlText w:val="%1"/>
      <w:numFmt w:val="lowerLetter"/>
      <w:start w:val="1"/>
    </w:lvl>
    <w:lvl w:ilvl="1">
      <w:lvlJc w:val="left"/>
      <w:lvlText w:val="%2."/>
      <w:numFmt w:val="decimal"/>
      <w:start w:val="18"/>
    </w:lvl>
  </w:abstractNum>
  <w:abstractNum w:abstractNumId="167">
    <w:nsid w:val="2771AC80"/>
    <w:multiLevelType w:val="hybridMultilevel"/>
    <w:lvl w:ilvl="0">
      <w:lvlJc w:val="left"/>
      <w:lvlText w:val="(%1)"/>
      <w:numFmt w:val="lowerLetter"/>
      <w:start w:val="1"/>
    </w:lvl>
    <w:lvl w:ilvl="1">
      <w:lvlJc w:val="left"/>
      <w:lvlText w:val="%2."/>
      <w:numFmt w:val="decimal"/>
      <w:start w:val="19"/>
    </w:lvl>
  </w:abstractNum>
  <w:abstractNum w:abstractNumId="168">
    <w:nsid w:val="1C4A08EC"/>
    <w:multiLevelType w:val="hybridMultilevel"/>
    <w:lvl w:ilvl="0">
      <w:lvlJc w:val="left"/>
      <w:lvlText w:val="(%1)"/>
      <w:numFmt w:val="lowerLetter"/>
      <w:start w:val="1"/>
    </w:lvl>
  </w:abstractNum>
  <w:abstractNum w:abstractNumId="169">
    <w:nsid w:val="1958BD17"/>
    <w:multiLevelType w:val="hybridMultilevel"/>
    <w:lvl w:ilvl="0">
      <w:lvlJc w:val="left"/>
      <w:lvlText w:val="(%1)"/>
      <w:numFmt w:val="lowerLetter"/>
      <w:start w:val="2"/>
    </w:lvl>
  </w:abstractNum>
  <w:abstractNum w:abstractNumId="170">
    <w:nsid w:val="4E647FE4"/>
    <w:multiLevelType w:val="hybridMultilevel"/>
    <w:lvl w:ilvl="0">
      <w:lvlJc w:val="left"/>
      <w:lvlText w:val="(%1)"/>
      <w:numFmt w:val="lowerRoman"/>
      <w:start w:val="1"/>
    </w:lvl>
  </w:abstractNum>
  <w:abstractNum w:abstractNumId="171">
    <w:nsid w:val="E0BB885"/>
    <w:multiLevelType w:val="hybridMultilevel"/>
    <w:lvl w:ilvl="0">
      <w:lvlJc w:val="left"/>
      <w:lvlText w:val="(%1)"/>
      <w:numFmt w:val="lowerRoman"/>
      <w:start w:val="10"/>
    </w:lvl>
  </w:abstractNum>
  <w:abstractNum w:abstractNumId="172">
    <w:nsid w:val="565976F1"/>
    <w:multiLevelType w:val="hybridMultilevel"/>
    <w:lvl w:ilvl="0">
      <w:lvlJc w:val="left"/>
      <w:lvlText w:val="(%1)"/>
      <w:numFmt w:val="lowerRoman"/>
      <w:start w:val="3"/>
    </w:lvl>
  </w:abstractNum>
  <w:abstractNum w:abstractNumId="173">
    <w:nsid w:val="64212B8C"/>
    <w:multiLevelType w:val="hybridMultilevel"/>
    <w:lvl w:ilvl="0">
      <w:lvlJc w:val="left"/>
      <w:lvlText w:val="(%1)"/>
      <w:numFmt w:val="lowerLetter"/>
      <w:start w:val="4"/>
    </w:lvl>
  </w:abstractNum>
  <w:abstractNum w:abstractNumId="174">
    <w:nsid w:val="5C17530C"/>
    <w:multiLevelType w:val="hybridMultilevel"/>
    <w:lvl w:ilvl="0">
      <w:lvlJc w:val="left"/>
      <w:lvlText w:val="(%1)"/>
      <w:numFmt w:val="lowerLetter"/>
      <w:start w:val="5"/>
    </w:lvl>
  </w:abstractNum>
  <w:abstractNum w:abstractNumId="175">
    <w:nsid w:val="19A52566"/>
    <w:multiLevelType w:val="hybridMultilevel"/>
    <w:lvl w:ilvl="0">
      <w:lvlJc w:val="left"/>
      <w:lvlText w:val="(%1)"/>
      <w:numFmt w:val="lowerRoman"/>
      <w:start w:val="1"/>
    </w:lvl>
    <w:lvl w:ilvl="1">
      <w:lvlJc w:val="left"/>
      <w:lvlText w:val="(%2)"/>
      <w:numFmt w:val="lowerRoman"/>
      <w:start w:val="10"/>
    </w:lvl>
  </w:abstractNum>
  <w:abstractNum w:abstractNumId="176">
    <w:nsid w:val="335A1DF1"/>
    <w:multiLevelType w:val="hybridMultilevel"/>
    <w:lvl w:ilvl="0">
      <w:lvlJc w:val="left"/>
      <w:lvlText w:val="(%1)"/>
      <w:numFmt w:val="lowerLetter"/>
      <w:start w:val="6"/>
    </w:lvl>
  </w:abstractNum>
  <w:abstractNum w:abstractNumId="177">
    <w:nsid w:val="28677B7C"/>
    <w:multiLevelType w:val="hybridMultilevel"/>
    <w:lvl w:ilvl="0">
      <w:lvlJc w:val="left"/>
      <w:lvlText w:val="(%1)"/>
      <w:numFmt w:val="lowerLetter"/>
      <w:start w:val="8"/>
    </w:lvl>
  </w:abstractNum>
  <w:abstractNum w:abstractNumId="178">
    <w:nsid w:val="378D97C0"/>
    <w:multiLevelType w:val="hybridMultilevel"/>
    <w:lvl w:ilvl="0">
      <w:lvlJc w:val="left"/>
      <w:lvlText w:val="%1"/>
      <w:numFmt w:val="lowerLetter"/>
      <w:start w:val="1"/>
    </w:lvl>
    <w:lvl w:ilvl="1">
      <w:lvlJc w:val="left"/>
      <w:lvlText w:val="%2."/>
      <w:numFmt w:val="decimal"/>
      <w:start w:val="20"/>
    </w:lvl>
  </w:abstractNum>
  <w:abstractNum w:abstractNumId="179">
    <w:nsid w:val="1D91467C"/>
    <w:multiLevelType w:val="hybridMultilevel"/>
    <w:lvl w:ilvl="0">
      <w:lvlJc w:val="left"/>
      <w:lvlText w:val="(%1)"/>
      <w:numFmt w:val="lowerLetter"/>
      <w:start w:val="1"/>
    </w:lvl>
    <w:lvl w:ilvl="1">
      <w:lvlJc w:val="left"/>
      <w:lvlText w:val="%2."/>
      <w:numFmt w:val="decimal"/>
      <w:start w:val="21"/>
    </w:lvl>
  </w:abstractNum>
  <w:abstractNum w:abstractNumId="180">
    <w:nsid w:val="316032BB"/>
    <w:multiLevelType w:val="hybridMultilevel"/>
    <w:lvl w:ilvl="0">
      <w:lvlJc w:val="left"/>
      <w:lvlText w:val="%1."/>
      <w:numFmt w:val="decimal"/>
      <w:start w:val="23"/>
    </w:lvl>
  </w:abstractNum>
  <w:abstractNum w:abstractNumId="181">
    <w:nsid w:val="44344C22"/>
    <w:multiLevelType w:val="hybridMultilevel"/>
    <w:lvl w:ilvl="0">
      <w:lvlJc w:val="left"/>
      <w:lvlText w:val="%1"/>
      <w:numFmt w:val="lowerLetter"/>
      <w:start w:val="1"/>
    </w:lvl>
    <w:lvl w:ilvl="1">
      <w:lvlJc w:val="left"/>
      <w:lvlText w:val="%2."/>
      <w:numFmt w:val="decimal"/>
      <w:start w:val="1"/>
    </w:lvl>
  </w:abstractNum>
  <w:abstractNum w:abstractNumId="182">
    <w:nsid w:val="13CDFCFC"/>
    <w:multiLevelType w:val="hybridMultilevel"/>
    <w:lvl w:ilvl="0">
      <w:lvlJc w:val="left"/>
      <w:lvlText w:val="(%1)"/>
      <w:numFmt w:val="lowerLetter"/>
      <w:start w:val="1"/>
    </w:lvl>
    <w:lvl w:ilvl="1">
      <w:lvlJc w:val="left"/>
      <w:lvlText w:val="%2"/>
      <w:numFmt w:val="decimal"/>
      <w:start w:val="1"/>
    </w:lvl>
  </w:abstractNum>
  <w:abstractNum w:abstractNumId="183">
    <w:nsid w:val="471745E4"/>
    <w:multiLevelType w:val="hybridMultilevel"/>
    <w:lvl w:ilvl="0">
      <w:lvlJc w:val="left"/>
      <w:lvlText w:val="1"/>
      <w:numFmt w:val="bullet"/>
      <w:start w:val="1"/>
    </w:lvl>
  </w:abstractNum>
  <w:abstractNum w:abstractNumId="184">
    <w:nsid w:val="1DDBC66"/>
    <w:multiLevelType w:val="hybridMultilevel"/>
    <w:lvl w:ilvl="0">
      <w:lvlJc w:val="left"/>
      <w:lvlText w:val="(%1)"/>
      <w:numFmt w:val="lowerLetter"/>
      <w:start w:val="3"/>
    </w:lvl>
    <w:lvl w:ilvl="1">
      <w:lvlJc w:val="left"/>
      <w:lvlText w:val="%2."/>
      <w:numFmt w:val="decimal"/>
      <w:start w:val="3"/>
    </w:lvl>
  </w:abstractNum>
  <w:abstractNum w:abstractNumId="185">
    <w:nsid w:val="30AADFDA"/>
    <w:multiLevelType w:val="hybridMultilevel"/>
    <w:lvl w:ilvl="0">
      <w:lvlJc w:val="left"/>
      <w:lvlText w:val="2"/>
      <w:numFmt w:val="bullet"/>
      <w:start w:val="1"/>
    </w:lvl>
  </w:abstractNum>
  <w:abstractNum w:abstractNumId="186">
    <w:nsid w:val="30EADA61"/>
    <w:multiLevelType w:val="hybridMultilevel"/>
    <w:lvl w:ilvl="0">
      <w:lvlJc w:val="left"/>
      <w:lvlText w:val="%1."/>
      <w:numFmt w:val="decimal"/>
      <w:start w:val="4"/>
    </w:lvl>
  </w:abstractNum>
  <w:abstractNum w:abstractNumId="187">
    <w:nsid w:val="27179C0B"/>
    <w:multiLevelType w:val="hybridMultilevel"/>
    <w:lvl w:ilvl="0">
      <w:lvlJc w:val="left"/>
      <w:lvlText w:val="%1."/>
      <w:numFmt w:val="decimal"/>
      <w:start w:val="5"/>
    </w:lvl>
  </w:abstractNum>
  <w:abstractNum w:abstractNumId="188">
    <w:nsid w:val="5E636063"/>
    <w:multiLevelType w:val="hybridMultilevel"/>
    <w:lvl w:ilvl="0">
      <w:lvlJc w:val="left"/>
      <w:lvlText w:val="%1."/>
      <w:numFmt w:val="decimal"/>
      <w:start w:val="8"/>
    </w:lvl>
  </w:abstractNum>
  <w:abstractNum w:abstractNumId="189">
    <w:nsid w:val="215641AF"/>
    <w:multiLevelType w:val="hybridMultilevel"/>
    <w:lvl w:ilvl="0">
      <w:lvlJc w:val="left"/>
      <w:lvlText w:val="%1."/>
      <w:numFmt w:val="decimal"/>
      <w:start w:val="1"/>
    </w:lvl>
  </w:abstractNum>
  <w:abstractNum w:abstractNumId="190">
    <w:nsid w:val="53280662"/>
    <w:multiLevelType w:val="hybridMultilevel"/>
    <w:lvl w:ilvl="0">
      <w:lvlJc w:val="left"/>
      <w:lvlText w:val="%1."/>
      <w:numFmt w:val="decimal"/>
      <w:start w:val="1"/>
    </w:lvl>
  </w:abstractNum>
  <w:abstractNum w:abstractNumId="191">
    <w:nsid w:val="46B24DBC"/>
    <w:multiLevelType w:val="hybridMultilevel"/>
    <w:lvl w:ilvl="0">
      <w:lvlJc w:val="left"/>
      <w:lvlText w:val="%1."/>
      <w:numFmt w:val="decimal"/>
      <w:start w:val="3"/>
    </w:lvl>
  </w:abstractNum>
  <w:abstractNum w:abstractNumId="192">
    <w:nsid w:val="75B52783"/>
    <w:multiLevelType w:val="hybridMultilevel"/>
    <w:lvl w:ilvl="0">
      <w:lvlJc w:val="left"/>
      <w:lvlText w:val="%1."/>
      <w:numFmt w:val="decimal"/>
      <w:start w:val="5"/>
    </w:lvl>
  </w:abstractNum>
  <w:abstractNum w:abstractNumId="193">
    <w:nsid w:val="57CE66B4"/>
    <w:multiLevelType w:val="hybridMultilevel"/>
    <w:lvl w:ilvl="0">
      <w:lvlJc w:val="left"/>
      <w:lvlText w:val="%1."/>
      <w:numFmt w:val="decimal"/>
      <w:start w:val="6"/>
    </w:lvl>
  </w:abstractNum>
  <w:abstractNum w:abstractNumId="194">
    <w:nsid w:val="67A70B69"/>
    <w:multiLevelType w:val="hybridMultilevel"/>
    <w:lvl w:ilvl="0">
      <w:lvlJc w:val="left"/>
      <w:lvlText w:val="%1"/>
      <w:numFmt w:val="lowerLetter"/>
      <w:start w:val="1"/>
    </w:lvl>
    <w:lvl w:ilvl="1">
      <w:lvlJc w:val="left"/>
      <w:lvlText w:val="%2."/>
      <w:numFmt w:val="decimal"/>
      <w:start w:val="1"/>
    </w:lvl>
  </w:abstractNum>
  <w:abstractNum w:abstractNumId="195">
    <w:nsid w:val="5953172F"/>
    <w:multiLevelType w:val="hybridMultilevel"/>
    <w:lvl w:ilvl="0">
      <w:lvlJc w:val="left"/>
      <w:lvlText w:val="(%1)"/>
      <w:numFmt w:val="lowerLetter"/>
      <w:start w:val="1"/>
    </w:lvl>
    <w:lvl w:ilvl="1">
      <w:lvlJc w:val="left"/>
      <w:lvlText w:val="%2"/>
      <w:numFmt w:val="decimal"/>
      <w:start w:val="1"/>
    </w:lvl>
  </w:abstractNum>
  <w:abstractNum w:abstractNumId="196">
    <w:nsid w:val="27EDFE3A"/>
    <w:multiLevelType w:val="hybridMultilevel"/>
    <w:lvl w:ilvl="0">
      <w:lvlJc w:val="left"/>
      <w:lvlText w:val="(%1)"/>
      <w:numFmt w:val="lowerLetter"/>
      <w:start w:val="2"/>
    </w:lvl>
    <w:lvl w:ilvl="1">
      <w:lvlJc w:val="left"/>
      <w:lvlText w:val="(%2)"/>
      <w:numFmt w:val="lowerLetter"/>
      <w:start w:val="2"/>
    </w:lvl>
    <w:lvl w:ilvl="2">
      <w:lvlJc w:val="left"/>
      <w:lvlText w:val="%3."/>
      <w:numFmt w:val="decimal"/>
      <w:start w:val="4"/>
    </w:lvl>
    <w:lvl w:ilvl="3">
      <w:lvlJc w:val="left"/>
      <w:lvlText w:val="(%4)"/>
      <w:numFmt w:val="lowerRoman"/>
      <w:start w:val="1"/>
    </w:lvl>
  </w:abstractNum>
  <w:abstractNum w:abstractNumId="197">
    <w:nsid w:val="52AC7DFF"/>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198">
    <w:nsid w:val="C4C3AF"/>
    <w:multiLevelType w:val="hybridMultilevel"/>
    <w:lvl w:ilvl="0">
      <w:lvlJc w:val="left"/>
      <w:lvlText w:val="(%1)"/>
      <w:numFmt w:val="lowerRoman"/>
      <w:start w:val="1"/>
    </w:lvl>
    <w:lvl w:ilvl="1">
      <w:lvlJc w:val="left"/>
      <w:lvlText w:val="%2."/>
      <w:numFmt w:val="decimal"/>
      <w:start w:val="1"/>
    </w:lvl>
  </w:abstractNum>
  <w:abstractNum w:abstractNumId="199">
    <w:nsid w:val="44380727"/>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lowerLetter"/>
      <w:start w:val="9"/>
    </w:lvl>
  </w:abstractNum>
  <w:abstractNum w:abstractNumId="200">
    <w:nsid w:val="6C053B16"/>
    <w:multiLevelType w:val="hybridMultilevel"/>
    <w:lvl w:ilvl="0">
      <w:lvlJc w:val="left"/>
      <w:lvlText w:val="(%1)"/>
      <w:numFmt w:val="lowerLetter"/>
      <w:start w:val="2"/>
    </w:lvl>
    <w:lvl w:ilvl="1">
      <w:lvlJc w:val="left"/>
      <w:lvlText w:val="(%2)"/>
      <w:numFmt w:val="lowerLetter"/>
      <w:start w:val="9"/>
    </w:lvl>
    <w:lvl w:ilvl="2">
      <w:lvlJc w:val="left"/>
      <w:lvlText w:val="%3."/>
      <w:numFmt w:val="decimal"/>
      <w:start w:val="1"/>
    </w:lvl>
    <w:lvl w:ilvl="3">
      <w:lvlJc w:val="left"/>
      <w:lvlText w:val="(%4)"/>
      <w:numFmt w:val="lowerLetter"/>
      <w:start w:val="24"/>
    </w:lvl>
  </w:abstractNum>
  <w:abstractNum w:abstractNumId="201">
    <w:nsid w:val="4F29439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decimal"/>
      <w:start w:val="1"/>
    </w:lvl>
    <w:lvl w:ilvl="4">
      <w:lvlJc w:val="left"/>
      <w:lvlText w:val="%5"/>
      <w:numFmt w:val="lowerLetter"/>
      <w:start w:val="1"/>
    </w:lvl>
    <w:lvl w:ilvl="5">
      <w:lvlJc w:val="left"/>
      <w:lvlText w:val="%6."/>
      <w:numFmt w:val="decimal"/>
      <w:start w:val="2"/>
    </w:lvl>
    <w:lvl w:ilvl="6">
      <w:lvlJc w:val="left"/>
      <w:lvlText w:val="(%7)"/>
      <w:numFmt w:val="decimal"/>
      <w:start w:val="2"/>
    </w:lvl>
  </w:abstractNum>
  <w:abstractNum w:abstractNumId="202">
    <w:nsid w:val="5243BFA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decimal"/>
      <w:start w:val="1"/>
    </w:lvl>
    <w:lvl w:ilvl="4">
      <w:lvlJc w:val="left"/>
      <w:lvlText w:val="(%5)"/>
      <w:numFmt w:val="lowerLetter"/>
      <w:start w:val="35"/>
    </w:lvl>
    <w:lvl w:ilvl="5">
      <w:lvlJc w:val="left"/>
      <w:lvlText w:val="%6"/>
      <w:numFmt w:val="decimal"/>
      <w:start w:val="1"/>
    </w:lvl>
    <w:lvl w:ilvl="6">
      <w:lvlJc w:val="left"/>
      <w:lvlText w:val="%7"/>
      <w:numFmt w:val="decimal"/>
      <w:start w:val="1"/>
    </w:lvl>
  </w:abstractNum>
  <w:abstractNum w:abstractNumId="203">
    <w:nsid w:val="425EB20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lvl w:ilvl="3">
      <w:lvlJc w:val="left"/>
      <w:lvlText w:val="%4."/>
      <w:numFmt w:val="decimal"/>
      <w:start w:val="7"/>
    </w:lvl>
    <w:lvl w:ilvl="4">
      <w:lvlJc w:val="left"/>
      <w:lvlText w:val="%5"/>
      <w:numFmt w:val="lowerLetter"/>
      <w:start w:val="1"/>
    </w:lvl>
    <w:lvl w:ilvl="5">
      <w:lvlJc w:val="left"/>
      <w:lvlText w:val="%6"/>
      <w:numFmt w:val="decimal"/>
      <w:start w:val="1"/>
    </w:lvl>
    <w:lvl w:ilvl="6">
      <w:lvlJc w:val="left"/>
      <w:lvlText w:val="%7"/>
      <w:numFmt w:val="decimal"/>
      <w:start w:val="1"/>
    </w:lvl>
  </w:abstractNum>
  <w:abstractNum w:abstractNumId="204">
    <w:nsid w:val="334A6F1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decimal"/>
      <w:start w:val="1"/>
    </w:lvl>
    <w:lvl w:ilvl="4">
      <w:lvlJc w:val="left"/>
      <w:lvlText w:val="%5"/>
      <w:numFmt w:val="lowerLetter"/>
      <w:start w:val="1"/>
    </w:lvl>
    <w:lvl w:ilvl="5">
      <w:lvlJc w:val="left"/>
      <w:lvlText w:val="%6"/>
      <w:numFmt w:val="decimal"/>
      <w:start w:val="1"/>
    </w:lvl>
    <w:lvl w:ilvl="6">
      <w:lvlJc w:val="left"/>
      <w:lvlText w:val="%7"/>
      <w:numFmt w:val="decimal"/>
      <w:start w:val="1"/>
    </w:lvl>
  </w:abstractNum>
  <w:abstractNum w:abstractNumId="205">
    <w:nsid w:val="2E5B12B8"/>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lvl w:ilvl="3">
      <w:lvlJc w:val="left"/>
      <w:lvlText w:val="%4"/>
      <w:numFmt w:val="decimal"/>
      <w:start w:val="1"/>
    </w:lvl>
    <w:lvl w:ilvl="4">
      <w:lvlJc w:val="left"/>
      <w:lvlText w:val="%5"/>
      <w:numFmt w:val="lowerLetter"/>
      <w:start w:val="1"/>
    </w:lvl>
    <w:lvl w:ilvl="5">
      <w:lvlJc w:val="left"/>
      <w:lvlText w:val="%6"/>
      <w:numFmt w:val="decimal"/>
      <w:start w:val="1"/>
    </w:lvl>
    <w:lvl w:ilvl="6">
      <w:lvlJc w:val="left"/>
      <w:lvlText w:val="%7"/>
      <w:numFmt w:val="decimal"/>
      <w:start w:val="1"/>
    </w:lvl>
  </w:abstractNum>
  <w:abstractNum w:abstractNumId="206">
    <w:nsid w:val="5C03D76D"/>
    <w:multiLevelType w:val="hybridMultilevel"/>
    <w:lvl w:ilvl="0">
      <w:lvlJc w:val="left"/>
      <w:lvlText w:val="(%1)"/>
      <w:numFmt w:val="lowerLetter"/>
      <w:start w:val="2"/>
    </w:lvl>
    <w:lvl w:ilvl="1">
      <w:lvlJc w:val="left"/>
      <w:lvlText w:val="(%2)"/>
      <w:numFmt w:val="lowerLetter"/>
    </w:lvl>
    <w:lvl w:ilvl="2">
      <w:lvlJc w:val="left"/>
      <w:lvlText w:val="%3."/>
      <w:numFmt w:val="decimal"/>
      <w:start w:val="8"/>
    </w:lvl>
    <w:lvl w:ilvl="3">
      <w:lvlJc w:val="left"/>
      <w:lvlText w:val="(%4)"/>
      <w:numFmt w:val="lowerRoman"/>
      <w:start w:val="1"/>
    </w:lvl>
  </w:abstractNum>
  <w:abstractNum w:abstractNumId="207">
    <w:nsid w:val="66A48D11"/>
    <w:multiLevelType w:val="hybridMultilevel"/>
    <w:lvl w:ilvl="0">
      <w:lvlJc w:val="left"/>
      <w:lvlText w:val="%1"/>
      <w:numFmt w:val="lowerLetter"/>
      <w:start w:val="1"/>
    </w:lvl>
    <w:lvl w:ilvl="1">
      <w:lvlJc w:val="left"/>
      <w:lvlText w:val="(%2)"/>
      <w:numFmt w:val="lowerRoman"/>
      <w:start w:val="4"/>
    </w:lvl>
  </w:abstractNum>
  <w:abstractNum w:abstractNumId="208">
    <w:nsid w:val="56C28E34"/>
    <w:multiLevelType w:val="hybridMultilevel"/>
    <w:lvl w:ilvl="0">
      <w:lvlJc w:val="left"/>
      <w:lvlText w:val="(%1)"/>
      <w:numFmt w:val="lowerLetter"/>
      <w:start w:val="2"/>
    </w:lvl>
    <w:lvl w:ilvl="1">
      <w:lvlJc w:val="left"/>
      <w:lvlText w:val="%2"/>
      <w:numFmt w:val="lowerRoman"/>
      <w:start w:val="1"/>
    </w:lvl>
  </w:abstractNum>
  <w:abstractNum w:abstractNumId="209">
    <w:nsid w:val="13916F2D"/>
    <w:multiLevelType w:val="hybridMultilevel"/>
    <w:lvl w:ilvl="0">
      <w:lvlJc w:val="left"/>
      <w:lvlText w:val="%1"/>
      <w:numFmt w:val="lowerLetter"/>
      <w:start w:val="1"/>
    </w:lvl>
    <w:lvl w:ilvl="1">
      <w:lvlJc w:val="left"/>
      <w:lvlText w:val="%2."/>
      <w:numFmt w:val="decimal"/>
      <w:start w:val="9"/>
    </w:lvl>
  </w:abstractNum>
  <w:abstractNum w:abstractNumId="210">
    <w:nsid w:val="435D38D"/>
    <w:multiLevelType w:val="hybridMultilevel"/>
    <w:lvl w:ilvl="0">
      <w:lvlJc w:val="left"/>
      <w:lvlText w:val="(%1)"/>
      <w:numFmt w:val="lowerLetter"/>
      <w:start w:val="1"/>
    </w:lvl>
    <w:lvl w:ilvl="1">
      <w:lvlJc w:val="left"/>
      <w:lvlText w:val="%2"/>
      <w:numFmt w:val="decimal"/>
      <w:start w:val="1"/>
    </w:lvl>
  </w:abstractNum>
  <w:abstractNum w:abstractNumId="211">
    <w:nsid w:val="822C0EF"/>
    <w:multiLevelType w:val="hybridMultilevel"/>
    <w:lvl w:ilvl="0">
      <w:lvlJc w:val="left"/>
      <w:lvlText w:val="(%1)"/>
      <w:numFmt w:val="lowerLetter"/>
      <w:start w:val="3"/>
    </w:lvl>
    <w:lvl w:ilvl="1">
      <w:lvlJc w:val="left"/>
      <w:lvlText w:val="%2."/>
      <w:numFmt w:val="decimal"/>
      <w:start w:val="10"/>
    </w:lvl>
  </w:abstractNum>
  <w:abstractNum w:abstractNumId="212">
    <w:nsid w:val="57C5BB4F"/>
    <w:multiLevelType w:val="hybridMultilevel"/>
    <w:lvl w:ilvl="0">
      <w:lvlJc w:val="left"/>
      <w:lvlText w:val="%1"/>
      <w:numFmt w:val="lowerRoman"/>
      <w:start w:val="1"/>
    </w:lvl>
    <w:lvl w:ilvl="1">
      <w:lvlJc w:val="left"/>
      <w:lvlText w:val="(%2)"/>
      <w:numFmt w:val="lowerLetter"/>
      <w:start w:val="1"/>
    </w:lvl>
  </w:abstractNum>
  <w:abstractNum w:abstractNumId="213">
    <w:nsid w:val="1803D089"/>
    <w:multiLevelType w:val="hybridMultilevel"/>
    <w:lvl w:ilvl="0">
      <w:lvlJc w:val="left"/>
      <w:lvlText w:val="(%1)"/>
      <w:numFmt w:val="lowerRoman"/>
      <w:start w:val="6"/>
    </w:lvl>
    <w:lvl w:ilvl="1">
      <w:lvlJc w:val="left"/>
      <w:lvlText w:val="%2"/>
      <w:numFmt w:val="lowerLetter"/>
      <w:start w:val="1"/>
    </w:lvl>
  </w:abstractNum>
  <w:abstractNum w:abstractNumId="214">
    <w:nsid w:val="4F3A06D4"/>
    <w:multiLevelType w:val="hybridMultilevel"/>
    <w:lvl w:ilvl="0">
      <w:lvlJc w:val="left"/>
      <w:lvlText w:val="(%1)"/>
      <w:numFmt w:val="lowerRoman"/>
      <w:start w:val="8"/>
    </w:lvl>
    <w:lvl w:ilvl="1">
      <w:lvlJc w:val="left"/>
      <w:lvlText w:val="%2"/>
      <w:numFmt w:val="lowerLetter"/>
      <w:start w:val="1"/>
    </w:lvl>
  </w:abstractNum>
  <w:abstractNum w:abstractNumId="215">
    <w:nsid w:val="59A377B6"/>
    <w:multiLevelType w:val="hybridMultilevel"/>
    <w:lvl w:ilvl="0">
      <w:lvlJc w:val="left"/>
      <w:lvlText w:val="(%1)"/>
      <w:numFmt w:val="lowerLetter"/>
      <w:start w:val="3"/>
    </w:lvl>
    <w:lvl w:ilvl="1">
      <w:lvlJc w:val="left"/>
      <w:lvlText w:val="%2."/>
      <w:numFmt w:val="decimal"/>
      <w:start w:val="11"/>
    </w:lvl>
  </w:abstractNum>
  <w:abstractNum w:abstractNumId="216">
    <w:nsid w:val="48AEB063"/>
    <w:multiLevelType w:val="hybridMultilevel"/>
    <w:lvl w:ilvl="0">
      <w:lvlJc w:val="left"/>
      <w:lvlText w:val="(%1)"/>
      <w:numFmt w:val="lowerLetter"/>
      <w:start w:val="1"/>
    </w:lvl>
    <w:lvl w:ilvl="1">
      <w:lvlJc w:val="left"/>
      <w:lvlText w:val="(%2)"/>
      <w:numFmt w:val="lowerLetter"/>
      <w:start w:val="9"/>
    </w:lvl>
  </w:abstractNum>
  <w:abstractNum w:abstractNumId="217">
    <w:nsid w:val="24E135"/>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lvl w:ilvl="3">
      <w:lvlJc w:val="left"/>
      <w:lvlText w:val="(%4)"/>
      <w:numFmt w:val="decimal"/>
      <w:start w:val="30"/>
    </w:lvl>
  </w:abstractNum>
  <w:abstractNum w:abstractNumId="218">
    <w:nsid w:val="BB13C1"/>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lvl w:ilvl="3">
      <w:lvlJc w:val="left"/>
      <w:lvlText w:val="(%4)"/>
      <w:numFmt w:val="decimal"/>
      <w:start w:val="30"/>
    </w:lvl>
  </w:abstractNum>
  <w:abstractNum w:abstractNumId="219">
    <w:nsid w:val="271210C7"/>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61"/>
    </w:lvl>
    <w:lvl w:ilvl="3">
      <w:lvlJc w:val="left"/>
      <w:lvlText w:val="%4"/>
      <w:numFmt w:val="decimal"/>
      <w:start w:val="1"/>
    </w:lvl>
  </w:abstractNum>
  <w:abstractNum w:abstractNumId="220">
    <w:nsid w:val="217B22E4"/>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2"/>
    </w:lvl>
    <w:lvl w:ilvl="3">
      <w:lvlJc w:val="left"/>
      <w:lvlText w:val="%4"/>
      <w:numFmt w:val="decimal"/>
      <w:start w:val="1"/>
    </w:lvl>
  </w:abstractNum>
  <w:abstractNum w:abstractNumId="221">
    <w:nsid w:val="53E31A24"/>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lvl w:ilvl="3">
      <w:lvlJc w:val="left"/>
      <w:lvlText w:val="%4"/>
      <w:numFmt w:val="decimal"/>
      <w:start w:val="1"/>
    </w:lvl>
  </w:abstractNum>
  <w:abstractNum w:abstractNumId="222">
    <w:nsid w:val="6DC45E83"/>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24"/>
    </w:lvl>
  </w:abstractNum>
  <w:abstractNum w:abstractNumId="223">
    <w:nsid w:val="17304A67"/>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5"/>
    </w:lvl>
  </w:abstractNum>
  <w:abstractNum w:abstractNumId="224">
    <w:nsid w:val="2BB180D8"/>
    <w:multiLevelType w:val="hybridMultilevel"/>
    <w:lvl w:ilvl="0">
      <w:lvlJc w:val="left"/>
      <w:lvlText w:val="%1"/>
      <w:numFmt w:val="lowerLetter"/>
      <w:start w:val="1"/>
    </w:lvl>
    <w:lvl w:ilvl="1">
      <w:lvlJc w:val="left"/>
      <w:lvlText w:val="(%2)"/>
      <w:numFmt w:val="lowerRoman"/>
      <w:start w:val="6"/>
    </w:lvl>
    <w:lvl w:ilvl="2">
      <w:lvlJc w:val="left"/>
      <w:lvlText w:val="%3"/>
      <w:numFmt w:val="lowerLetter"/>
      <w:start w:val="1"/>
    </w:lvl>
  </w:abstractNum>
  <w:abstractNum w:abstractNumId="225">
    <w:nsid w:val="556B69ED"/>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1"/>
    </w:lvl>
  </w:abstractNum>
  <w:abstractNum w:abstractNumId="226">
    <w:nsid w:val="70836196"/>
    <w:multiLevelType w:val="hybridMultilevel"/>
    <w:lvl w:ilvl="0">
      <w:lvlJc w:val="left"/>
      <w:lvlText w:val="%1"/>
      <w:numFmt w:val="decimal"/>
      <w:start w:val="1"/>
    </w:lvl>
    <w:lvl w:ilvl="1">
      <w:lvlJc w:val="left"/>
      <w:lvlText w:val="%2"/>
      <w:numFmt w:val="lowerLetter"/>
      <w:start w:val="1"/>
    </w:lvl>
    <w:lvl w:ilvl="2">
      <w:lvlJc w:val="left"/>
      <w:lvlText w:val="%3."/>
      <w:numFmt w:val="decimal"/>
      <w:start w:val="12"/>
    </w:lvl>
  </w:abstractNum>
  <w:abstractNum w:abstractNumId="227">
    <w:nsid w:val="539F7F12"/>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28">
    <w:nsid w:val="2817E7EC"/>
    <w:multiLevelType w:val="hybridMultilevel"/>
    <w:lvl w:ilvl="0">
      <w:lvlJc w:val="left"/>
      <w:lvlText w:val="%1."/>
      <w:numFmt w:val="decimal"/>
      <w:start w:val="14"/>
    </w:lvl>
    <w:lvl w:ilvl="1">
      <w:lvlJc w:val="left"/>
      <w:lvlText w:val="%2"/>
      <w:numFmt w:val="lowerLetter"/>
      <w:start w:val="1"/>
    </w:lvl>
    <w:lvl w:ilvl="2">
      <w:lvlJc w:val="left"/>
      <w:lvlText w:val="%3."/>
      <w:numFmt w:val="decimal"/>
      <w:start w:val="15"/>
    </w:lvl>
  </w:abstractNum>
  <w:abstractNum w:abstractNumId="229">
    <w:nsid w:val="71482545"/>
    <w:multiLevelType w:val="hybridMultilevel"/>
    <w:lvl w:ilvl="0">
      <w:lvlJc w:val="left"/>
      <w:lvlText w:val="%1"/>
      <w:numFmt w:val="lowerLetter"/>
      <w:start w:val="1"/>
    </w:lvl>
    <w:lvl w:ilvl="1">
      <w:lvlJc w:val="left"/>
      <w:lvlText w:val="%2."/>
      <w:numFmt w:val="decimal"/>
      <w:start w:val="16"/>
    </w:lvl>
  </w:abstractNum>
  <w:abstractNum w:abstractNumId="230">
    <w:nsid w:val="17D78639"/>
    <w:multiLevelType w:val="hybridMultilevel"/>
    <w:lvl w:ilvl="0">
      <w:lvlJc w:val="left"/>
      <w:lvlText w:val="(%1)"/>
      <w:numFmt w:val="lowerLetter"/>
      <w:start w:val="1"/>
    </w:lvl>
    <w:lvl w:ilvl="1">
      <w:lvlJc w:val="left"/>
      <w:lvlText w:val="%2."/>
      <w:numFmt w:val="decimal"/>
      <w:start w:val="18"/>
    </w:lvl>
  </w:abstractNum>
  <w:abstractNum w:abstractNumId="231">
    <w:nsid w:val="141D2302"/>
    <w:multiLevelType w:val="hybridMultilevel"/>
    <w:lvl w:ilvl="0">
      <w:lvlJc w:val="left"/>
      <w:lvlText w:val="(%1)"/>
      <w:numFmt w:val="lowerLetter"/>
      <w:start w:val="1"/>
    </w:lvl>
  </w:abstractNum>
  <w:abstractNum w:abstractNumId="232">
    <w:nsid w:val="407168D8"/>
    <w:multiLevelType w:val="hybridMultilevel"/>
    <w:lvl w:ilvl="0">
      <w:lvlJc w:val="left"/>
      <w:lvlText w:val="(%1)"/>
      <w:numFmt w:val="lowerLetter"/>
      <w:start w:val="2"/>
    </w:lvl>
    <w:lvl w:ilvl="1">
      <w:lvlJc w:val="left"/>
      <w:lvlText w:val="%2."/>
      <w:numFmt w:val="decimal"/>
      <w:start w:val="19"/>
    </w:lvl>
  </w:abstractNum>
  <w:abstractNum w:abstractNumId="233">
    <w:nsid w:val="6A1B45E5"/>
    <w:multiLevelType w:val="hybridMultilevel"/>
    <w:lvl w:ilvl="0">
      <w:lvlJc w:val="left"/>
      <w:lvlText w:val="(%1)"/>
      <w:numFmt w:val="lowerLetter"/>
      <w:start w:val="1"/>
    </w:lvl>
  </w:abstractNum>
  <w:abstractNum w:abstractNumId="234">
    <w:nsid w:val="567BD50A"/>
    <w:multiLevelType w:val="hybridMultilevel"/>
    <w:lvl w:ilvl="0">
      <w:lvlJc w:val="left"/>
      <w:lvlText w:val="(%1)"/>
      <w:numFmt w:val="lowerLetter"/>
      <w:start w:val="2"/>
    </w:lvl>
    <w:lvl w:ilvl="1">
      <w:lvlJc w:val="left"/>
      <w:lvlText w:val="(%2)"/>
      <w:numFmt w:val="lowerRoman"/>
      <w:start w:val="1"/>
    </w:lvl>
  </w:abstractNum>
  <w:abstractNum w:abstractNumId="235">
    <w:nsid w:val="73BBD7F8"/>
    <w:multiLevelType w:val="hybridMultilevel"/>
    <w:lvl w:ilvl="0">
      <w:lvlJc w:val="left"/>
      <w:lvlText w:val="%1"/>
      <w:numFmt w:val="lowerLetter"/>
      <w:start w:val="1"/>
    </w:lvl>
    <w:lvl w:ilvl="1">
      <w:lvlJc w:val="left"/>
      <w:lvlText w:val="(%2)"/>
      <w:numFmt w:val="lowerRoman"/>
      <w:start w:val="3"/>
    </w:lvl>
  </w:abstractNum>
  <w:abstractNum w:abstractNumId="236">
    <w:nsid w:val="1876589D"/>
    <w:multiLevelType w:val="hybridMultilevel"/>
    <w:lvl w:ilvl="0">
      <w:lvlJc w:val="left"/>
      <w:lvlText w:val="(%1)"/>
      <w:numFmt w:val="lowerLetter"/>
      <w:start w:val="4"/>
    </w:lvl>
    <w:lvl w:ilvl="1">
      <w:lvlJc w:val="left"/>
      <w:lvlText w:val="(%2)"/>
      <w:numFmt w:val="lowerRoman"/>
      <w:start w:val="1"/>
    </w:lvl>
  </w:abstractNum>
  <w:abstractNum w:abstractNumId="237">
    <w:nsid w:val="327FAC77"/>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lowerLetter"/>
      <w:start w:val="61"/>
    </w:lvl>
  </w:abstractNum>
  <w:abstractNum w:abstractNumId="238">
    <w:nsid w:val="5A606509"/>
    <w:multiLevelType w:val="hybridMultilevel"/>
    <w:lvl w:ilvl="0">
      <w:lvlJc w:val="left"/>
      <w:lvlText w:val="%1"/>
      <w:numFmt w:val="lowerLetter"/>
      <w:start w:val="1"/>
    </w:lvl>
    <w:lvl w:ilvl="1">
      <w:lvlJc w:val="left"/>
      <w:lvlText w:val="(%2)"/>
      <w:numFmt w:val="lowerLetter"/>
      <w:start w:val="6"/>
    </w:lvl>
    <w:lvl w:ilvl="2">
      <w:lvlJc w:val="left"/>
      <w:lvlText w:val="%3."/>
      <w:numFmt w:val="decimal"/>
      <w:start w:val="20"/>
    </w:lvl>
    <w:lvl w:ilvl="3">
      <w:lvlJc w:val="left"/>
      <w:lvlText w:val="%4"/>
      <w:numFmt w:val="lowerLetter"/>
      <w:start w:val="1"/>
    </w:lvl>
  </w:abstractNum>
  <w:abstractNum w:abstractNumId="239">
    <w:nsid w:val="6F38E6D1"/>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240">
    <w:nsid w:val="46111BA5"/>
    <w:multiLevelType w:val="hybridMultilevel"/>
    <w:lvl w:ilvl="0">
      <w:lvlJc w:val="left"/>
      <w:lvlText w:val="(%1)"/>
      <w:numFmt w:val="lowerLetter"/>
      <w:start w:val="2"/>
    </w:lvl>
    <w:lvl w:ilvl="1">
      <w:lvlJc w:val="left"/>
      <w:lvlText w:val="(%2)"/>
      <w:numFmt w:val="lowerLetter"/>
    </w:lvl>
    <w:lvl w:ilvl="2">
      <w:lvlJc w:val="left"/>
      <w:lvlText w:val="%3."/>
      <w:numFmt w:val="decimal"/>
      <w:start w:val="21"/>
    </w:lvl>
  </w:abstractNum>
  <w:abstractNum w:abstractNumId="241">
    <w:nsid w:val="5E963896"/>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2"/>
    </w:lvl>
  </w:abstractNum>
  <w:abstractNum w:abstractNumId="242">
    <w:nsid w:val="775BA7C1"/>
    <w:multiLevelType w:val="hybridMultilevel"/>
    <w:lvl w:ilvl="0">
      <w:lvlJc w:val="left"/>
      <w:lvlText w:val="%1."/>
      <w:numFmt w:val="decimal"/>
      <w:start w:val="24"/>
    </w:lvl>
  </w:abstractNum>
  <w:abstractNum w:abstractNumId="243">
    <w:nsid w:val="1DD6D6F4"/>
    <w:multiLevelType w:val="hybridMultilevel"/>
    <w:lvl w:ilvl="0">
      <w:lvlJc w:val="left"/>
      <w:lvlText w:val="%1"/>
      <w:numFmt w:val="lowerLetter"/>
      <w:start w:val="1"/>
    </w:lvl>
    <w:lvl w:ilvl="1">
      <w:lvlJc w:val="left"/>
      <w:lvlText w:val="%2."/>
      <w:numFmt w:val="decimal"/>
      <w:start w:val="1"/>
    </w:lvl>
  </w:abstractNum>
  <w:abstractNum w:abstractNumId="244">
    <w:nsid w:val="769A091F"/>
    <w:multiLevelType w:val="hybridMultilevel"/>
    <w:lvl w:ilvl="0">
      <w:lvlJc w:val="left"/>
      <w:lvlText w:val="(%1)"/>
      <w:numFmt w:val="lowerLetter"/>
      <w:start w:val="1"/>
    </w:lvl>
    <w:lvl w:ilvl="1">
      <w:lvlJc w:val="left"/>
      <w:lvlText w:val="%2"/>
      <w:numFmt w:val="decimal"/>
      <w:start w:val="1"/>
    </w:lvl>
  </w:abstractNum>
  <w:abstractNum w:abstractNumId="245">
    <w:nsid w:val="4695AE95"/>
    <w:multiLevelType w:val="hybridMultilevel"/>
    <w:lvl w:ilvl="0">
      <w:lvlJc w:val="left"/>
      <w:lvlText w:val="(%1)"/>
      <w:numFmt w:val="lowerLetter"/>
      <w:start w:val="2"/>
    </w:lvl>
  </w:abstractNum>
  <w:abstractNum w:abstractNumId="246">
    <w:nsid w:val="777A4EAA"/>
    <w:multiLevelType w:val="hybridMultilevel"/>
    <w:lvl w:ilvl="0">
      <w:lvlJc w:val="left"/>
      <w:lvlText w:val="%1"/>
      <w:numFmt w:val="lowerLetter"/>
      <w:start w:val="1"/>
    </w:lvl>
    <w:lvl w:ilvl="1">
      <w:lvlJc w:val="left"/>
      <w:lvlText w:val="(%2)"/>
      <w:numFmt w:val="lowerLetter"/>
      <w:start w:val="3"/>
    </w:lvl>
  </w:abstractNum>
  <w:abstractNum w:abstractNumId="247">
    <w:nsid w:val="3F48B982"/>
    <w:multiLevelType w:val="hybridMultilevel"/>
    <w:lvl w:ilvl="0">
      <w:lvlJc w:val="left"/>
      <w:lvlText w:val="(%1)"/>
      <w:numFmt w:val="lowerLetter"/>
      <w:start w:val="61"/>
    </w:lvl>
    <w:lvl w:ilvl="1">
      <w:lvlJc w:val="left"/>
      <w:lvlText w:val="%2"/>
      <w:numFmt w:val="lowerLetter"/>
      <w:start w:val="1"/>
    </w:lvl>
  </w:abstractNum>
  <w:abstractNum w:abstractNumId="248">
    <w:nsid w:val="46BA8FCA"/>
    <w:multiLevelType w:val="hybridMultilevel"/>
    <w:lvl w:ilvl="0">
      <w:lvlJc w:val="left"/>
      <w:lvlText w:val="(%1)"/>
      <w:numFmt w:val="lowerLetter"/>
      <w:start w:val="4"/>
    </w:lvl>
  </w:abstractNum>
  <w:abstractNum w:abstractNumId="249">
    <w:nsid w:val="7835626C"/>
    <w:multiLevelType w:val="hybridMultilevel"/>
    <w:lvl w:ilvl="0">
      <w:lvlJc w:val="left"/>
      <w:lvlText w:val="2"/>
      <w:numFmt w:val="bullet"/>
      <w:start w:val="1"/>
    </w:lvl>
  </w:abstractNum>
  <w:abstractNum w:abstractNumId="250">
    <w:nsid w:val="665ACA49"/>
    <w:multiLevelType w:val="hybridMultilevel"/>
    <w:lvl w:ilvl="0">
      <w:lvlJc w:val="left"/>
      <w:lvlText w:val="%1."/>
      <w:numFmt w:val="decimal"/>
      <w:start w:val="3"/>
    </w:lvl>
  </w:abstractNum>
  <w:abstractNum w:abstractNumId="251">
    <w:nsid w:val="6835B2AE"/>
    <w:multiLevelType w:val="hybridMultilevel"/>
    <w:lvl w:ilvl="0">
      <w:lvlJc w:val="left"/>
      <w:lvlText w:val="%1."/>
      <w:numFmt w:val="decimal"/>
      <w:start w:val="5"/>
    </w:lvl>
  </w:abstractNum>
  <w:abstractNum w:abstractNumId="252">
    <w:nsid w:val="4C187C90"/>
    <w:multiLevelType w:val="hybridMultilevel"/>
    <w:lvl w:ilvl="0">
      <w:lvlJc w:val="left"/>
      <w:lvlText w:val="%1."/>
      <w:numFmt w:val="decimal"/>
      <w:start w:val="8"/>
    </w:lvl>
  </w:abstractNum>
  <w:abstractNum w:abstractNumId="253">
    <w:nsid w:val="541F28CD"/>
    <w:multiLevelType w:val="hybridMultilevel"/>
    <w:lvl w:ilvl="0">
      <w:lvlJc w:val="left"/>
      <w:lvlText w:val="%1."/>
      <w:numFmt w:val="decimal"/>
      <w:start w:val="1"/>
    </w:lvl>
  </w:abstractNum>
  <w:abstractNum w:abstractNumId="254">
    <w:nsid w:val="7F65FD16"/>
    <w:multiLevelType w:val="hybridMultilevel"/>
    <w:lvl w:ilvl="0">
      <w:lvlJc w:val="left"/>
      <w:lvlText w:val="%1."/>
      <w:numFmt w:val="decimal"/>
      <w:start w:val="1"/>
    </w:lvl>
  </w:abstractNum>
  <w:abstractNum w:abstractNumId="255">
    <w:nsid w:val="77C9FD68"/>
    <w:multiLevelType w:val="hybridMultilevel"/>
    <w:lvl w:ilvl="0">
      <w:lvlJc w:val="left"/>
      <w:lvlText w:val="%1."/>
      <w:numFmt w:val="decimal"/>
      <w:start w:val="3"/>
    </w:lvl>
  </w:abstractNum>
  <w:abstractNum w:abstractNumId="256">
    <w:nsid w:val="298A92BA"/>
    <w:multiLevelType w:val="hybridMultilevel"/>
    <w:lvl w:ilvl="0">
      <w:lvlJc w:val="left"/>
      <w:lvlText w:val="%1."/>
      <w:numFmt w:val="decimal"/>
      <w:start w:val="5"/>
    </w:lvl>
  </w:abstractNum>
  <w:abstractNum w:abstractNumId="257">
    <w:nsid w:val="6FE95EAC"/>
    <w:multiLevelType w:val="hybridMultilevel"/>
    <w:lvl w:ilvl="0">
      <w:lvlJc w:val="left"/>
      <w:lvlText w:val="%1."/>
      <w:numFmt w:val="decimal"/>
      <w:start w:val="6"/>
    </w:lvl>
  </w:abstractNum>
  <w:abstractNum w:abstractNumId="258">
    <w:nsid w:val="4B697C7A"/>
    <w:multiLevelType w:val="hybridMultilevel"/>
    <w:lvl w:ilvl="0">
      <w:lvlJc w:val="left"/>
      <w:lvlText w:val="•"/>
      <w:numFmt w:val="bullet"/>
      <w:start w:val="1"/>
    </w:lvl>
  </w:abstractNum>
  <w:abstractNum w:abstractNumId="259">
    <w:nsid w:val="51A27AA6"/>
    <w:multiLevelType w:val="hybridMultilevel"/>
    <w:lvl w:ilvl="0">
      <w:lvlJc w:val="left"/>
      <w:lvlText w:val="o"/>
      <w:numFmt w:val="bullet"/>
      <w:start w:val="1"/>
    </w:lvl>
  </w:abstractNum>
  <w:abstractNum w:abstractNumId="260">
    <w:nsid w:val="613183F2"/>
    <w:multiLevelType w:val="hybridMultilevel"/>
    <w:lvl w:ilvl="0">
      <w:lvlJc w:val="left"/>
      <w:lvlText w:val="1"/>
      <w:numFmt w:val="bullet"/>
      <w:start w:val="1"/>
    </w:lvl>
  </w:abstractNum>
  <w:abstractNum w:abstractNumId="261">
    <w:nsid w:val="634102B4"/>
    <w:multiLevelType w:val="hybridMultilevel"/>
    <w:lvl w:ilvl="0">
      <w:lvlJc w:val="left"/>
      <w:lvlText w:val="o"/>
      <w:numFmt w:val="bullet"/>
      <w:start w:val="1"/>
    </w:lvl>
  </w:abstractNum>
  <w:abstractNum w:abstractNumId="262">
    <w:nsid w:val="65BF9DA8"/>
    <w:multiLevelType w:val="hybridMultilevel"/>
    <w:lvl w:ilvl="0">
      <w:lvlJc w:val="left"/>
      <w:lvlText w:val="o"/>
      <w:numFmt w:val="bullet"/>
      <w:start w:val="1"/>
    </w:lvl>
  </w:abstractNum>
  <w:abstractNum w:abstractNumId="263">
    <w:nsid w:val="21A2ECCA"/>
    <w:multiLevelType w:val="hybridMultilevel"/>
    <w:lvl w:ilvl="0">
      <w:lvlJc w:val="left"/>
      <w:lvlText w:val="%1."/>
      <w:numFmt w:val="decimal"/>
      <w:start w:val="1"/>
    </w:lvl>
    <w:lvl w:ilvl="1">
      <w:lvlJc w:val="left"/>
      <w:lvlText w:val="(%2)"/>
      <w:numFmt w:val="lowerLetter"/>
      <w:start w:val="1"/>
    </w:lvl>
  </w:abstractNum>
  <w:abstractNum w:abstractNumId="264">
    <w:nsid w:val="4D5C4899"/>
    <w:multiLevelType w:val="hybridMultilevel"/>
    <w:lvl w:ilvl="0">
      <w:lvlJc w:val="left"/>
      <w:lvlText w:val="%1."/>
      <w:numFmt w:val="decimal"/>
      <w:start w:val="1"/>
    </w:lvl>
    <w:lvl w:ilvl="1">
      <w:lvlJc w:val="left"/>
      <w:lvlText w:val="(%2)"/>
      <w:numFmt w:val="lowerLetter"/>
      <w:start w:val="1"/>
    </w:lvl>
  </w:abstractNum>
  <w:abstractNum w:abstractNumId="265">
    <w:nsid w:val="3C3B72B2"/>
    <w:multiLevelType w:val="hybridMultilevel"/>
    <w:lvl w:ilvl="0">
      <w:lvlJc w:val="left"/>
      <w:lvlText w:val="%1."/>
      <w:numFmt w:val="decimal"/>
      <w:start w:val="1"/>
    </w:lvl>
  </w:abstractNum>
  <w:abstractNum w:abstractNumId="266">
    <w:nsid w:val="155EC4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81" Type="http://schemas.openxmlformats.org/officeDocument/2006/relationships/image" Target="media/image164.png"/><Relationship Id="rId182" Type="http://schemas.openxmlformats.org/officeDocument/2006/relationships/image" Target="media/image165.png"/><Relationship Id="rId201" Type="http://schemas.openxmlformats.org/officeDocument/2006/relationships/image" Target="media/image166.png"/><Relationship Id="rId202" Type="http://schemas.openxmlformats.org/officeDocument/2006/relationships/image" Target="media/image167.png"/><Relationship Id="rId218" Type="http://schemas.openxmlformats.org/officeDocument/2006/relationships/image" Target="media/image168.png"/><Relationship Id="rId219" Type="http://schemas.openxmlformats.org/officeDocument/2006/relationships/image" Target="media/image169.png"/><Relationship Id="rId235" Type="http://schemas.openxmlformats.org/officeDocument/2006/relationships/image" Target="media/image170.png"/><Relationship Id="rId236" Type="http://schemas.openxmlformats.org/officeDocument/2006/relationships/image" Target="media/image171.png"/><Relationship Id="rId239" Type="http://schemas.openxmlformats.org/officeDocument/2006/relationships/image" Target="media/image172.png"/><Relationship Id="rId240" Type="http://schemas.openxmlformats.org/officeDocument/2006/relationships/image" Target="media/image173.png"/><Relationship Id="rId241" Type="http://schemas.openxmlformats.org/officeDocument/2006/relationships/image" Target="media/image174.png"/><Relationship Id="rId242" Type="http://schemas.openxmlformats.org/officeDocument/2006/relationships/image" Target="media/image175.png"/><Relationship Id="rId243" Type="http://schemas.openxmlformats.org/officeDocument/2006/relationships/image" Target="media/image176.png"/><Relationship Id="rId244" Type="http://schemas.openxmlformats.org/officeDocument/2006/relationships/image" Target="media/image177.png"/><Relationship Id="rId245" Type="http://schemas.openxmlformats.org/officeDocument/2006/relationships/image" Target="media/image178.png"/><Relationship Id="rId246" Type="http://schemas.openxmlformats.org/officeDocument/2006/relationships/image" Target="media/image179.png"/><Relationship Id="rId247" Type="http://schemas.openxmlformats.org/officeDocument/2006/relationships/image" Target="media/image180.png"/><Relationship Id="rId248" Type="http://schemas.openxmlformats.org/officeDocument/2006/relationships/image" Target="media/image181.png"/><Relationship Id="rId249" Type="http://schemas.openxmlformats.org/officeDocument/2006/relationships/image" Target="media/image182.jpeg"/><Relationship Id="rId250" Type="http://schemas.openxmlformats.org/officeDocument/2006/relationships/image" Target="media/image183.jpeg"/><Relationship Id="rId251" Type="http://schemas.openxmlformats.org/officeDocument/2006/relationships/image" Target="media/image184.png"/><Relationship Id="rId252" Type="http://schemas.openxmlformats.org/officeDocument/2006/relationships/image" Target="media/image185.png"/><Relationship Id="rId253" Type="http://schemas.openxmlformats.org/officeDocument/2006/relationships/image" Target="media/image186.png"/><Relationship Id="rId254" Type="http://schemas.openxmlformats.org/officeDocument/2006/relationships/image" Target="media/image187.png"/><Relationship Id="rId255" Type="http://schemas.openxmlformats.org/officeDocument/2006/relationships/image" Target="media/image188.png"/><Relationship Id="rId256" Type="http://schemas.openxmlformats.org/officeDocument/2006/relationships/image" Target="media/image189.png"/><Relationship Id="rId257" Type="http://schemas.openxmlformats.org/officeDocument/2006/relationships/image" Target="media/image190.png"/><Relationship Id="rId258" Type="http://schemas.openxmlformats.org/officeDocument/2006/relationships/image" Target="media/image191.png"/><Relationship Id="rId259" Type="http://schemas.openxmlformats.org/officeDocument/2006/relationships/image" Target="media/image192.jpeg"/><Relationship Id="rId260" Type="http://schemas.openxmlformats.org/officeDocument/2006/relationships/image" Target="media/image193.jpeg"/><Relationship Id="rId261" Type="http://schemas.openxmlformats.org/officeDocument/2006/relationships/image" Target="media/image194.png"/><Relationship Id="rId262" Type="http://schemas.openxmlformats.org/officeDocument/2006/relationships/image" Target="media/image195.png"/><Relationship Id="rId263" Type="http://schemas.openxmlformats.org/officeDocument/2006/relationships/image" Target="media/image196.jpeg"/><Relationship Id="rId264" Type="http://schemas.openxmlformats.org/officeDocument/2006/relationships/image" Target="media/image197.jpeg"/><Relationship Id="rId265" Type="http://schemas.openxmlformats.org/officeDocument/2006/relationships/image" Target="media/image198.png"/><Relationship Id="rId266" Type="http://schemas.openxmlformats.org/officeDocument/2006/relationships/image" Target="media/image199.png"/><Relationship Id="rId267" Type="http://schemas.openxmlformats.org/officeDocument/2006/relationships/image" Target="media/image200.png"/><Relationship Id="rId268" Type="http://schemas.openxmlformats.org/officeDocument/2006/relationships/image" Target="media/image201.png"/><Relationship Id="rId269" Type="http://schemas.openxmlformats.org/officeDocument/2006/relationships/image" Target="media/image202.png"/><Relationship Id="rId270" Type="http://schemas.openxmlformats.org/officeDocument/2006/relationships/image" Target="media/image203.png"/><Relationship Id="rId271" Type="http://schemas.openxmlformats.org/officeDocument/2006/relationships/image" Target="media/image204.png"/><Relationship Id="rId272" Type="http://schemas.openxmlformats.org/officeDocument/2006/relationships/image" Target="media/image205.png"/><Relationship Id="rId273" Type="http://schemas.openxmlformats.org/officeDocument/2006/relationships/image" Target="media/image206.png"/><Relationship Id="rId274" Type="http://schemas.openxmlformats.org/officeDocument/2006/relationships/image" Target="media/image207.jpeg"/><Relationship Id="rId275" Type="http://schemas.openxmlformats.org/officeDocument/2006/relationships/image" Target="media/image208.jpeg"/><Relationship Id="rId276" Type="http://schemas.openxmlformats.org/officeDocument/2006/relationships/image" Target="media/image209.png"/><Relationship Id="rId277" Type="http://schemas.openxmlformats.org/officeDocument/2006/relationships/image" Target="media/image210.png"/><Relationship Id="rId278" Type="http://schemas.openxmlformats.org/officeDocument/2006/relationships/image" Target="media/image211.jpeg"/><Relationship Id="rId279" Type="http://schemas.openxmlformats.org/officeDocument/2006/relationships/image" Target="media/image212.jpeg"/><Relationship Id="rId280" Type="http://schemas.openxmlformats.org/officeDocument/2006/relationships/image" Target="media/image213.png"/><Relationship Id="rId281" Type="http://schemas.openxmlformats.org/officeDocument/2006/relationships/image" Target="media/image214.png"/><Relationship Id="rId282" Type="http://schemas.openxmlformats.org/officeDocument/2006/relationships/image" Target="media/image215.png"/><Relationship Id="rId283" Type="http://schemas.openxmlformats.org/officeDocument/2006/relationships/image" Target="media/image216.png"/><Relationship Id="rId284" Type="http://schemas.openxmlformats.org/officeDocument/2006/relationships/image" Target="media/image217.png"/><Relationship Id="rId285" Type="http://schemas.openxmlformats.org/officeDocument/2006/relationships/image" Target="media/image218.png"/><Relationship Id="rId286" Type="http://schemas.openxmlformats.org/officeDocument/2006/relationships/image" Target="media/image219.png"/><Relationship Id="rId287" Type="http://schemas.openxmlformats.org/officeDocument/2006/relationships/image" Target="media/image220.jpeg"/><Relationship Id="rId288" Type="http://schemas.openxmlformats.org/officeDocument/2006/relationships/image" Target="media/image221.jpeg"/><Relationship Id="rId289" Type="http://schemas.openxmlformats.org/officeDocument/2006/relationships/image" Target="media/image222.png"/><Relationship Id="rId290" Type="http://schemas.openxmlformats.org/officeDocument/2006/relationships/image" Target="media/image223.png"/><Relationship Id="rId291" Type="http://schemas.openxmlformats.org/officeDocument/2006/relationships/image" Target="media/image224.jpeg"/><Relationship Id="rId292" Type="http://schemas.openxmlformats.org/officeDocument/2006/relationships/image" Target="media/image225.png"/><Relationship Id="rId293" Type="http://schemas.openxmlformats.org/officeDocument/2006/relationships/image" Target="media/image226.png"/><Relationship Id="rId294" Type="http://schemas.openxmlformats.org/officeDocument/2006/relationships/image" Target="media/image227.png"/><Relationship Id="rId295" Type="http://schemas.openxmlformats.org/officeDocument/2006/relationships/image" Target="media/image228.png"/><Relationship Id="rId296" Type="http://schemas.openxmlformats.org/officeDocument/2006/relationships/image" Target="media/image229.png"/><Relationship Id="rId297" Type="http://schemas.openxmlformats.org/officeDocument/2006/relationships/image" Target="media/image230.png"/><Relationship Id="rId298" Type="http://schemas.openxmlformats.org/officeDocument/2006/relationships/image" Target="media/image231.png"/><Relationship Id="rId299" Type="http://schemas.openxmlformats.org/officeDocument/2006/relationships/image" Target="media/image232.png"/><Relationship Id="rId300" Type="http://schemas.openxmlformats.org/officeDocument/2006/relationships/image" Target="media/image233.png"/><Relationship Id="rId301" Type="http://schemas.openxmlformats.org/officeDocument/2006/relationships/image" Target="media/image234.png"/><Relationship Id="rId171" Type="http://schemas.openxmlformats.org/officeDocument/2006/relationships/hyperlink" Target="https://www.sec.gov/Archives/edgar/data/813828/000119312524177535/d860362dex21.htm" TargetMode="External"/><Relationship Id="rId172" Type="http://schemas.openxmlformats.org/officeDocument/2006/relationships/hyperlink" Target="https://www.sec.gov/Archives/edgar/data/813828/000081382824000053/para_ex3a-063024.htm" TargetMode="External"/><Relationship Id="rId173" Type="http://schemas.openxmlformats.org/officeDocument/2006/relationships/hyperlink" Target="https://www.sec.gov/Archives/edgar/data/813828/000081382824000053/para_ex3b-063024.htm" TargetMode="External"/><Relationship Id="rId174" Type="http://schemas.openxmlformats.org/officeDocument/2006/relationships/hyperlink" Target="https://www.sec.gov/Archives/edgar/data/813828/000119312521096642/d167921dex31.htm" TargetMode="External"/><Relationship Id="rId175" Type="http://schemas.openxmlformats.org/officeDocument/2006/relationships/hyperlink" Target="https://www.sec.gov/Archives/edgar/data/813828/000081382822000005/a2021q4_viacxex4b.htm" TargetMode="External"/><Relationship Id="rId176" Type="http://schemas.openxmlformats.org/officeDocument/2006/relationships/hyperlink" Target="https://www.sec.gov/Archives/edgar/data/813828/000095015708000907/ex4-1.htm" TargetMode="External"/><Relationship Id="rId177" Type="http://schemas.openxmlformats.org/officeDocument/2006/relationships/hyperlink" Target="https://www.sec.gov/Archives/edgar/data/813828/000119312510076759/dex43.htm" TargetMode="External"/><Relationship Id="rId178" Type="http://schemas.openxmlformats.org/officeDocument/2006/relationships/hyperlink" Target="https://www.sec.gov/Archives/edgar/data/1339947/000133994706000165/exhibit4_1-041206.htm" TargetMode="External"/><Relationship Id="rId179" Type="http://schemas.openxmlformats.org/officeDocument/2006/relationships/hyperlink" Target="https://www.sec.gov/Archives/edgar/data/813828/000119312519306334/d842322dex41.htm" TargetMode="External"/><Relationship Id="rId180" Type="http://schemas.openxmlformats.org/officeDocument/2006/relationships/hyperlink" Target="https://www.sec.gov/Archives/edgar/data/813828/000119312520087791/d857093dex43.htm" TargetMode="External"/><Relationship Id="rId183" Type="http://schemas.openxmlformats.org/officeDocument/2006/relationships/hyperlink" Target="https://www.sec.gov/Archives/edgar/data/813828/000119312524177535/d860362dex22.htm" TargetMode="External"/><Relationship Id="rId184" Type="http://schemas.openxmlformats.org/officeDocument/2006/relationships/hyperlink" Target="https://www.sec.gov/Archives/edgar/data/813828/000119312524177535/d860362dex101.htm" TargetMode="External"/><Relationship Id="rId185" Type="http://schemas.openxmlformats.org/officeDocument/2006/relationships/hyperlink" Target="https://www.sec.gov/Archives/edgar/data/813828/000119312524105026/d558817ddef14a.htm#toc558817_35" TargetMode="External"/><Relationship Id="rId186" Type="http://schemas.openxmlformats.org/officeDocument/2006/relationships/hyperlink" Target="https://www.sec.gov/Archives/edgar/data/813828/000104746912001373/a2207377zex-10_cii.htm" TargetMode="External"/><Relationship Id="rId187" Type="http://schemas.openxmlformats.org/officeDocument/2006/relationships/hyperlink" Target="https://www.sec.gov/Archives/edgar/data/0000813828/000081382821000005/a2020q4_viacxex10biv.htm" TargetMode="External"/><Relationship Id="rId188" Type="http://schemas.openxmlformats.org/officeDocument/2006/relationships/hyperlink" Target="https://www.sec.gov/Archives/edgar/data/813828/000081382823000015/para_ex10a-033123.htm" TargetMode="External"/><Relationship Id="rId189" Type="http://schemas.openxmlformats.org/officeDocument/2006/relationships/hyperlink" Target="https://www.sec.gov/Archives/edgar/data/813828/000081382824000020/para_ex10a-033124.htm" TargetMode="External"/><Relationship Id="rId190" Type="http://schemas.openxmlformats.org/officeDocument/2006/relationships/hyperlink" Target="https://www.sec.gov/Archives/edgar/data/0000813828/000081382821000005/a2020q4_viacxex10bv.htm" TargetMode="External"/><Relationship Id="rId191" Type="http://schemas.openxmlformats.org/officeDocument/2006/relationships/hyperlink" Target="https://www.sec.gov/Archives/edgar/data/813828/000081382823000015/para_ex10b-033123.htm" TargetMode="External"/><Relationship Id="rId192" Type="http://schemas.openxmlformats.org/officeDocument/2006/relationships/hyperlink" Target="https://www.sec.gov/Archives/edgar/data/813828/000081382823000005/a2022q4_ex10c.htm" TargetMode="External"/><Relationship Id="rId193" Type="http://schemas.openxmlformats.org/officeDocument/2006/relationships/hyperlink" Target="https://www.sec.gov/Archives/edgar/data/813828/000081382821000040/viac_ex10b-093021.htm" TargetMode="External"/><Relationship Id="rId194" Type="http://schemas.openxmlformats.org/officeDocument/2006/relationships/hyperlink" Target="https://www.sec.gov/Archives/edgar/data/813828/000094787122001066/ss1395422_ex0405.htm" TargetMode="External"/><Relationship Id="rId195" Type="http://schemas.openxmlformats.org/officeDocument/2006/relationships/hyperlink" Target="https://www.sec.gov/Archives/edgar/data/813828/000081382821000040/viac_ex10c-093021.htm" TargetMode="External"/><Relationship Id="rId196" Type="http://schemas.openxmlformats.org/officeDocument/2006/relationships/hyperlink" Target="https://www.sec.gov/Archives/edgar/data/813828/000081382823000005/a2022q4_ex10e.htm" TargetMode="External"/><Relationship Id="rId197" Type="http://schemas.openxmlformats.org/officeDocument/2006/relationships/hyperlink" Target="https://www.sec.gov/Archives/edgar/data/813828/000081382821000040/viac_ex10e-093021.htm" TargetMode="External"/><Relationship Id="rId198" Type="http://schemas.openxmlformats.org/officeDocument/2006/relationships/hyperlink" Target="https://www.sec.gov/Archives/edgar/data/813828/000094787122001066/ss1395422_ex0410.htm" TargetMode="External"/><Relationship Id="rId199" Type="http://schemas.openxmlformats.org/officeDocument/2006/relationships/hyperlink" Target="https://www.sec.gov/Archives/edgar/data/813828/000081382821000040/viac_ex10f-093021.htm" TargetMode="External"/><Relationship Id="rId200" Type="http://schemas.openxmlformats.org/officeDocument/2006/relationships/hyperlink" Target="https://www.sec.gov/Archives/edgar/data/1339947/000119312515018959/d853574ddef14a.htm#toc853574_27" TargetMode="External"/><Relationship Id="rId203" Type="http://schemas.openxmlformats.org/officeDocument/2006/relationships/hyperlink" Target="https://www.sec.gov/Archives/edgar/data/1339947/000133994716000099/exhibit10-3.htm" TargetMode="External"/><Relationship Id="rId204" Type="http://schemas.openxmlformats.org/officeDocument/2006/relationships/hyperlink" Target="https://www.sec.gov/Archives/edgar/data/813828/000081382823000005/a2022q4_ex10j.htm" TargetMode="External"/><Relationship Id="rId205" Type="http://schemas.openxmlformats.org/officeDocument/2006/relationships/hyperlink" Target="https://www.sec.gov/Archives/edgar/data/813828/000081382821000040/viac_ex10a-093021.htm" TargetMode="External"/><Relationship Id="rId206" Type="http://schemas.openxmlformats.org/officeDocument/2006/relationships/hyperlink" Target="https://www.sec.gov/Archives/edgar/data/813828/000081382821000040/viac_ex10d-093021.htm" TargetMode="External"/><Relationship Id="rId207" Type="http://schemas.openxmlformats.org/officeDocument/2006/relationships/hyperlink" Target="https://www.sec.gov/Archives/edgar/data/813828/000081382823000005/a2022q4_ex10m.htm" TargetMode="External"/><Relationship Id="rId208" Type="http://schemas.openxmlformats.org/officeDocument/2006/relationships/hyperlink" Target="https://www.sec.gov/Archives/edgar/data/813828/000081382809000192/directorindem_ag.htm" TargetMode="External"/><Relationship Id="rId209" Type="http://schemas.openxmlformats.org/officeDocument/2006/relationships/hyperlink" Target="https://www.sec.gov/Archives/edgar/data/813828/000081382815000009/cbs_ex10k-123114.htm" TargetMode="External"/><Relationship Id="rId210" Type="http://schemas.openxmlformats.org/officeDocument/2006/relationships/hyperlink" Target="https://www.sec.gov/Archives/edgar/data/813828/000081382815000009/cbs_ex10m-123114.htm" TargetMode="External"/><Relationship Id="rId211" Type="http://schemas.openxmlformats.org/officeDocument/2006/relationships/hyperlink" Target="https://www.sec.gov/Archives/edgar/data/813828/000081382815000045/cbs_ex10a-063015.htm" TargetMode="External"/><Relationship Id="rId212" Type="http://schemas.openxmlformats.org/officeDocument/2006/relationships/hyperlink" Target="https://www.sec.gov/Archives/edgar/data/1339947/000119312515018959/d853574ddef14a.htm#toc853574_28" TargetMode="External"/><Relationship Id="rId213" Type="http://schemas.openxmlformats.org/officeDocument/2006/relationships/hyperlink" Target="https://www.sec.gov/Archives/edgar/data/1339947/000133994716000099/exhibit10-2.htm" TargetMode="External"/><Relationship Id="rId214" Type="http://schemas.openxmlformats.org/officeDocument/2006/relationships/hyperlink" Target="https://www.sec.gov/Archives/edgar/data/813828/000119312519268733/d804971dex104.htm" TargetMode="External"/><Relationship Id="rId215" Type="http://schemas.openxmlformats.org/officeDocument/2006/relationships/hyperlink" Target="https://www.sec.gov/Archives/edgar/data/813828/000081382824000023/ex-101.htm" TargetMode="External"/><Relationship Id="rId216" Type="http://schemas.openxmlformats.org/officeDocument/2006/relationships/hyperlink" Target="https://www.sec.gov/Archives/edgar/data/813828/000081382823000026/para_ex10a-063023.htm" TargetMode="External"/><Relationship Id="rId217" Type="http://schemas.openxmlformats.org/officeDocument/2006/relationships/hyperlink" Target="https://www.sec.gov/Archives/edgar/data/813828/000081382822000023/exhibit10a-xchristadalimon.htm" TargetMode="External"/><Relationship Id="rId220" Type="http://schemas.openxmlformats.org/officeDocument/2006/relationships/hyperlink" Target="https://www.sec.gov/Archives/edgar/data/813828/000081382822000023/exhibit10c-xnancyphillipse.htm" TargetMode="External"/><Relationship Id="rId221" Type="http://schemas.openxmlformats.org/officeDocument/2006/relationships/hyperlink" Target="https://www.sec.gov/Archives/edgar/data/813828/000081382824000053/para_ex10b-063024.htm" TargetMode="External"/><Relationship Id="rId222" Type="http://schemas.openxmlformats.org/officeDocument/2006/relationships/hyperlink" Target="https://www.sec.gov/Archives/edgar/data/813828/000081382823000036/para_ex10x1-111623.htm" TargetMode="External"/><Relationship Id="rId223" Type="http://schemas.openxmlformats.org/officeDocument/2006/relationships/hyperlink" Target="https://www.sec.gov/Archives/edgar/data/813828/000081382823000036/para_ex10x2-111623.htm" TargetMode="External"/><Relationship Id="rId224" Type="http://schemas.openxmlformats.org/officeDocument/2006/relationships/hyperlink" Target="https://www.sec.gov/Archives/edgar/data/813828/000081382824000083/exhibit101.htm" TargetMode="External"/><Relationship Id="rId225" Type="http://schemas.openxmlformats.org/officeDocument/2006/relationships/hyperlink" Target="https://www.sec.gov/Archives/edgar/data/813828/000081382819000006/cbs_ex10aa-123118.htm" TargetMode="External"/><Relationship Id="rId226" Type="http://schemas.openxmlformats.org/officeDocument/2006/relationships/hyperlink" Target="https://www.sec.gov/Archives/edgar/data/813828/000094787120000041/ss163561_ex1001.htm" TargetMode="External"/><Relationship Id="rId227" Type="http://schemas.openxmlformats.org/officeDocument/2006/relationships/hyperlink" Target="https://www.sec.gov/Archives/edgar/data/0000813828/000094787121001278/ss673432_ex1001.htm" TargetMode="External"/><Relationship Id="rId228" Type="http://schemas.openxmlformats.org/officeDocument/2006/relationships/hyperlink" Target="https://www.sec.gov/Archives/edgar/data/813828/000081382822000005/a2021q4_viacxex10hh.htm" TargetMode="External"/><Relationship Id="rId229" Type="http://schemas.openxmlformats.org/officeDocument/2006/relationships/hyperlink" Target="https://www.sec.gov/Archives/edgar/data/813828/000094787123000311/ss1849200_ex1001.htm" TargetMode="External"/><Relationship Id="rId230" Type="http://schemas.openxmlformats.org/officeDocument/2006/relationships/hyperlink" Target="https://www.sec.gov/Archives/edgar/data/813828/000119312524196053/d870058dex101.htm" TargetMode="External"/><Relationship Id="rId231" Type="http://schemas.openxmlformats.org/officeDocument/2006/relationships/hyperlink" Target="https://www.sec.gov/Archives/edgar/data/813828/000119312518269601/d622048dex10a.htm" TargetMode="External"/><Relationship Id="rId232" Type="http://schemas.openxmlformats.org/officeDocument/2006/relationships/hyperlink" Target="https://www.sec.gov/Archives/edgar/data/813828/000119312519224512/d793095dex103.htm" TargetMode="External"/><Relationship Id="rId233" Type="http://schemas.openxmlformats.org/officeDocument/2006/relationships/hyperlink" Target="https://www.sec.gov/Archives/edgar/data/813828/000119312519224512/d793095dex101.htm" TargetMode="External"/><Relationship Id="rId234" Type="http://schemas.openxmlformats.org/officeDocument/2006/relationships/hyperlink" Target="https://www.sec.gov/Archives/edgar/data/813828/000119312519224512/d793095dex102.htm" TargetMode="External"/><Relationship Id="rId237" Type="http://schemas.openxmlformats.org/officeDocument/2006/relationships/hyperlink" Target="https://www.sec.gov/Archives/edgar/data/813828/000081382823000033/para_ex10a-093023.htm" TargetMode="External"/><Relationship Id="rId238" Type="http://schemas.openxmlformats.org/officeDocument/2006/relationships/hyperlink" Target="https://www.sec.gov/Archives/edgar/data/813828/000081382824000007/a2023q4_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2025-02-26T17:21:37Z</dcterms:created>
  <dcterms:modified xsi:type="dcterms:W3CDTF">2025-02-26T17:21:37Z</dcterms:modified>
</cp:coreProperties>
</file>