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Hamill Justin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1515 BROADWAY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Paramount Skydance Corp</w:t>
              </w:r>
            </w:hyperlink>
            <w:r>
              <w:rPr/>
              <w:t xml:space="preserve"> [ </w:t>
            </w:r>
            <w:r>
              <w:rPr>
                <w:rFonts w:ascii="Times;serif" w:hAnsi="Times;serif"/>
                <w:color w:val="0000FF"/>
                <w:sz w:val="24"/>
                <w:shd w:fill="FFFFFF" w:val="clear"/>
              </w:rPr>
              <w:t>PSKY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1"/>
        <w:gridCol w:w="905"/>
        <w:gridCol w:w="774"/>
        <w:gridCol w:w="601"/>
        <w:gridCol w:w="351"/>
        <w:gridCol w:w="980"/>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46"/>
        <w:gridCol w:w="801"/>
        <w:gridCol w:w="801"/>
        <w:gridCol w:w="93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46,893</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identified in Table I were issued on July 21, 2026, upon vesting of the Restricted Stock Units ("RSUs") identified in Table II, which were granted on August 7, 2025. On July 21, 2026 the closing price of the Class B common stock on The NASDAQ Global Select Market was $8.53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Class B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RSUs will generally vest on the earlier of (i) the date of the Issuer's 2027 Annual Meeting of Stockholders and (ii) July 21, 2027, and a corresponding number of shares of Class B common stock will be delivered on the vesting date, unless the director has elected to defer receipt.</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Kyoko McKinnon,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0183" TargetMode="External"/><Relationship Id="rId5" Type="http://schemas.openxmlformats.org/officeDocument/2006/relationships/hyperlink" Target="http://www.sec.gov/cgi-bin/browse-edgar?action=getcompany&amp;CIK=00020416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720</Words>
  <Characters>3795</Characters>
  <CharactersWithSpaces>4423</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