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Byrne Barbara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1515 BROADWAY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Paramount Skydance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PSKY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7"/>
        <w:gridCol w:w="904"/>
        <w:gridCol w:w="773"/>
        <w:gridCol w:w="600"/>
        <w:gridCol w:w="349"/>
        <w:gridCol w:w="805"/>
        <w:gridCol w:w="456"/>
        <w:gridCol w:w="882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44,392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B common stock to which the Reporting Person became entitled with respect to dividend equivalents accrued on previously vested restricted stock units and that were reinvested in Class B common stock on May 8, 2026, but which have not been received because the director elected to defer receipt. On May 8, 2026, the closing price of the Class B common stock on The NASDAQ Global Select Market was $11.09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acquired periodically pursuant to a dividend reinvestment program meeting the requirements of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Kyoko McKinnon,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3238" TargetMode="External"/><Relationship Id="rId5" Type="http://schemas.openxmlformats.org/officeDocument/2006/relationships/hyperlink" Target="http://www.sec.gov/cgi-bin/browse-edgar?action=getcompany&amp;CIK=00020416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3536</Characters>
  <CharactersWithSpaces>4132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