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Washington, D.C. 20549</w:t>
      </w:r>
    </w:p>
    <w:p>
      <w:pPr>
        <w:spacing w:after="0" w:line="173" w:lineRule="exact"/>
        <w:rPr>
          <w:sz w:val="24"/>
          <w:szCs w:val="24"/>
          <w:color w:val="auto"/>
        </w:r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left="3100"/>
        <w:spacing w:after="0"/>
        <w:rPr>
          <w:sz w:val="20"/>
          <w:szCs w:val="20"/>
          <w:color w:val="auto"/>
        </w:rPr>
      </w:pPr>
      <w:r>
        <w:rPr>
          <w:rFonts w:ascii="Courier New" w:cs="Courier New" w:eastAsia="Courier New" w:hAnsi="Courier New"/>
          <w:sz w:val="14"/>
          <w:szCs w:val="14"/>
          <w:color w:val="auto"/>
        </w:rPr>
        <w:t>FORM 10-Q</w:t>
      </w:r>
    </w:p>
    <w:p>
      <w:pPr>
        <w:sectPr>
          <w:pgSz w:w="11900" w:h="16838" w:orient="portrait"/>
          <w:cols w:equalWidth="0" w:num="1">
            <w:col w:w="10239"/>
          </w:cols>
          <w:pgMar w:left="220" w:top="561" w:right="1440" w:bottom="1440" w:gutter="0" w:footer="0" w:header="0"/>
        </w:sectPr>
      </w:pPr>
    </w:p>
    <w:p>
      <w:pPr>
        <w:spacing w:after="0" w:line="173"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|X|</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QUARTERLY REPORT PURSUANT TO SECTION 13 OR 15(d) OF THE SECURITIES EXCHANGE ACT OF 1934</w:t>
      </w:r>
    </w:p>
    <w:p>
      <w:pPr>
        <w:spacing w:after="0" w:line="160" w:lineRule="exact"/>
        <w:rPr>
          <w:sz w:val="24"/>
          <w:szCs w:val="24"/>
          <w:color w:val="auto"/>
        </w:rPr>
      </w:pPr>
    </w:p>
    <w:p>
      <w:pPr>
        <w:sectPr>
          <w:pgSz w:w="11900" w:h="16838" w:orient="portrait"/>
          <w:cols w:equalWidth="0" w:num="2">
            <w:col w:w="440" w:space="340"/>
            <w:col w:w="9459"/>
          </w:cols>
          <w:pgMar w:left="220" w:top="561"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For the quarterly period ended September 30, 2001</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OR</w:t>
      </w:r>
    </w:p>
    <w:p>
      <w:pPr>
        <w:spacing w:after="0" w:line="173" w:lineRule="exact"/>
        <w:rPr>
          <w:sz w:val="24"/>
          <w:szCs w:val="24"/>
          <w:color w:val="auto"/>
        </w:rPr>
      </w:pPr>
    </w:p>
    <w:p>
      <w:pPr>
        <w:ind w:left="780" w:right="3679" w:hanging="602"/>
        <w:spacing w:after="0" w:line="255" w:lineRule="auto"/>
        <w:tabs>
          <w:tab w:leader="none" w:pos="760" w:val="left"/>
        </w:tabs>
        <w:rPr>
          <w:sz w:val="20"/>
          <w:szCs w:val="20"/>
          <w:color w:val="auto"/>
        </w:rPr>
      </w:pPr>
      <w:r>
        <w:rPr>
          <w:rFonts w:ascii="Courier New" w:cs="Courier New" w:eastAsia="Courier New" w:hAnsi="Courier New"/>
          <w:sz w:val="14"/>
          <w:szCs w:val="14"/>
          <w:color w:val="auto"/>
        </w:rPr>
        <w:t>|_|</w:t>
      </w:r>
      <w:r>
        <w:rPr>
          <w:sz w:val="20"/>
          <w:szCs w:val="20"/>
          <w:color w:val="auto"/>
        </w:rPr>
        <w:tab/>
      </w:r>
      <w:r>
        <w:rPr>
          <w:rFonts w:ascii="Courier New" w:cs="Courier New" w:eastAsia="Courier New" w:hAnsi="Courier New"/>
          <w:sz w:val="14"/>
          <w:szCs w:val="14"/>
          <w:color w:val="auto"/>
        </w:rPr>
        <w:t>TRANSITION REPORT PURSUANT TO SECTION 13 OR 15(d) OF THE SECURITIES EXCHANGE ACT OF 1934</w:t>
      </w:r>
    </w:p>
    <w:p>
      <w:pPr>
        <w:spacing w:after="0" w:line="16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For the transition period from _____________ to ____________</w:t>
      </w:r>
    </w:p>
    <w:p>
      <w:pPr>
        <w:spacing w:after="0" w:line="338"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Commission file number 1-9553</w:t>
      </w:r>
    </w:p>
    <w:p>
      <w:pPr>
        <w:spacing w:after="0" w:line="173" w:lineRule="exact"/>
        <w:rPr>
          <w:sz w:val="24"/>
          <w:szCs w:val="24"/>
          <w:color w:val="auto"/>
        </w:rPr>
      </w:pPr>
    </w:p>
    <w:p>
      <w:pPr>
        <w:ind w:left="3020"/>
        <w:spacing w:after="0"/>
        <w:rPr>
          <w:sz w:val="20"/>
          <w:szCs w:val="20"/>
          <w:color w:val="auto"/>
        </w:rPr>
      </w:pPr>
      <w:r>
        <w:rPr>
          <w:rFonts w:ascii="Courier New" w:cs="Courier New" w:eastAsia="Courier New" w:hAnsi="Courier New"/>
          <w:sz w:val="14"/>
          <w:szCs w:val="14"/>
          <w:color w:val="auto"/>
        </w:rPr>
        <w:t>VIACOM INC.</w:t>
      </w:r>
    </w:p>
    <w:p>
      <w:pPr>
        <w:spacing w:after="0" w:line="7" w:lineRule="exact"/>
        <w:rPr>
          <w:sz w:val="24"/>
          <w:szCs w:val="24"/>
          <w:color w:val="auto"/>
        </w:rPr>
      </w:pPr>
    </w:p>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1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(Exact name of registrant as specified in its charter)</w:t>
      </w:r>
    </w:p>
    <w:p>
      <w:pPr>
        <w:spacing w:after="0" w:line="338" w:lineRule="exact"/>
        <w:rPr>
          <w:sz w:val="24"/>
          <w:szCs w:val="24"/>
          <w:color w:val="auto"/>
        </w:rPr>
      </w:pPr>
    </w:p>
    <w:tbl>
      <w:tblPr>
        <w:tblLayout w:type="fixed"/>
        <w:tblInd w:w="780" w:type="dxa"/>
        <w:tblCellMar>
          <w:top w:w="0" w:type="dxa"/>
          <w:left w:w="0" w:type="dxa"/>
          <w:bottom w:w="0" w:type="dxa"/>
          <w:right w:w="0" w:type="dxa"/>
        </w:tblCellMar>
      </w:tblPr>
      <w:tr>
        <w:trPr>
          <w:trHeight w:val="162"/>
        </w:trPr>
        <w:tc>
          <w:tcPr>
            <w:tcW w:w="2540" w:type="dxa"/>
            <w:vAlign w:val="bottom"/>
          </w:tcPr>
          <w:p>
            <w:pPr>
              <w:spacing w:after="0"/>
              <w:rPr>
                <w:sz w:val="20"/>
                <w:szCs w:val="20"/>
                <w:color w:val="auto"/>
              </w:rPr>
            </w:pPr>
            <w:r>
              <w:rPr>
                <w:rFonts w:ascii="Courier New" w:cs="Courier New" w:eastAsia="Courier New" w:hAnsi="Courier New"/>
                <w:sz w:val="14"/>
                <w:szCs w:val="14"/>
                <w:color w:val="auto"/>
              </w:rPr>
              <w:t>Delaware</w:t>
            </w:r>
          </w:p>
        </w:tc>
        <w:tc>
          <w:tcPr>
            <w:tcW w:w="2720" w:type="dxa"/>
            <w:vAlign w:val="bottom"/>
          </w:tcPr>
          <w:p>
            <w:pPr>
              <w:jc w:val="right"/>
              <w:spacing w:after="0"/>
              <w:rPr>
                <w:sz w:val="20"/>
                <w:szCs w:val="20"/>
                <w:color w:val="auto"/>
              </w:rPr>
            </w:pPr>
            <w:r>
              <w:rPr>
                <w:rFonts w:ascii="Courier New" w:cs="Courier New" w:eastAsia="Courier New" w:hAnsi="Courier New"/>
                <w:sz w:val="14"/>
                <w:szCs w:val="14"/>
                <w:color w:val="auto"/>
              </w:rPr>
              <w:t>04-2949533</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24" w:lineRule="exact"/>
        <w:rPr>
          <w:sz w:val="24"/>
          <w:szCs w:val="24"/>
          <w:color w:val="auto"/>
        </w:rPr>
      </w:pPr>
    </w:p>
    <w:p>
      <w:pPr>
        <w:ind w:left="440" w:right="3679" w:hanging="85"/>
        <w:spacing w:after="0" w:line="247" w:lineRule="auto"/>
        <w:rPr>
          <w:sz w:val="20"/>
          <w:szCs w:val="20"/>
          <w:color w:val="auto"/>
        </w:rPr>
      </w:pPr>
      <w:r>
        <w:rPr>
          <w:rFonts w:ascii="Courier New" w:cs="Courier New" w:eastAsia="Courier New" w:hAnsi="Courier New"/>
          <w:sz w:val="14"/>
          <w:szCs w:val="14"/>
          <w:color w:val="auto"/>
        </w:rPr>
        <w:t>(State or other jurisdiction of</w:t>
      </w:r>
      <w:r>
        <w:rPr>
          <w:sz w:val="20"/>
          <w:szCs w:val="20"/>
          <w:color w:val="auto"/>
        </w:rPr>
        <w:t xml:space="preserve"> </w:t>
      </w:r>
      <w:r>
        <w:rPr>
          <w:rFonts w:ascii="Courier New" w:cs="Courier New" w:eastAsia="Courier New" w:hAnsi="Courier New"/>
          <w:sz w:val="14"/>
          <w:szCs w:val="14"/>
          <w:color w:val="auto"/>
        </w:rPr>
        <w:t>(I.R.S. Employer incorporation or organization) Identification No.)</w:t>
      </w:r>
    </w:p>
    <w:p>
      <w:pPr>
        <w:spacing w:after="0" w:line="334" w:lineRule="exact"/>
        <w:rPr>
          <w:sz w:val="24"/>
          <w:szCs w:val="24"/>
          <w:color w:val="auto"/>
        </w:rPr>
      </w:pPr>
    </w:p>
    <w:p>
      <w:pPr>
        <w:ind w:left="620"/>
        <w:spacing w:after="0"/>
        <w:tabs>
          <w:tab w:leader="none" w:pos="5080" w:val="left"/>
        </w:tabs>
        <w:rPr>
          <w:sz w:val="20"/>
          <w:szCs w:val="20"/>
          <w:color w:val="auto"/>
        </w:rPr>
      </w:pPr>
      <w:r>
        <w:rPr>
          <w:rFonts w:ascii="Courier New" w:cs="Courier New" w:eastAsia="Courier New" w:hAnsi="Courier New"/>
          <w:sz w:val="14"/>
          <w:szCs w:val="14"/>
          <w:color w:val="auto"/>
        </w:rPr>
        <w:t>1515 Broadway, New York, New York</w:t>
      </w:r>
      <w:r>
        <w:rPr>
          <w:sz w:val="20"/>
          <w:szCs w:val="20"/>
          <w:color w:val="auto"/>
        </w:rPr>
        <w:tab/>
      </w:r>
      <w:r>
        <w:rPr>
          <w:rFonts w:ascii="Courier New" w:cs="Courier New" w:eastAsia="Courier New" w:hAnsi="Courier New"/>
          <w:sz w:val="14"/>
          <w:szCs w:val="14"/>
          <w:color w:val="auto"/>
        </w:rPr>
        <w:t>10036</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20"/>
                <w:szCs w:val="20"/>
                <w:color w:val="auto"/>
              </w:rPr>
            </w:pPr>
            <w:r>
              <w:rPr>
                <w:rFonts w:ascii="Courier New" w:cs="Courier New" w:eastAsia="Courier New" w:hAnsi="Courier New"/>
                <w:sz w:val="14"/>
                <w:szCs w:val="14"/>
                <w:color w:val="auto"/>
              </w:rPr>
              <w:t>(Address of principal executive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offices)</w:t>
            </w: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0" w:type="dxa"/>
            <w:vAlign w:val="bottom"/>
          </w:tcPr>
          <w:p>
            <w:pPr>
              <w:ind w:left="220"/>
              <w:spacing w:after="0"/>
              <w:rPr>
                <w:sz w:val="20"/>
                <w:szCs w:val="20"/>
                <w:color w:val="auto"/>
              </w:rPr>
            </w:pPr>
            <w:r>
              <w:rPr>
                <w:rFonts w:ascii="Courier New" w:cs="Courier New" w:eastAsia="Courier New" w:hAnsi="Courier New"/>
                <w:sz w:val="14"/>
                <w:szCs w:val="14"/>
                <w:color w:val="auto"/>
              </w:rPr>
              <w:t>(Zip Code)</w:t>
            </w:r>
          </w:p>
        </w:tc>
      </w:tr>
      <w:tr>
        <w:trPr>
          <w:trHeight w:val="331"/>
        </w:trPr>
        <w:tc>
          <w:tcPr>
            <w:tcW w:w="4320" w:type="dxa"/>
            <w:vAlign w:val="bottom"/>
            <w:gridSpan w:val="3"/>
          </w:tcPr>
          <w:p>
            <w:pPr>
              <w:spacing w:after="0"/>
              <w:rPr>
                <w:sz w:val="20"/>
                <w:szCs w:val="20"/>
                <w:color w:val="auto"/>
              </w:rPr>
            </w:pPr>
            <w:r>
              <w:rPr>
                <w:rFonts w:ascii="Courier New" w:cs="Courier New" w:eastAsia="Courier New" w:hAnsi="Courier New"/>
                <w:sz w:val="14"/>
                <w:szCs w:val="14"/>
                <w:color w:val="auto"/>
              </w:rPr>
              <w:t>Registrant's telephone number, including area code</w:t>
            </w:r>
          </w:p>
        </w:tc>
        <w:tc>
          <w:tcPr>
            <w:tcW w:w="380" w:type="dxa"/>
            <w:vAlign w:val="bottom"/>
          </w:tcPr>
          <w:p>
            <w:pPr>
              <w:spacing w:after="0"/>
              <w:rPr>
                <w:sz w:val="24"/>
                <w:szCs w:val="24"/>
                <w:color w:val="auto"/>
              </w:rPr>
            </w:pPr>
          </w:p>
        </w:tc>
        <w:tc>
          <w:tcPr>
            <w:tcW w:w="2200" w:type="dxa"/>
            <w:vAlign w:val="bottom"/>
          </w:tcPr>
          <w:p>
            <w:pPr>
              <w:ind w:left="220"/>
              <w:spacing w:after="0"/>
              <w:rPr>
                <w:sz w:val="20"/>
                <w:szCs w:val="20"/>
                <w:color w:val="auto"/>
              </w:rPr>
            </w:pPr>
            <w:r>
              <w:rPr>
                <w:rFonts w:ascii="Courier New" w:cs="Courier New" w:eastAsia="Courier New" w:hAnsi="Courier New"/>
                <w:sz w:val="14"/>
                <w:szCs w:val="14"/>
                <w:color w:val="auto"/>
              </w:rPr>
              <w:t>(212) 258-6000</w:t>
            </w:r>
          </w:p>
        </w:tc>
      </w:tr>
      <w:tr>
        <w:trPr>
          <w:trHeight w:val="166"/>
        </w:trPr>
        <w:tc>
          <w:tcPr>
            <w:tcW w:w="2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720" w:type="dxa"/>
            <w:vAlign w:val="bottom"/>
          </w:tcPr>
          <w:p>
            <w:pPr>
              <w:ind w:left="780"/>
              <w:spacing w:after="0"/>
              <w:rPr>
                <w:sz w:val="20"/>
                <w:szCs w:val="20"/>
                <w:color w:val="auto"/>
              </w:rPr>
            </w:pPr>
            <w:r>
              <w:rPr>
                <w:rFonts w:ascii="Courier New" w:cs="Courier New" w:eastAsia="Courier New" w:hAnsi="Courier New"/>
                <w:sz w:val="14"/>
                <w:szCs w:val="14"/>
                <w:color w:val="auto"/>
              </w:rPr>
              <w:t>Indicate by check mark</w:t>
            </w:r>
          </w:p>
        </w:tc>
        <w:tc>
          <w:tcPr>
            <w:tcW w:w="418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whether the registrant: (1) has filed all</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reports required to be filed by</w:t>
            </w:r>
          </w:p>
        </w:tc>
        <w:tc>
          <w:tcPr>
            <w:tcW w:w="418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Section 13 or 15 (d) of the Securities Exchange</w:t>
            </w:r>
          </w:p>
        </w:tc>
      </w:tr>
      <w:tr>
        <w:trPr>
          <w:trHeight w:val="166"/>
        </w:trPr>
        <w:tc>
          <w:tcPr>
            <w:tcW w:w="4320" w:type="dxa"/>
            <w:vAlign w:val="bottom"/>
            <w:gridSpan w:val="3"/>
          </w:tcPr>
          <w:p>
            <w:pPr>
              <w:spacing w:after="0"/>
              <w:rPr>
                <w:sz w:val="20"/>
                <w:szCs w:val="20"/>
                <w:color w:val="auto"/>
              </w:rPr>
            </w:pPr>
            <w:r>
              <w:rPr>
                <w:rFonts w:ascii="Courier New" w:cs="Courier New" w:eastAsia="Courier New" w:hAnsi="Courier New"/>
                <w:sz w:val="14"/>
                <w:szCs w:val="14"/>
                <w:color w:val="auto"/>
              </w:rPr>
              <w:t>Act of 1934 during the preceding 12 months (or for</w:t>
            </w:r>
          </w:p>
        </w:tc>
        <w:tc>
          <w:tcPr>
            <w:tcW w:w="25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such shorter period that the</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registrant was required to file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such reports),</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w w:val="95"/>
              </w:rPr>
              <w:t>and</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2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has been subject to such</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filing requirements for the past 90 days Yes</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X</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No</w:t>
            </w:r>
          </w:p>
        </w:tc>
        <w:tc>
          <w:tcPr>
            <w:tcW w:w="2200" w:type="dxa"/>
            <w:vAlign w:val="bottom"/>
          </w:tcPr>
          <w:p>
            <w:pPr>
              <w:jc w:val="right"/>
              <w:ind w:right="1488"/>
              <w:spacing w:after="0"/>
              <w:rPr>
                <w:sz w:val="20"/>
                <w:szCs w:val="20"/>
                <w:color w:val="auto"/>
              </w:rPr>
            </w:pPr>
            <w:r>
              <w:rPr>
                <w:rFonts w:ascii="Courier New" w:cs="Courier New" w:eastAsia="Courier New" w:hAnsi="Courier New"/>
                <w:sz w:val="14"/>
                <w:szCs w:val="14"/>
                <w:color w:val="auto"/>
              </w:rPr>
              <w:t>.</w:t>
            </w:r>
          </w:p>
        </w:tc>
      </w:tr>
      <w:tr>
        <w:trPr>
          <w:trHeight w:val="166"/>
        </w:trPr>
        <w:tc>
          <w:tcPr>
            <w:tcW w:w="2720" w:type="dxa"/>
            <w:vAlign w:val="bottom"/>
          </w:tcPr>
          <w:p>
            <w:pPr>
              <w:spacing w:after="0"/>
              <w:rPr>
                <w:sz w:val="14"/>
                <w:szCs w:val="14"/>
                <w:color w:val="auto"/>
              </w:rPr>
            </w:pPr>
          </w:p>
        </w:tc>
        <w:tc>
          <w:tcPr>
            <w:tcW w:w="1600" w:type="dxa"/>
            <w:vAlign w:val="bottom"/>
            <w:gridSpan w:val="2"/>
          </w:tcPr>
          <w:p>
            <w:pPr>
              <w:ind w:left="1160"/>
              <w:spacing w:after="0"/>
              <w:rPr>
                <w:sz w:val="20"/>
                <w:szCs w:val="20"/>
                <w:color w:val="auto"/>
              </w:rPr>
            </w:pPr>
            <w:r>
              <w:rPr>
                <w:rFonts w:ascii="Courier New" w:cs="Courier New" w:eastAsia="Courier New" w:hAnsi="Courier New"/>
                <w:sz w:val="14"/>
                <w:szCs w:val="14"/>
                <w:color w:val="auto"/>
                <w:w w:val="99"/>
              </w:rPr>
              <w:t>-----</w:t>
            </w:r>
          </w:p>
        </w:tc>
        <w:tc>
          <w:tcPr>
            <w:tcW w:w="380" w:type="dxa"/>
            <w:vAlign w:val="bottom"/>
          </w:tcPr>
          <w:p>
            <w:pPr>
              <w:spacing w:after="0"/>
              <w:rPr>
                <w:sz w:val="14"/>
                <w:szCs w:val="14"/>
                <w:color w:val="auto"/>
              </w:rPr>
            </w:pPr>
          </w:p>
        </w:tc>
        <w:tc>
          <w:tcPr>
            <w:tcW w:w="220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Number of shares of Common Stock Outstanding at October 31, 2001:</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Class A Common Stock, par value $.01 per share - 137,387,094</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Class B Common Stock, par value $.01 per share - 1,635,952,255</w:t>
      </w:r>
    </w:p>
    <w:p>
      <w:pPr>
        <w:sectPr>
          <w:pgSz w:w="11900" w:h="16838" w:orient="portrait"/>
          <w:cols w:equalWidth="0" w:num="1">
            <w:col w:w="10239"/>
          </w:cols>
          <w:pgMar w:left="220" w:top="561"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040" w:type="dxa"/>
            <w:vAlign w:val="bottom"/>
          </w:tcPr>
          <w:p>
            <w:pPr>
              <w:spacing w:after="0"/>
              <w:rPr>
                <w:sz w:val="14"/>
                <w:szCs w:val="14"/>
                <w:color w:val="auto"/>
              </w:rPr>
            </w:pPr>
          </w:p>
        </w:tc>
        <w:tc>
          <w:tcPr>
            <w:tcW w:w="7880" w:type="dxa"/>
            <w:vAlign w:val="bottom"/>
          </w:tcPr>
          <w:p>
            <w:pPr>
              <w:ind w:left="860"/>
              <w:spacing w:after="0"/>
              <w:rPr>
                <w:sz w:val="20"/>
                <w:szCs w:val="20"/>
                <w:color w:val="auto"/>
              </w:rPr>
            </w:pPr>
            <w:r>
              <w:rPr>
                <w:rFonts w:ascii="Courier New" w:cs="Courier New" w:eastAsia="Courier New" w:hAnsi="Courier New"/>
                <w:sz w:val="14"/>
                <w:szCs w:val="14"/>
                <w:color w:val="auto"/>
              </w:rPr>
              <w:t>VIACOM INC.</w:t>
            </w:r>
          </w:p>
        </w:tc>
        <w:tc>
          <w:tcPr>
            <w:tcW w:w="1000" w:type="dxa"/>
            <w:vAlign w:val="bottom"/>
          </w:tcPr>
          <w:p>
            <w:pPr>
              <w:spacing w:after="0"/>
              <w:rPr>
                <w:sz w:val="14"/>
                <w:szCs w:val="14"/>
                <w:color w:val="auto"/>
              </w:rPr>
            </w:pPr>
          </w:p>
        </w:tc>
      </w:tr>
      <w:tr>
        <w:trPr>
          <w:trHeight w:val="166"/>
        </w:trPr>
        <w:tc>
          <w:tcPr>
            <w:tcW w:w="1040" w:type="dxa"/>
            <w:vAlign w:val="bottom"/>
          </w:tcPr>
          <w:p>
            <w:pPr>
              <w:spacing w:after="0"/>
              <w:rPr>
                <w:sz w:val="14"/>
                <w:szCs w:val="14"/>
                <w:color w:val="auto"/>
              </w:rPr>
            </w:pPr>
          </w:p>
        </w:tc>
        <w:tc>
          <w:tcPr>
            <w:tcW w:w="7880" w:type="dxa"/>
            <w:vAlign w:val="bottom"/>
          </w:tcPr>
          <w:p>
            <w:pPr>
              <w:ind w:left="520"/>
              <w:spacing w:after="0"/>
              <w:rPr>
                <w:sz w:val="20"/>
                <w:szCs w:val="20"/>
                <w:color w:val="auto"/>
              </w:rPr>
            </w:pPr>
            <w:r>
              <w:rPr>
                <w:rFonts w:ascii="Courier New" w:cs="Courier New" w:eastAsia="Courier New" w:hAnsi="Courier New"/>
                <w:sz w:val="14"/>
                <w:szCs w:val="14"/>
                <w:color w:val="auto"/>
              </w:rPr>
              <w:t>INDEX TO FORM 10-Q</w:t>
            </w:r>
          </w:p>
        </w:tc>
        <w:tc>
          <w:tcPr>
            <w:tcW w:w="1000" w:type="dxa"/>
            <w:vAlign w:val="bottom"/>
          </w:tcPr>
          <w:p>
            <w:pPr>
              <w:spacing w:after="0"/>
              <w:rPr>
                <w:sz w:val="14"/>
                <w:szCs w:val="14"/>
                <w:color w:val="auto"/>
              </w:rPr>
            </w:pPr>
          </w:p>
        </w:tc>
      </w:tr>
      <w:tr>
        <w:trPr>
          <w:trHeight w:val="663"/>
        </w:trPr>
        <w:tc>
          <w:tcPr>
            <w:tcW w:w="104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497"/>
        </w:trPr>
        <w:tc>
          <w:tcPr>
            <w:tcW w:w="1040" w:type="dxa"/>
            <w:vAlign w:val="bottom"/>
          </w:tcPr>
          <w:p>
            <w:pPr>
              <w:spacing w:after="0"/>
              <w:rPr>
                <w:sz w:val="24"/>
                <w:szCs w:val="24"/>
                <w:color w:val="auto"/>
              </w:rPr>
            </w:pPr>
          </w:p>
        </w:tc>
        <w:tc>
          <w:tcPr>
            <w:tcW w:w="7880" w:type="dxa"/>
            <w:vAlign w:val="bottom"/>
          </w:tcPr>
          <w:p>
            <w:pPr>
              <w:ind w:left="440"/>
              <w:spacing w:after="0"/>
              <w:rPr>
                <w:sz w:val="20"/>
                <w:szCs w:val="20"/>
                <w:color w:val="auto"/>
              </w:rPr>
            </w:pPr>
            <w:r>
              <w:rPr>
                <w:rFonts w:ascii="Courier New" w:cs="Courier New" w:eastAsia="Courier New" w:hAnsi="Courier New"/>
                <w:sz w:val="14"/>
                <w:szCs w:val="14"/>
                <w:color w:val="auto"/>
              </w:rPr>
              <w:t>PART I - FINANCIAL INFORMATION</w:t>
            </w:r>
          </w:p>
        </w:tc>
        <w:tc>
          <w:tcPr>
            <w:tcW w:w="1000" w:type="dxa"/>
            <w:vAlign w:val="bottom"/>
          </w:tcPr>
          <w:p>
            <w:pPr>
              <w:spacing w:after="0"/>
              <w:rPr>
                <w:sz w:val="24"/>
                <w:szCs w:val="24"/>
                <w:color w:val="auto"/>
              </w:rPr>
            </w:pPr>
          </w:p>
        </w:tc>
      </w:tr>
      <w:tr>
        <w:trPr>
          <w:trHeight w:val="331"/>
        </w:trPr>
        <w:tc>
          <w:tcPr>
            <w:tcW w:w="1040" w:type="dxa"/>
            <w:vAlign w:val="bottom"/>
          </w:tcPr>
          <w:p>
            <w:pPr>
              <w:spacing w:after="0"/>
              <w:rPr>
                <w:sz w:val="20"/>
                <w:szCs w:val="20"/>
                <w:color w:val="auto"/>
              </w:rPr>
            </w:pPr>
            <w:r>
              <w:rPr>
                <w:rFonts w:ascii="Courier New" w:cs="Courier New" w:eastAsia="Courier New" w:hAnsi="Courier New"/>
                <w:sz w:val="14"/>
                <w:szCs w:val="14"/>
                <w:color w:val="auto"/>
              </w:rPr>
              <w:t>Item 1.</w:t>
            </w:r>
          </w:p>
        </w:tc>
        <w:tc>
          <w:tcPr>
            <w:tcW w:w="7880" w:type="dxa"/>
            <w:vAlign w:val="bottom"/>
          </w:tcPr>
          <w:p>
            <w:pPr>
              <w:ind w:left="440"/>
              <w:spacing w:after="0"/>
              <w:rPr>
                <w:sz w:val="20"/>
                <w:szCs w:val="20"/>
                <w:color w:val="auto"/>
              </w:rPr>
            </w:pPr>
            <w:r>
              <w:rPr>
                <w:rFonts w:ascii="Courier New" w:cs="Courier New" w:eastAsia="Courier New" w:hAnsi="Courier New"/>
                <w:sz w:val="14"/>
                <w:szCs w:val="14"/>
                <w:color w:val="auto"/>
              </w:rPr>
              <w:t>Financial Statements.</w:t>
            </w:r>
          </w:p>
        </w:tc>
        <w:tc>
          <w:tcPr>
            <w:tcW w:w="1000" w:type="dxa"/>
            <w:vAlign w:val="bottom"/>
          </w:tcPr>
          <w:p>
            <w:pPr>
              <w:spacing w:after="0"/>
              <w:rPr>
                <w:sz w:val="24"/>
                <w:szCs w:val="24"/>
                <w:color w:val="auto"/>
              </w:rPr>
            </w:pPr>
          </w:p>
        </w:tc>
      </w:tr>
      <w:tr>
        <w:trPr>
          <w:trHeight w:val="331"/>
        </w:trPr>
        <w:tc>
          <w:tcPr>
            <w:tcW w:w="1040" w:type="dxa"/>
            <w:vAlign w:val="bottom"/>
          </w:tcPr>
          <w:p>
            <w:pPr>
              <w:spacing w:after="0"/>
              <w:rPr>
                <w:sz w:val="24"/>
                <w:szCs w:val="24"/>
                <w:color w:val="auto"/>
              </w:rPr>
            </w:pPr>
          </w:p>
        </w:tc>
        <w:tc>
          <w:tcPr>
            <w:tcW w:w="7880" w:type="dxa"/>
            <w:vAlign w:val="bottom"/>
          </w:tcPr>
          <w:p>
            <w:pPr>
              <w:ind w:left="440"/>
              <w:spacing w:after="0"/>
              <w:rPr>
                <w:sz w:val="20"/>
                <w:szCs w:val="20"/>
                <w:color w:val="auto"/>
              </w:rPr>
            </w:pPr>
            <w:r>
              <w:rPr>
                <w:rFonts w:ascii="Courier New" w:cs="Courier New" w:eastAsia="Courier New" w:hAnsi="Courier New"/>
                <w:sz w:val="14"/>
                <w:szCs w:val="14"/>
                <w:color w:val="auto"/>
              </w:rPr>
              <w:t>Consolidated Statements of Operations (Unaudited) for the Three and Nine Months</w:t>
            </w:r>
          </w:p>
        </w:tc>
        <w:tc>
          <w:tcPr>
            <w:tcW w:w="1000" w:type="dxa"/>
            <w:vAlign w:val="bottom"/>
          </w:tcPr>
          <w:p>
            <w:pPr>
              <w:spacing w:after="0"/>
              <w:rPr>
                <w:sz w:val="24"/>
                <w:szCs w:val="24"/>
                <w:color w:val="auto"/>
              </w:rPr>
            </w:pPr>
          </w:p>
        </w:tc>
      </w:tr>
      <w:tr>
        <w:trPr>
          <w:trHeight w:val="166"/>
        </w:trPr>
        <w:tc>
          <w:tcPr>
            <w:tcW w:w="1040" w:type="dxa"/>
            <w:vAlign w:val="bottom"/>
          </w:tcPr>
          <w:p>
            <w:pPr>
              <w:spacing w:after="0"/>
              <w:rPr>
                <w:sz w:val="14"/>
                <w:szCs w:val="14"/>
                <w:color w:val="auto"/>
              </w:rPr>
            </w:pPr>
          </w:p>
        </w:tc>
        <w:tc>
          <w:tcPr>
            <w:tcW w:w="7880" w:type="dxa"/>
            <w:vAlign w:val="bottom"/>
          </w:tcPr>
          <w:p>
            <w:pPr>
              <w:ind w:left="440"/>
              <w:spacing w:after="0"/>
              <w:rPr>
                <w:sz w:val="20"/>
                <w:szCs w:val="20"/>
                <w:color w:val="auto"/>
              </w:rPr>
            </w:pPr>
            <w:r>
              <w:rPr>
                <w:rFonts w:ascii="Courier New" w:cs="Courier New" w:eastAsia="Courier New" w:hAnsi="Courier New"/>
                <w:sz w:val="14"/>
                <w:szCs w:val="14"/>
                <w:color w:val="auto"/>
              </w:rPr>
              <w:t>ended September 30, 2001 and September 30, 2000</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w:t>
            </w:r>
          </w:p>
        </w:tc>
      </w:tr>
      <w:tr>
        <w:trPr>
          <w:trHeight w:val="331"/>
        </w:trPr>
        <w:tc>
          <w:tcPr>
            <w:tcW w:w="1040" w:type="dxa"/>
            <w:vAlign w:val="bottom"/>
          </w:tcPr>
          <w:p>
            <w:pPr>
              <w:spacing w:after="0"/>
              <w:rPr>
                <w:sz w:val="24"/>
                <w:szCs w:val="24"/>
                <w:color w:val="auto"/>
              </w:rPr>
            </w:pPr>
          </w:p>
        </w:tc>
        <w:tc>
          <w:tcPr>
            <w:tcW w:w="7880" w:type="dxa"/>
            <w:vAlign w:val="bottom"/>
          </w:tcPr>
          <w:p>
            <w:pPr>
              <w:ind w:left="440"/>
              <w:spacing w:after="0"/>
              <w:rPr>
                <w:sz w:val="20"/>
                <w:szCs w:val="20"/>
                <w:color w:val="auto"/>
              </w:rPr>
            </w:pPr>
            <w:r>
              <w:rPr>
                <w:rFonts w:ascii="Courier New" w:cs="Courier New" w:eastAsia="Courier New" w:hAnsi="Courier New"/>
                <w:sz w:val="14"/>
                <w:szCs w:val="14"/>
                <w:color w:val="auto"/>
              </w:rPr>
              <w:t>Consolidated Balance Sheets at September 30, 2001 (Unaudited) and</w:t>
            </w:r>
          </w:p>
        </w:tc>
        <w:tc>
          <w:tcPr>
            <w:tcW w:w="1000" w:type="dxa"/>
            <w:vAlign w:val="bottom"/>
          </w:tcPr>
          <w:p>
            <w:pPr>
              <w:spacing w:after="0"/>
              <w:rPr>
                <w:sz w:val="24"/>
                <w:szCs w:val="24"/>
                <w:color w:val="auto"/>
              </w:rPr>
            </w:pPr>
          </w:p>
        </w:tc>
      </w:tr>
      <w:tr>
        <w:trPr>
          <w:trHeight w:val="166"/>
        </w:trPr>
        <w:tc>
          <w:tcPr>
            <w:tcW w:w="1040" w:type="dxa"/>
            <w:vAlign w:val="bottom"/>
          </w:tcPr>
          <w:p>
            <w:pPr>
              <w:spacing w:after="0"/>
              <w:rPr>
                <w:sz w:val="14"/>
                <w:szCs w:val="14"/>
                <w:color w:val="auto"/>
              </w:rPr>
            </w:pPr>
          </w:p>
        </w:tc>
        <w:tc>
          <w:tcPr>
            <w:tcW w:w="7880" w:type="dxa"/>
            <w:vAlign w:val="bottom"/>
          </w:tcPr>
          <w:p>
            <w:pPr>
              <w:ind w:left="440"/>
              <w:spacing w:after="0"/>
              <w:rPr>
                <w:sz w:val="20"/>
                <w:szCs w:val="20"/>
                <w:color w:val="auto"/>
              </w:rPr>
            </w:pPr>
            <w:r>
              <w:rPr>
                <w:rFonts w:ascii="Courier New" w:cs="Courier New" w:eastAsia="Courier New" w:hAnsi="Courier New"/>
                <w:sz w:val="14"/>
                <w:szCs w:val="14"/>
                <w:color w:val="auto"/>
              </w:rPr>
              <w:t>December 31, 2000</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w:t>
            </w:r>
          </w:p>
        </w:tc>
      </w:tr>
      <w:tr>
        <w:trPr>
          <w:trHeight w:val="331"/>
        </w:trPr>
        <w:tc>
          <w:tcPr>
            <w:tcW w:w="1040" w:type="dxa"/>
            <w:vAlign w:val="bottom"/>
          </w:tcPr>
          <w:p>
            <w:pPr>
              <w:spacing w:after="0"/>
              <w:rPr>
                <w:sz w:val="24"/>
                <w:szCs w:val="24"/>
                <w:color w:val="auto"/>
              </w:rPr>
            </w:pPr>
          </w:p>
        </w:tc>
        <w:tc>
          <w:tcPr>
            <w:tcW w:w="7880" w:type="dxa"/>
            <w:vAlign w:val="bottom"/>
          </w:tcPr>
          <w:p>
            <w:pPr>
              <w:ind w:left="440"/>
              <w:spacing w:after="0"/>
              <w:rPr>
                <w:sz w:val="20"/>
                <w:szCs w:val="20"/>
                <w:color w:val="auto"/>
              </w:rPr>
            </w:pPr>
            <w:r>
              <w:rPr>
                <w:rFonts w:ascii="Courier New" w:cs="Courier New" w:eastAsia="Courier New" w:hAnsi="Courier New"/>
                <w:sz w:val="14"/>
                <w:szCs w:val="14"/>
                <w:color w:val="auto"/>
              </w:rPr>
              <w:t>Consolidated Statements of Cash Flows (Unaudited) for the Nine Months</w:t>
            </w:r>
          </w:p>
        </w:tc>
        <w:tc>
          <w:tcPr>
            <w:tcW w:w="1000" w:type="dxa"/>
            <w:vAlign w:val="bottom"/>
          </w:tcPr>
          <w:p>
            <w:pPr>
              <w:spacing w:after="0"/>
              <w:rPr>
                <w:sz w:val="24"/>
                <w:szCs w:val="24"/>
                <w:color w:val="auto"/>
              </w:rPr>
            </w:pPr>
          </w:p>
        </w:tc>
      </w:tr>
      <w:tr>
        <w:trPr>
          <w:trHeight w:val="166"/>
        </w:trPr>
        <w:tc>
          <w:tcPr>
            <w:tcW w:w="1040" w:type="dxa"/>
            <w:vAlign w:val="bottom"/>
          </w:tcPr>
          <w:p>
            <w:pPr>
              <w:spacing w:after="0"/>
              <w:rPr>
                <w:sz w:val="14"/>
                <w:szCs w:val="14"/>
                <w:color w:val="auto"/>
              </w:rPr>
            </w:pPr>
          </w:p>
        </w:tc>
        <w:tc>
          <w:tcPr>
            <w:tcW w:w="7880" w:type="dxa"/>
            <w:vAlign w:val="bottom"/>
          </w:tcPr>
          <w:p>
            <w:pPr>
              <w:ind w:left="440"/>
              <w:spacing w:after="0"/>
              <w:rPr>
                <w:sz w:val="20"/>
                <w:szCs w:val="20"/>
                <w:color w:val="auto"/>
              </w:rPr>
            </w:pPr>
            <w:r>
              <w:rPr>
                <w:rFonts w:ascii="Courier New" w:cs="Courier New" w:eastAsia="Courier New" w:hAnsi="Courier New"/>
                <w:sz w:val="14"/>
                <w:szCs w:val="14"/>
                <w:color w:val="auto"/>
              </w:rPr>
              <w:t>ended September 30, 2001 and September 30, 2000</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w:t>
            </w:r>
          </w:p>
        </w:tc>
      </w:tr>
      <w:tr>
        <w:trPr>
          <w:trHeight w:val="331"/>
        </w:trPr>
        <w:tc>
          <w:tcPr>
            <w:tcW w:w="1040" w:type="dxa"/>
            <w:vAlign w:val="bottom"/>
          </w:tcPr>
          <w:p>
            <w:pPr>
              <w:spacing w:after="0"/>
              <w:rPr>
                <w:sz w:val="24"/>
                <w:szCs w:val="24"/>
                <w:color w:val="auto"/>
              </w:rPr>
            </w:pPr>
          </w:p>
        </w:tc>
        <w:tc>
          <w:tcPr>
            <w:tcW w:w="7880" w:type="dxa"/>
            <w:vAlign w:val="bottom"/>
          </w:tcPr>
          <w:p>
            <w:pPr>
              <w:ind w:left="440"/>
              <w:spacing w:after="0"/>
              <w:rPr>
                <w:sz w:val="20"/>
                <w:szCs w:val="20"/>
                <w:color w:val="auto"/>
              </w:rPr>
            </w:pPr>
            <w:r>
              <w:rPr>
                <w:rFonts w:ascii="Courier New" w:cs="Courier New" w:eastAsia="Courier New" w:hAnsi="Courier New"/>
                <w:sz w:val="14"/>
                <w:szCs w:val="14"/>
                <w:color w:val="auto"/>
              </w:rPr>
              <w:t>Notes to Consolidated Financial Statements (Unaudited)</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w:t>
            </w:r>
          </w:p>
        </w:tc>
      </w:tr>
      <w:tr>
        <w:trPr>
          <w:trHeight w:val="331"/>
        </w:trPr>
        <w:tc>
          <w:tcPr>
            <w:tcW w:w="1040" w:type="dxa"/>
            <w:vAlign w:val="bottom"/>
          </w:tcPr>
          <w:p>
            <w:pPr>
              <w:spacing w:after="0"/>
              <w:rPr>
                <w:sz w:val="20"/>
                <w:szCs w:val="20"/>
                <w:color w:val="auto"/>
              </w:rPr>
            </w:pPr>
            <w:r>
              <w:rPr>
                <w:rFonts w:ascii="Courier New" w:cs="Courier New" w:eastAsia="Courier New" w:hAnsi="Courier New"/>
                <w:sz w:val="14"/>
                <w:szCs w:val="14"/>
                <w:color w:val="auto"/>
              </w:rPr>
              <w:t>Item 2.</w:t>
            </w:r>
          </w:p>
        </w:tc>
        <w:tc>
          <w:tcPr>
            <w:tcW w:w="7880" w:type="dxa"/>
            <w:vAlign w:val="bottom"/>
          </w:tcPr>
          <w:p>
            <w:pPr>
              <w:ind w:left="440"/>
              <w:spacing w:after="0"/>
              <w:rPr>
                <w:sz w:val="20"/>
                <w:szCs w:val="20"/>
                <w:color w:val="auto"/>
              </w:rPr>
            </w:pPr>
            <w:r>
              <w:rPr>
                <w:rFonts w:ascii="Courier New" w:cs="Courier New" w:eastAsia="Courier New" w:hAnsi="Courier New"/>
                <w:sz w:val="14"/>
                <w:szCs w:val="14"/>
                <w:color w:val="auto"/>
              </w:rPr>
              <w:t>Management's Discussion and Analysis of Results of</w:t>
            </w:r>
          </w:p>
        </w:tc>
        <w:tc>
          <w:tcPr>
            <w:tcW w:w="1000" w:type="dxa"/>
            <w:vAlign w:val="bottom"/>
          </w:tcPr>
          <w:p>
            <w:pPr>
              <w:spacing w:after="0"/>
              <w:rPr>
                <w:sz w:val="24"/>
                <w:szCs w:val="24"/>
                <w:color w:val="auto"/>
              </w:rPr>
            </w:pPr>
          </w:p>
        </w:tc>
      </w:tr>
      <w:tr>
        <w:trPr>
          <w:trHeight w:val="166"/>
        </w:trPr>
        <w:tc>
          <w:tcPr>
            <w:tcW w:w="1040" w:type="dxa"/>
            <w:vAlign w:val="bottom"/>
          </w:tcPr>
          <w:p>
            <w:pPr>
              <w:spacing w:after="0"/>
              <w:rPr>
                <w:sz w:val="14"/>
                <w:szCs w:val="14"/>
                <w:color w:val="auto"/>
              </w:rPr>
            </w:pPr>
          </w:p>
        </w:tc>
        <w:tc>
          <w:tcPr>
            <w:tcW w:w="7880" w:type="dxa"/>
            <w:vAlign w:val="bottom"/>
          </w:tcPr>
          <w:p>
            <w:pPr>
              <w:ind w:left="440"/>
              <w:spacing w:after="0"/>
              <w:rPr>
                <w:sz w:val="20"/>
                <w:szCs w:val="20"/>
                <w:color w:val="auto"/>
              </w:rPr>
            </w:pPr>
            <w:r>
              <w:rPr>
                <w:rFonts w:ascii="Courier New" w:cs="Courier New" w:eastAsia="Courier New" w:hAnsi="Courier New"/>
                <w:sz w:val="14"/>
                <w:szCs w:val="14"/>
                <w:color w:val="auto"/>
              </w:rPr>
              <w:t>Operations and Financial Condition.</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w:t>
            </w:r>
          </w:p>
        </w:tc>
      </w:tr>
      <w:tr>
        <w:trPr>
          <w:trHeight w:val="331"/>
        </w:trPr>
        <w:tc>
          <w:tcPr>
            <w:tcW w:w="1040" w:type="dxa"/>
            <w:vAlign w:val="bottom"/>
          </w:tcPr>
          <w:p>
            <w:pPr>
              <w:spacing w:after="0"/>
              <w:rPr>
                <w:sz w:val="20"/>
                <w:szCs w:val="20"/>
                <w:color w:val="auto"/>
              </w:rPr>
            </w:pPr>
            <w:r>
              <w:rPr>
                <w:rFonts w:ascii="Courier New" w:cs="Courier New" w:eastAsia="Courier New" w:hAnsi="Courier New"/>
                <w:sz w:val="14"/>
                <w:szCs w:val="14"/>
                <w:color w:val="auto"/>
              </w:rPr>
              <w:t>Item 3.</w:t>
            </w:r>
          </w:p>
        </w:tc>
        <w:tc>
          <w:tcPr>
            <w:tcW w:w="7880" w:type="dxa"/>
            <w:vAlign w:val="bottom"/>
          </w:tcPr>
          <w:p>
            <w:pPr>
              <w:ind w:left="440"/>
              <w:spacing w:after="0"/>
              <w:rPr>
                <w:sz w:val="20"/>
                <w:szCs w:val="20"/>
                <w:color w:val="auto"/>
              </w:rPr>
            </w:pPr>
            <w:r>
              <w:rPr>
                <w:rFonts w:ascii="Courier New" w:cs="Courier New" w:eastAsia="Courier New" w:hAnsi="Courier New"/>
                <w:sz w:val="14"/>
                <w:szCs w:val="14"/>
                <w:color w:val="auto"/>
              </w:rPr>
              <w:t>Quantitative and Qualitative Disclosures about Market Risk.</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w:t>
            </w:r>
          </w:p>
        </w:tc>
      </w:tr>
      <w:tr>
        <w:trPr>
          <w:trHeight w:val="497"/>
        </w:trPr>
        <w:tc>
          <w:tcPr>
            <w:tcW w:w="1040" w:type="dxa"/>
            <w:vAlign w:val="bottom"/>
          </w:tcPr>
          <w:p>
            <w:pPr>
              <w:spacing w:after="0"/>
              <w:rPr>
                <w:sz w:val="24"/>
                <w:szCs w:val="24"/>
                <w:color w:val="auto"/>
              </w:rPr>
            </w:pPr>
          </w:p>
        </w:tc>
        <w:tc>
          <w:tcPr>
            <w:tcW w:w="7880" w:type="dxa"/>
            <w:vAlign w:val="bottom"/>
          </w:tcPr>
          <w:p>
            <w:pPr>
              <w:ind w:left="440"/>
              <w:spacing w:after="0"/>
              <w:rPr>
                <w:sz w:val="20"/>
                <w:szCs w:val="20"/>
                <w:color w:val="auto"/>
              </w:rPr>
            </w:pPr>
            <w:r>
              <w:rPr>
                <w:rFonts w:ascii="Courier New" w:cs="Courier New" w:eastAsia="Courier New" w:hAnsi="Courier New"/>
                <w:sz w:val="14"/>
                <w:szCs w:val="14"/>
                <w:color w:val="auto"/>
              </w:rPr>
              <w:t>PART II - OTHER INFORMATION</w:t>
            </w:r>
          </w:p>
        </w:tc>
        <w:tc>
          <w:tcPr>
            <w:tcW w:w="1000" w:type="dxa"/>
            <w:vAlign w:val="bottom"/>
          </w:tcPr>
          <w:p>
            <w:pPr>
              <w:spacing w:after="0"/>
              <w:rPr>
                <w:sz w:val="24"/>
                <w:szCs w:val="24"/>
                <w:color w:val="auto"/>
              </w:rPr>
            </w:pPr>
          </w:p>
        </w:tc>
      </w:tr>
      <w:tr>
        <w:trPr>
          <w:trHeight w:val="331"/>
        </w:trPr>
        <w:tc>
          <w:tcPr>
            <w:tcW w:w="1040" w:type="dxa"/>
            <w:vAlign w:val="bottom"/>
          </w:tcPr>
          <w:p>
            <w:pPr>
              <w:spacing w:after="0"/>
              <w:rPr>
                <w:sz w:val="20"/>
                <w:szCs w:val="20"/>
                <w:color w:val="auto"/>
              </w:rPr>
            </w:pPr>
            <w:r>
              <w:rPr>
                <w:rFonts w:ascii="Courier New" w:cs="Courier New" w:eastAsia="Courier New" w:hAnsi="Courier New"/>
                <w:sz w:val="14"/>
                <w:szCs w:val="14"/>
                <w:color w:val="auto"/>
              </w:rPr>
              <w:t>Item 1.</w:t>
            </w:r>
          </w:p>
        </w:tc>
        <w:tc>
          <w:tcPr>
            <w:tcW w:w="7880" w:type="dxa"/>
            <w:vAlign w:val="bottom"/>
          </w:tcPr>
          <w:p>
            <w:pPr>
              <w:ind w:left="440"/>
              <w:spacing w:after="0"/>
              <w:rPr>
                <w:sz w:val="20"/>
                <w:szCs w:val="20"/>
                <w:color w:val="auto"/>
              </w:rPr>
            </w:pPr>
            <w:r>
              <w:rPr>
                <w:rFonts w:ascii="Courier New" w:cs="Courier New" w:eastAsia="Courier New" w:hAnsi="Courier New"/>
                <w:sz w:val="14"/>
                <w:szCs w:val="14"/>
                <w:color w:val="auto"/>
              </w:rPr>
              <w:t>Legal Proceedings.</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w:t>
            </w:r>
          </w:p>
        </w:tc>
      </w:tr>
      <w:tr>
        <w:trPr>
          <w:trHeight w:val="331"/>
        </w:trPr>
        <w:tc>
          <w:tcPr>
            <w:tcW w:w="1040" w:type="dxa"/>
            <w:vAlign w:val="bottom"/>
          </w:tcPr>
          <w:p>
            <w:pPr>
              <w:spacing w:after="0"/>
              <w:rPr>
                <w:sz w:val="20"/>
                <w:szCs w:val="20"/>
                <w:color w:val="auto"/>
              </w:rPr>
            </w:pPr>
            <w:r>
              <w:rPr>
                <w:rFonts w:ascii="Courier New" w:cs="Courier New" w:eastAsia="Courier New" w:hAnsi="Courier New"/>
                <w:sz w:val="14"/>
                <w:szCs w:val="14"/>
                <w:color w:val="auto"/>
              </w:rPr>
              <w:t>Item 6.</w:t>
            </w:r>
          </w:p>
        </w:tc>
        <w:tc>
          <w:tcPr>
            <w:tcW w:w="7880" w:type="dxa"/>
            <w:vAlign w:val="bottom"/>
          </w:tcPr>
          <w:p>
            <w:pPr>
              <w:ind w:left="440"/>
              <w:spacing w:after="0"/>
              <w:rPr>
                <w:sz w:val="20"/>
                <w:szCs w:val="20"/>
                <w:color w:val="auto"/>
              </w:rPr>
            </w:pPr>
            <w:r>
              <w:rPr>
                <w:rFonts w:ascii="Courier New" w:cs="Courier New" w:eastAsia="Courier New" w:hAnsi="Courier New"/>
                <w:sz w:val="14"/>
                <w:szCs w:val="14"/>
                <w:color w:val="auto"/>
              </w:rPr>
              <w:t>Exhibits and Reports on Form 8-K.</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9920"/>
          </w:cols>
          <w:pgMar w:left="1340" w:top="616" w:right="63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4"/>
          <w:szCs w:val="14"/>
          <w:color w:val="auto"/>
        </w:rPr>
        <w:t>PART I - FINANCIAL INFORMATION</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1.</w:t>
        <w:tab/>
        <w:t>Financial Statements.</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VIACOM INC. AND SUBSIDIARIES</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CONSOLIDATED STATEMENTS OF OPERATIONS</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(Unaudited;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5520"/>
        <w:spacing w:after="0"/>
        <w:tabs>
          <w:tab w:leader="none" w:pos="1180" w:val="left"/>
        </w:tabs>
        <w:rPr>
          <w:sz w:val="20"/>
          <w:szCs w:val="20"/>
          <w:color w:val="auto"/>
        </w:rPr>
      </w:pPr>
      <w:r>
        <w:rPr>
          <w:rFonts w:ascii="Courier New" w:cs="Courier New" w:eastAsia="Courier New" w:hAnsi="Courier New"/>
          <w:sz w:val="14"/>
          <w:szCs w:val="14"/>
          <w:color w:val="auto"/>
        </w:rPr>
        <w:t>Three Months Ended</w:t>
      </w:r>
      <w:r>
        <w:rPr>
          <w:sz w:val="20"/>
          <w:szCs w:val="20"/>
          <w:color w:val="auto"/>
        </w:rPr>
        <w:tab/>
      </w:r>
      <w:r>
        <w:rPr>
          <w:rFonts w:ascii="Courier New" w:cs="Courier New" w:eastAsia="Courier New" w:hAnsi="Courier New"/>
          <w:sz w:val="14"/>
          <w:szCs w:val="14"/>
          <w:color w:val="auto"/>
        </w:rPr>
        <w:t>Nine Months Ended</w:t>
      </w:r>
    </w:p>
    <w:p>
      <w:pPr>
        <w:spacing w:after="0" w:line="7" w:lineRule="exact"/>
        <w:rPr>
          <w:sz w:val="20"/>
          <w:szCs w:val="20"/>
          <w:color w:val="auto"/>
        </w:rPr>
      </w:pPr>
    </w:p>
    <w:p>
      <w:pPr>
        <w:jc w:val="center"/>
        <w:ind w:left="5540"/>
        <w:spacing w:after="0"/>
        <w:tabs>
          <w:tab w:leader="none" w:pos="1620" w:val="left"/>
        </w:tabs>
        <w:rPr>
          <w:sz w:val="20"/>
          <w:szCs w:val="20"/>
          <w:color w:val="auto"/>
        </w:rPr>
      </w:pPr>
      <w:r>
        <w:rPr>
          <w:rFonts w:ascii="Courier New" w:cs="Courier New" w:eastAsia="Courier New" w:hAnsi="Courier New"/>
          <w:sz w:val="14"/>
          <w:szCs w:val="14"/>
          <w:color w:val="auto"/>
        </w:rPr>
        <w:t>September 30,</w:t>
      </w:r>
      <w:r>
        <w:rPr>
          <w:sz w:val="20"/>
          <w:szCs w:val="20"/>
          <w:color w:val="auto"/>
        </w:rPr>
        <w:tab/>
      </w:r>
      <w:r>
        <w:rPr>
          <w:rFonts w:ascii="Courier New" w:cs="Courier New" w:eastAsia="Courier New" w:hAnsi="Courier New"/>
          <w:sz w:val="14"/>
          <w:szCs w:val="14"/>
          <w:color w:val="auto"/>
        </w:rPr>
        <w:t>September 30,</w:t>
      </w:r>
    </w:p>
    <w:p>
      <w:pPr>
        <w:spacing w:after="0" w:line="7"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6300"/>
        <w:spacing w:after="0"/>
        <w:tabs>
          <w:tab w:leader="none" w:pos="7660" w:val="left"/>
          <w:tab w:leader="none" w:pos="9040" w:val="left"/>
          <w:tab w:leader="none" w:pos="10420" w:val="left"/>
        </w:tabs>
        <w:rPr>
          <w:sz w:val="20"/>
          <w:szCs w:val="20"/>
          <w:color w:val="auto"/>
        </w:rPr>
      </w:pPr>
      <w:r>
        <w:rPr>
          <w:rFonts w:ascii="Courier New" w:cs="Courier New" w:eastAsia="Courier New" w:hAnsi="Courier New"/>
          <w:sz w:val="14"/>
          <w:szCs w:val="14"/>
          <w:color w:val="auto"/>
        </w:rPr>
        <w:t>2001</w:t>
      </w:r>
      <w:r>
        <w:rPr>
          <w:sz w:val="20"/>
          <w:szCs w:val="20"/>
          <w:color w:val="auto"/>
        </w:rPr>
        <w:tab/>
      </w: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2001</w:t>
      </w:r>
      <w:r>
        <w:rPr>
          <w:sz w:val="20"/>
          <w:szCs w:val="20"/>
          <w:color w:val="auto"/>
        </w:rPr>
        <w:tab/>
      </w:r>
      <w:r>
        <w:rPr>
          <w:rFonts w:ascii="Courier New" w:cs="Courier New" w:eastAsia="Courier New" w:hAnsi="Courier New"/>
          <w:sz w:val="14"/>
          <w:szCs w:val="14"/>
          <w:color w:val="auto"/>
        </w:rPr>
        <w:t>2000</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304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3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5,713.8</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5,810.8</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$17,182.9</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$ 13,687.5</w:t>
            </w:r>
          </w:p>
        </w:tc>
      </w:tr>
    </w:tbl>
    <w:p>
      <w:pPr>
        <w:spacing w:after="0" w:line="4"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4520" w:type="dxa"/>
            <w:vAlign w:val="bottom"/>
          </w:tcPr>
          <w:p>
            <w:pPr>
              <w:spacing w:after="0"/>
              <w:rPr>
                <w:sz w:val="20"/>
                <w:szCs w:val="20"/>
                <w:color w:val="auto"/>
              </w:rPr>
            </w:pPr>
            <w:r>
              <w:rPr>
                <w:rFonts w:ascii="Courier New" w:cs="Courier New" w:eastAsia="Courier New" w:hAnsi="Courier New"/>
                <w:sz w:val="14"/>
                <w:szCs w:val="14"/>
                <w:color w:val="auto"/>
              </w:rPr>
              <w:t>Expenses:</w:t>
            </w:r>
          </w:p>
        </w:tc>
        <w:tc>
          <w:tcPr>
            <w:tcW w:w="2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520" w:type="dxa"/>
            <w:vAlign w:val="bottom"/>
          </w:tcPr>
          <w:p>
            <w:pPr>
              <w:ind w:left="340"/>
              <w:spacing w:after="0"/>
              <w:rPr>
                <w:sz w:val="20"/>
                <w:szCs w:val="20"/>
                <w:color w:val="auto"/>
              </w:rPr>
            </w:pPr>
            <w:r>
              <w:rPr>
                <w:rFonts w:ascii="Courier New" w:cs="Courier New" w:eastAsia="Courier New" w:hAnsi="Courier New"/>
                <w:sz w:val="14"/>
                <w:szCs w:val="14"/>
                <w:color w:val="auto"/>
              </w:rPr>
              <w:t>Operating</w:t>
            </w:r>
          </w:p>
        </w:tc>
        <w:tc>
          <w:tcPr>
            <w:tcW w:w="21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3,574.6</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3,201.3</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10,167.8</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8,022.4</w:t>
            </w:r>
          </w:p>
        </w:tc>
      </w:tr>
      <w:tr>
        <w:trPr>
          <w:trHeight w:val="166"/>
        </w:trPr>
        <w:tc>
          <w:tcPr>
            <w:tcW w:w="4520" w:type="dxa"/>
            <w:vAlign w:val="bottom"/>
          </w:tcPr>
          <w:p>
            <w:pPr>
              <w:ind w:left="340"/>
              <w:spacing w:after="0"/>
              <w:rPr>
                <w:sz w:val="20"/>
                <w:szCs w:val="20"/>
                <w:color w:val="auto"/>
              </w:rPr>
            </w:pPr>
            <w:r>
              <w:rPr>
                <w:rFonts w:ascii="Courier New" w:cs="Courier New" w:eastAsia="Courier New" w:hAnsi="Courier New"/>
                <w:sz w:val="14"/>
                <w:szCs w:val="14"/>
                <w:color w:val="auto"/>
              </w:rPr>
              <w:t>Selling, general and administrative</w:t>
            </w:r>
          </w:p>
        </w:tc>
        <w:tc>
          <w:tcPr>
            <w:tcW w:w="21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1,162.3</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1,169.3</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3,527.6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2,784.0</w:t>
            </w:r>
          </w:p>
        </w:tc>
      </w:tr>
      <w:tr>
        <w:trPr>
          <w:trHeight w:val="166"/>
        </w:trPr>
        <w:tc>
          <w:tcPr>
            <w:tcW w:w="4520" w:type="dxa"/>
            <w:vAlign w:val="bottom"/>
          </w:tcPr>
          <w:p>
            <w:pPr>
              <w:ind w:left="340"/>
              <w:spacing w:after="0"/>
              <w:rPr>
                <w:sz w:val="20"/>
                <w:szCs w:val="20"/>
                <w:color w:val="auto"/>
              </w:rPr>
            </w:pPr>
            <w:r>
              <w:rPr>
                <w:rFonts w:ascii="Courier New" w:cs="Courier New" w:eastAsia="Courier New" w:hAnsi="Courier New"/>
                <w:sz w:val="14"/>
                <w:szCs w:val="14"/>
                <w:color w:val="auto"/>
              </w:rPr>
              <w:t>Merger-related charges</w:t>
            </w:r>
          </w:p>
        </w:tc>
        <w:tc>
          <w:tcPr>
            <w:tcW w:w="21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698.5</w:t>
            </w:r>
          </w:p>
        </w:tc>
      </w:tr>
      <w:tr>
        <w:trPr>
          <w:trHeight w:val="166"/>
        </w:trPr>
        <w:tc>
          <w:tcPr>
            <w:tcW w:w="4520" w:type="dxa"/>
            <w:vAlign w:val="bottom"/>
          </w:tcPr>
          <w:p>
            <w:pPr>
              <w:ind w:left="340"/>
              <w:spacing w:after="0"/>
              <w:rPr>
                <w:sz w:val="20"/>
                <w:szCs w:val="20"/>
                <w:color w:val="auto"/>
              </w:rPr>
            </w:pPr>
            <w:r>
              <w:rPr>
                <w:rFonts w:ascii="Courier New" w:cs="Courier New" w:eastAsia="Courier New" w:hAnsi="Courier New"/>
                <w:sz w:val="14"/>
                <w:szCs w:val="14"/>
                <w:color w:val="auto"/>
              </w:rPr>
              <w:t>Depreciation and amortization</w:t>
            </w:r>
          </w:p>
        </w:tc>
        <w:tc>
          <w:tcPr>
            <w:tcW w:w="21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783.2</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680.3</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2,304.3</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1,460.5</w:t>
            </w:r>
          </w:p>
        </w:tc>
      </w:tr>
    </w:tbl>
    <w:p>
      <w:pPr>
        <w:spacing w:after="0" w:line="4"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156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Courier New" w:cs="Courier New" w:eastAsia="Courier New" w:hAnsi="Courier New"/>
                <w:sz w:val="14"/>
                <w:szCs w:val="14"/>
                <w:color w:val="auto"/>
              </w:rPr>
              <w:t>Total expenses</w:t>
            </w:r>
          </w:p>
        </w:tc>
        <w:tc>
          <w:tcPr>
            <w:tcW w:w="27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5,520.1</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5,050.9</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15,999.7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12,965.4</w:t>
            </w:r>
          </w:p>
        </w:tc>
      </w:tr>
    </w:tbl>
    <w:p>
      <w:pPr>
        <w:spacing w:after="0" w:line="4"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800" w:type="dxa"/>
            <w:vAlign w:val="bottom"/>
          </w:tcPr>
          <w:p>
            <w:pPr>
              <w:spacing w:after="0"/>
              <w:rPr>
                <w:sz w:val="20"/>
                <w:szCs w:val="20"/>
                <w:color w:val="auto"/>
              </w:rPr>
            </w:pPr>
            <w:r>
              <w:rPr>
                <w:rFonts w:ascii="Courier New" w:cs="Courier New" w:eastAsia="Courier New" w:hAnsi="Courier New"/>
                <w:sz w:val="14"/>
                <w:szCs w:val="14"/>
                <w:color w:val="auto"/>
              </w:rPr>
              <w:t>Operating</w:t>
            </w:r>
          </w:p>
        </w:tc>
        <w:tc>
          <w:tcPr>
            <w:tcW w:w="2940" w:type="dxa"/>
            <w:vAlign w:val="bottom"/>
            <w:gridSpan w:val="2"/>
          </w:tcPr>
          <w:p>
            <w:pPr>
              <w:jc w:val="right"/>
              <w:ind w:right="2308"/>
              <w:spacing w:after="0"/>
              <w:rPr>
                <w:sz w:val="20"/>
                <w:szCs w:val="20"/>
                <w:color w:val="auto"/>
              </w:rPr>
            </w:pPr>
            <w:r>
              <w:rPr>
                <w:rFonts w:ascii="Courier New" w:cs="Courier New" w:eastAsia="Courier New" w:hAnsi="Courier New"/>
                <w:sz w:val="14"/>
                <w:szCs w:val="14"/>
                <w:color w:val="auto"/>
              </w:rPr>
              <w:t>income</w:t>
            </w:r>
          </w:p>
        </w:tc>
        <w:tc>
          <w:tcPr>
            <w:tcW w:w="30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193.7</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759.9</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1,183.2</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722.1</w:t>
            </w:r>
          </w:p>
        </w:tc>
      </w:tr>
      <w:tr>
        <w:trPr>
          <w:trHeight w:val="331"/>
        </w:trPr>
        <w:tc>
          <w:tcPr>
            <w:tcW w:w="106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Interest</w:t>
            </w:r>
          </w:p>
        </w:tc>
        <w:tc>
          <w:tcPr>
            <w:tcW w:w="2680" w:type="dxa"/>
            <w:vAlign w:val="bottom"/>
          </w:tcPr>
          <w:p>
            <w:pPr>
              <w:jc w:val="right"/>
              <w:ind w:right="1948"/>
              <w:spacing w:after="0"/>
              <w:rPr>
                <w:sz w:val="20"/>
                <w:szCs w:val="20"/>
                <w:color w:val="auto"/>
              </w:rPr>
            </w:pPr>
            <w:r>
              <w:rPr>
                <w:rFonts w:ascii="Courier New" w:cs="Courier New" w:eastAsia="Courier New" w:hAnsi="Courier New"/>
                <w:sz w:val="14"/>
                <w:szCs w:val="14"/>
                <w:color w:val="auto"/>
              </w:rPr>
              <w:t>expense</w:t>
            </w:r>
          </w:p>
        </w:tc>
        <w:tc>
          <w:tcPr>
            <w:tcW w:w="3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(226.5)</w:t>
            </w:r>
          </w:p>
        </w:tc>
        <w:tc>
          <w:tcPr>
            <w:tcW w:w="13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(245.0)</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(746.6)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(560.9)</w:t>
            </w:r>
          </w:p>
        </w:tc>
      </w:tr>
      <w:tr>
        <w:trPr>
          <w:trHeight w:val="166"/>
        </w:trPr>
        <w:tc>
          <w:tcPr>
            <w:tcW w:w="106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Interest</w:t>
            </w:r>
          </w:p>
        </w:tc>
        <w:tc>
          <w:tcPr>
            <w:tcW w:w="2680" w:type="dxa"/>
            <w:vAlign w:val="bottom"/>
          </w:tcPr>
          <w:p>
            <w:pPr>
              <w:jc w:val="right"/>
              <w:ind w:right="2048"/>
              <w:spacing w:after="0"/>
              <w:rPr>
                <w:sz w:val="20"/>
                <w:szCs w:val="20"/>
                <w:color w:val="auto"/>
              </w:rPr>
            </w:pPr>
            <w:r>
              <w:rPr>
                <w:rFonts w:ascii="Courier New" w:cs="Courier New" w:eastAsia="Courier New" w:hAnsi="Courier New"/>
                <w:sz w:val="14"/>
                <w:szCs w:val="14"/>
                <w:color w:val="auto"/>
              </w:rPr>
              <w:t>income</w:t>
            </w:r>
          </w:p>
        </w:tc>
        <w:tc>
          <w:tcPr>
            <w:tcW w:w="30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6.5</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13.3</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25.9</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36.7</w:t>
            </w:r>
          </w:p>
        </w:tc>
      </w:tr>
      <w:tr>
        <w:trPr>
          <w:trHeight w:val="166"/>
        </w:trPr>
        <w:tc>
          <w:tcPr>
            <w:tcW w:w="800" w:type="dxa"/>
            <w:vAlign w:val="bottom"/>
          </w:tcPr>
          <w:p>
            <w:pPr>
              <w:ind w:left="340"/>
              <w:spacing w:after="0"/>
              <w:rPr>
                <w:sz w:val="20"/>
                <w:szCs w:val="20"/>
                <w:color w:val="auto"/>
              </w:rPr>
            </w:pPr>
            <w:r>
              <w:rPr>
                <w:rFonts w:ascii="Courier New" w:cs="Courier New" w:eastAsia="Courier New" w:hAnsi="Courier New"/>
                <w:sz w:val="14"/>
                <w:szCs w:val="14"/>
                <w:color w:val="auto"/>
              </w:rPr>
              <w:t>Other</w:t>
            </w:r>
          </w:p>
        </w:tc>
        <w:tc>
          <w:tcPr>
            <w:tcW w:w="2940" w:type="dxa"/>
            <w:vAlign w:val="bottom"/>
            <w:gridSpan w:val="2"/>
          </w:tcPr>
          <w:p>
            <w:pPr>
              <w:jc w:val="right"/>
              <w:ind w:right="1948"/>
              <w:spacing w:after="0"/>
              <w:rPr>
                <w:sz w:val="20"/>
                <w:szCs w:val="20"/>
                <w:color w:val="auto"/>
              </w:rPr>
            </w:pPr>
            <w:r>
              <w:rPr>
                <w:rFonts w:ascii="Courier New" w:cs="Courier New" w:eastAsia="Courier New" w:hAnsi="Courier New"/>
                <w:sz w:val="14"/>
                <w:szCs w:val="14"/>
                <w:color w:val="auto"/>
              </w:rPr>
              <w:t>items, net</w:t>
            </w:r>
          </w:p>
        </w:tc>
        <w:tc>
          <w:tcPr>
            <w:tcW w:w="3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(28.3)</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(36.1)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(14.5)</w:t>
            </w:r>
          </w:p>
        </w:tc>
      </w:tr>
    </w:tbl>
    <w:p>
      <w:pPr>
        <w:spacing w:after="0" w:line="4"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1920" w:type="dxa"/>
            <w:vAlign w:val="bottom"/>
            <w:gridSpan w:val="2"/>
          </w:tcPr>
          <w:p>
            <w:pPr>
              <w:spacing w:after="0"/>
              <w:rPr>
                <w:sz w:val="20"/>
                <w:szCs w:val="20"/>
                <w:color w:val="auto"/>
              </w:rPr>
            </w:pPr>
            <w:r>
              <w:rPr>
                <w:rFonts w:ascii="Courier New" w:cs="Courier New" w:eastAsia="Courier New" w:hAnsi="Courier New"/>
                <w:sz w:val="14"/>
                <w:szCs w:val="14"/>
                <w:color w:val="auto"/>
              </w:rPr>
              <w:t>Earnings (loss) before</w:t>
            </w:r>
          </w:p>
        </w:tc>
        <w:tc>
          <w:tcPr>
            <w:tcW w:w="3280" w:type="dxa"/>
            <w:vAlign w:val="bottom"/>
          </w:tcPr>
          <w:p>
            <w:pPr>
              <w:ind w:left="60"/>
              <w:spacing w:after="0"/>
              <w:rPr>
                <w:sz w:val="20"/>
                <w:szCs w:val="20"/>
                <w:color w:val="auto"/>
              </w:rPr>
            </w:pPr>
            <w:r>
              <w:rPr>
                <w:rFonts w:ascii="Courier New" w:cs="Courier New" w:eastAsia="Courier New" w:hAnsi="Courier New"/>
                <w:sz w:val="14"/>
                <w:szCs w:val="14"/>
                <w:color w:val="auto"/>
              </w:rPr>
              <w:t>income taxes</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(54.6)</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528.7</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426.4</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183.4</w:t>
            </w:r>
          </w:p>
        </w:tc>
      </w:tr>
      <w:tr>
        <w:trPr>
          <w:trHeight w:val="331"/>
        </w:trPr>
        <w:tc>
          <w:tcPr>
            <w:tcW w:w="1160" w:type="dxa"/>
            <w:vAlign w:val="bottom"/>
          </w:tcPr>
          <w:p>
            <w:pPr>
              <w:ind w:left="340"/>
              <w:spacing w:after="0"/>
              <w:rPr>
                <w:sz w:val="20"/>
                <w:szCs w:val="20"/>
                <w:color w:val="auto"/>
              </w:rPr>
            </w:pPr>
            <w:r>
              <w:rPr>
                <w:rFonts w:ascii="Courier New" w:cs="Courier New" w:eastAsia="Courier New" w:hAnsi="Courier New"/>
                <w:sz w:val="14"/>
                <w:szCs w:val="14"/>
                <w:color w:val="auto"/>
              </w:rPr>
              <w:t>Provision</w:t>
            </w:r>
          </w:p>
        </w:tc>
        <w:tc>
          <w:tcPr>
            <w:tcW w:w="40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for income taxes</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(169.4)</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(424.2)</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(607.6)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(470.2)</w:t>
            </w:r>
          </w:p>
        </w:tc>
      </w:tr>
      <w:tr>
        <w:trPr>
          <w:trHeight w:val="166"/>
        </w:trPr>
        <w:tc>
          <w:tcPr>
            <w:tcW w:w="1160" w:type="dxa"/>
            <w:vAlign w:val="bottom"/>
          </w:tcPr>
          <w:p>
            <w:pPr>
              <w:ind w:left="340"/>
              <w:spacing w:after="0"/>
              <w:rPr>
                <w:sz w:val="20"/>
                <w:szCs w:val="20"/>
                <w:color w:val="auto"/>
              </w:rPr>
            </w:pPr>
            <w:r>
              <w:rPr>
                <w:rFonts w:ascii="Courier New" w:cs="Courier New" w:eastAsia="Courier New" w:hAnsi="Courier New"/>
                <w:sz w:val="14"/>
                <w:szCs w:val="14"/>
                <w:color w:val="auto"/>
              </w:rPr>
              <w:t>Equity in</w:t>
            </w:r>
          </w:p>
        </w:tc>
        <w:tc>
          <w:tcPr>
            <w:tcW w:w="40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loss of affiliated companies, net of tax</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(7.7)</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(44.0)</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(41.9)</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(71.4)</w:t>
            </w:r>
          </w:p>
        </w:tc>
      </w:tr>
      <w:tr>
        <w:trPr>
          <w:trHeight w:val="166"/>
        </w:trPr>
        <w:tc>
          <w:tcPr>
            <w:tcW w:w="192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Minority interest,</w:t>
            </w:r>
          </w:p>
        </w:tc>
        <w:tc>
          <w:tcPr>
            <w:tcW w:w="3280" w:type="dxa"/>
            <w:vAlign w:val="bottom"/>
          </w:tcPr>
          <w:p>
            <w:pPr>
              <w:ind w:left="60"/>
              <w:spacing w:after="0"/>
              <w:rPr>
                <w:sz w:val="20"/>
                <w:szCs w:val="20"/>
                <w:color w:val="auto"/>
              </w:rPr>
            </w:pPr>
            <w:r>
              <w:rPr>
                <w:rFonts w:ascii="Courier New" w:cs="Courier New" w:eastAsia="Courier New" w:hAnsi="Courier New"/>
                <w:sz w:val="14"/>
                <w:szCs w:val="14"/>
                <w:color w:val="auto"/>
              </w:rPr>
              <w:t>net of tax</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41.3</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(27.1)</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42.1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(36.0)</w:t>
            </w:r>
          </w:p>
        </w:tc>
      </w:tr>
    </w:tbl>
    <w:p>
      <w:pPr>
        <w:spacing w:after="0" w:line="4"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w w:val="99"/>
              </w:rPr>
              <w:t>Net earnings</w:t>
            </w:r>
          </w:p>
        </w:tc>
        <w:tc>
          <w:tcPr>
            <w:tcW w:w="4280" w:type="dxa"/>
            <w:vAlign w:val="bottom"/>
          </w:tcPr>
          <w:p>
            <w:pPr>
              <w:ind w:left="60"/>
              <w:spacing w:after="0"/>
              <w:rPr>
                <w:sz w:val="20"/>
                <w:szCs w:val="20"/>
                <w:color w:val="auto"/>
              </w:rPr>
            </w:pPr>
            <w:r>
              <w:rPr>
                <w:rFonts w:ascii="Courier New" w:cs="Courier New" w:eastAsia="Courier New" w:hAnsi="Courier New"/>
                <w:sz w:val="14"/>
                <w:szCs w:val="14"/>
                <w:color w:val="auto"/>
              </w:rPr>
              <w:t>(loss) before cumulative effect of change in</w:t>
            </w:r>
          </w:p>
        </w:tc>
        <w:tc>
          <w:tcPr>
            <w:tcW w:w="15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534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accounting principle</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(190.4)</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33.4</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(181.0)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(394.2)</w:t>
            </w:r>
          </w:p>
        </w:tc>
      </w:tr>
      <w:tr>
        <w:trPr>
          <w:trHeight w:val="331"/>
        </w:trPr>
        <w:tc>
          <w:tcPr>
            <w:tcW w:w="53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Cumulative effect of change in accounting principle,</w:t>
            </w:r>
          </w:p>
        </w:tc>
        <w:tc>
          <w:tcPr>
            <w:tcW w:w="1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6"/>
        </w:trPr>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net of</w:t>
            </w:r>
          </w:p>
        </w:tc>
        <w:tc>
          <w:tcPr>
            <w:tcW w:w="4280" w:type="dxa"/>
            <w:vAlign w:val="bottom"/>
          </w:tcPr>
          <w:p>
            <w:pPr>
              <w:ind w:left="60"/>
              <w:spacing w:after="0"/>
              <w:rPr>
                <w:sz w:val="20"/>
                <w:szCs w:val="20"/>
                <w:color w:val="auto"/>
              </w:rPr>
            </w:pPr>
            <w:r>
              <w:rPr>
                <w:rFonts w:ascii="Courier New" w:cs="Courier New" w:eastAsia="Courier New" w:hAnsi="Courier New"/>
                <w:sz w:val="14"/>
                <w:szCs w:val="14"/>
                <w:color w:val="auto"/>
              </w:rPr>
              <w:t>tax</w:t>
            </w:r>
          </w:p>
        </w:tc>
        <w:tc>
          <w:tcPr>
            <w:tcW w:w="1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(452.3)</w:t>
            </w:r>
          </w:p>
        </w:tc>
      </w:tr>
    </w:tbl>
    <w:p>
      <w:pPr>
        <w:spacing w:after="0" w:line="4"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20"/>
        <w:spacing w:after="0"/>
        <w:tabs>
          <w:tab w:leader="none" w:pos="6020" w:val="left"/>
          <w:tab w:leader="none" w:pos="6360" w:val="left"/>
          <w:tab w:leader="none" w:pos="7480" w:val="left"/>
          <w:tab w:leader="none" w:pos="8000" w:val="left"/>
          <w:tab w:leader="none" w:pos="8780" w:val="left"/>
          <w:tab w:leader="none" w:pos="9120" w:val="left"/>
          <w:tab w:leader="none" w:pos="10240" w:val="left"/>
          <w:tab w:leader="none" w:pos="10580" w:val="left"/>
        </w:tabs>
        <w:rPr>
          <w:sz w:val="20"/>
          <w:szCs w:val="20"/>
          <w:color w:val="auto"/>
        </w:rPr>
      </w:pPr>
      <w:r>
        <w:rPr>
          <w:rFonts w:ascii="Courier New" w:cs="Courier New" w:eastAsia="Courier New" w:hAnsi="Courier New"/>
          <w:sz w:val="14"/>
          <w:szCs w:val="14"/>
          <w:color w:val="auto"/>
        </w:rPr>
        <w:t>Net earnings (loss)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(190.4)</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33.4</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(181.0)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(846.5)</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5200" w:type="dxa"/>
            <w:vAlign w:val="bottom"/>
            <w:gridSpan w:val="3"/>
          </w:tcPr>
          <w:p>
            <w:pPr>
              <w:spacing w:after="0"/>
              <w:rPr>
                <w:sz w:val="20"/>
                <w:szCs w:val="20"/>
                <w:color w:val="auto"/>
              </w:rPr>
            </w:pPr>
            <w:r>
              <w:rPr>
                <w:rFonts w:ascii="Courier New" w:cs="Courier New" w:eastAsia="Courier New" w:hAnsi="Courier New"/>
                <w:sz w:val="14"/>
                <w:szCs w:val="14"/>
                <w:color w:val="auto"/>
              </w:rPr>
              <w:t>Basic and diluted earnings (loss) per common share:</w:t>
            </w: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640" w:type="dxa"/>
            <w:vAlign w:val="bottom"/>
          </w:tcPr>
          <w:p>
            <w:pPr>
              <w:ind w:left="340"/>
              <w:spacing w:after="0"/>
              <w:rPr>
                <w:sz w:val="20"/>
                <w:szCs w:val="20"/>
                <w:color w:val="auto"/>
              </w:rPr>
            </w:pPr>
            <w:r>
              <w:rPr>
                <w:rFonts w:ascii="Courier New" w:cs="Courier New" w:eastAsia="Courier New" w:hAnsi="Courier New"/>
                <w:sz w:val="14"/>
                <w:szCs w:val="14"/>
                <w:color w:val="auto"/>
              </w:rPr>
              <w:t>Net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earnings</w:t>
            </w:r>
          </w:p>
        </w:tc>
        <w:tc>
          <w:tcPr>
            <w:tcW w:w="3780" w:type="dxa"/>
            <w:vAlign w:val="bottom"/>
          </w:tcPr>
          <w:p>
            <w:pPr>
              <w:ind w:left="40"/>
              <w:spacing w:after="0"/>
              <w:rPr>
                <w:sz w:val="20"/>
                <w:szCs w:val="20"/>
                <w:color w:val="auto"/>
              </w:rPr>
            </w:pPr>
            <w:r>
              <w:rPr>
                <w:rFonts w:ascii="Courier New" w:cs="Courier New" w:eastAsia="Courier New" w:hAnsi="Courier New"/>
                <w:sz w:val="14"/>
                <w:szCs w:val="14"/>
                <w:color w:val="auto"/>
              </w:rPr>
              <w:t>(loss) before cumulative effect of change</w:t>
            </w: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5200" w:type="dxa"/>
            <w:vAlign w:val="bottom"/>
            <w:gridSpan w:val="3"/>
          </w:tcPr>
          <w:p>
            <w:pPr>
              <w:ind w:left="500"/>
              <w:spacing w:after="0"/>
              <w:rPr>
                <w:sz w:val="20"/>
                <w:szCs w:val="20"/>
                <w:color w:val="auto"/>
              </w:rPr>
            </w:pPr>
            <w:r>
              <w:rPr>
                <w:rFonts w:ascii="Courier New" w:cs="Courier New" w:eastAsia="Courier New" w:hAnsi="Courier New"/>
                <w:sz w:val="14"/>
                <w:szCs w:val="14"/>
                <w:color w:val="auto"/>
              </w:rPr>
              <w:t>in accounting principle</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w:t>
            </w: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.02</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w:t>
            </w: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r>
        <w:trPr>
          <w:trHeight w:val="166"/>
        </w:trPr>
        <w:tc>
          <w:tcPr>
            <w:tcW w:w="640" w:type="dxa"/>
            <w:vAlign w:val="bottom"/>
          </w:tcPr>
          <w:p>
            <w:pPr>
              <w:ind w:left="340"/>
              <w:spacing w:after="0"/>
              <w:rPr>
                <w:sz w:val="20"/>
                <w:szCs w:val="20"/>
                <w:color w:val="auto"/>
              </w:rPr>
            </w:pPr>
            <w:r>
              <w:rPr>
                <w:rFonts w:ascii="Courier New" w:cs="Courier New" w:eastAsia="Courier New" w:hAnsi="Courier New"/>
                <w:sz w:val="14"/>
                <w:szCs w:val="14"/>
                <w:color w:val="auto"/>
              </w:rPr>
              <w:t>Net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earnings</w:t>
            </w:r>
          </w:p>
        </w:tc>
        <w:tc>
          <w:tcPr>
            <w:tcW w:w="3780" w:type="dxa"/>
            <w:vAlign w:val="bottom"/>
          </w:tcPr>
          <w:p>
            <w:pPr>
              <w:ind w:left="40"/>
              <w:spacing w:after="0"/>
              <w:rPr>
                <w:sz w:val="20"/>
                <w:szCs w:val="20"/>
                <w:color w:val="auto"/>
              </w:rPr>
            </w:pPr>
            <w:r>
              <w:rPr>
                <w:rFonts w:ascii="Courier New" w:cs="Courier New" w:eastAsia="Courier New" w:hAnsi="Courier New"/>
                <w:sz w:val="14"/>
                <w:szCs w:val="14"/>
                <w:color w:val="auto"/>
              </w:rPr>
              <w:t>(loss)</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w:t>
            </w: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.02</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w:t>
            </w: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(.75)</w:t>
            </w:r>
          </w:p>
        </w:tc>
      </w:tr>
    </w:tbl>
    <w:p>
      <w:pPr>
        <w:spacing w:after="0" w:line="4"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4600" w:type="dxa"/>
            <w:vAlign w:val="bottom"/>
          </w:tcPr>
          <w:p>
            <w:pPr>
              <w:spacing w:after="0"/>
              <w:rPr>
                <w:sz w:val="20"/>
                <w:szCs w:val="20"/>
                <w:color w:val="auto"/>
              </w:rPr>
            </w:pPr>
            <w:r>
              <w:rPr>
                <w:rFonts w:ascii="Courier New" w:cs="Courier New" w:eastAsia="Courier New" w:hAnsi="Courier New"/>
                <w:sz w:val="14"/>
                <w:szCs w:val="14"/>
                <w:color w:val="auto"/>
              </w:rPr>
              <w:t>Weighted average number of common shares:</w:t>
            </w:r>
          </w:p>
        </w:tc>
        <w:tc>
          <w:tcPr>
            <w:tcW w:w="2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600" w:type="dxa"/>
            <w:vAlign w:val="bottom"/>
          </w:tcPr>
          <w:p>
            <w:pPr>
              <w:ind w:left="340"/>
              <w:spacing w:after="0"/>
              <w:rPr>
                <w:sz w:val="20"/>
                <w:szCs w:val="20"/>
                <w:color w:val="auto"/>
              </w:rPr>
            </w:pPr>
            <w:r>
              <w:rPr>
                <w:rFonts w:ascii="Courier New" w:cs="Courier New" w:eastAsia="Courier New" w:hAnsi="Courier New"/>
                <w:sz w:val="14"/>
                <w:szCs w:val="14"/>
                <w:color w:val="auto"/>
              </w:rPr>
              <w:t>Basic</w:t>
            </w:r>
          </w:p>
        </w:tc>
        <w:tc>
          <w:tcPr>
            <w:tcW w:w="21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1,768.0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1,503.7</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1,722.2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1,133.7</w:t>
            </w:r>
          </w:p>
        </w:tc>
      </w:tr>
      <w:tr>
        <w:trPr>
          <w:trHeight w:val="166"/>
        </w:trPr>
        <w:tc>
          <w:tcPr>
            <w:tcW w:w="4600" w:type="dxa"/>
            <w:vAlign w:val="bottom"/>
          </w:tcPr>
          <w:p>
            <w:pPr>
              <w:ind w:left="340"/>
              <w:spacing w:after="0"/>
              <w:rPr>
                <w:sz w:val="20"/>
                <w:szCs w:val="20"/>
                <w:color w:val="auto"/>
              </w:rPr>
            </w:pPr>
            <w:r>
              <w:rPr>
                <w:rFonts w:ascii="Courier New" w:cs="Courier New" w:eastAsia="Courier New" w:hAnsi="Courier New"/>
                <w:sz w:val="14"/>
                <w:szCs w:val="14"/>
                <w:color w:val="auto"/>
              </w:rPr>
              <w:t>Diluted</w:t>
            </w:r>
          </w:p>
        </w:tc>
        <w:tc>
          <w:tcPr>
            <w:tcW w:w="21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1,768.0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1,544.5</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1,722.2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1,133.7</w:t>
            </w:r>
          </w:p>
        </w:tc>
      </w:tr>
    </w:tbl>
    <w:p>
      <w:pPr>
        <w:spacing w:after="0" w:line="4"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1300"/>
          </w:cols>
          <w:pgMar w:left="220" w:top="616" w:right="379" w:bottom="1440" w:gutter="0" w:footer="0" w:header="0"/>
        </w:sectPr>
      </w:pPr>
    </w:p>
    <w:bookmarkStart w:id="3" w:name="page4"/>
    <w:bookmarkEnd w:id="3"/>
    <w:p>
      <w:pPr>
        <w:ind w:left="1880"/>
        <w:spacing w:after="0"/>
        <w:rPr>
          <w:sz w:val="20"/>
          <w:szCs w:val="20"/>
          <w:color w:val="auto"/>
        </w:rPr>
      </w:pPr>
      <w:r>
        <w:rPr>
          <w:rFonts w:ascii="Courier New" w:cs="Courier New" w:eastAsia="Courier New" w:hAnsi="Courier New"/>
          <w:sz w:val="14"/>
          <w:szCs w:val="14"/>
          <w:color w:val="auto"/>
        </w:rPr>
        <w:t>VIACOM INC. AND SUBSIDIARIES</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CONSOLIDATED BALANCE SHEETS</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(In millions, except per share amounts)</w:t>
      </w:r>
    </w:p>
    <w:p>
      <w:pPr>
        <w:spacing w:after="0" w:line="200" w:lineRule="exact"/>
        <w:rPr>
          <w:sz w:val="20"/>
          <w:szCs w:val="20"/>
          <w:color w:val="auto"/>
        </w:rPr>
      </w:pPr>
    </w:p>
    <w:p>
      <w:pPr>
        <w:spacing w:after="0" w:line="304" w:lineRule="exact"/>
        <w:rPr>
          <w:sz w:val="20"/>
          <w:szCs w:val="20"/>
          <w:color w:val="auto"/>
        </w:rPr>
      </w:pPr>
    </w:p>
    <w:p>
      <w:pPr>
        <w:ind w:left="7140"/>
        <w:spacing w:after="0"/>
        <w:tabs>
          <w:tab w:leader="none" w:pos="9020" w:val="left"/>
        </w:tabs>
        <w:rPr>
          <w:sz w:val="20"/>
          <w:szCs w:val="20"/>
          <w:color w:val="auto"/>
        </w:rPr>
      </w:pPr>
      <w:r>
        <w:rPr>
          <w:rFonts w:ascii="Courier New" w:cs="Courier New" w:eastAsia="Courier New" w:hAnsi="Courier New"/>
          <w:sz w:val="14"/>
          <w:szCs w:val="14"/>
          <w:color w:val="auto"/>
        </w:rPr>
        <w:t>At September 30,</w:t>
      </w:r>
      <w:r>
        <w:rPr>
          <w:sz w:val="20"/>
          <w:szCs w:val="20"/>
          <w:color w:val="auto"/>
        </w:rPr>
        <w:tab/>
      </w:r>
      <w:r>
        <w:rPr>
          <w:rFonts w:ascii="Courier New" w:cs="Courier New" w:eastAsia="Courier New" w:hAnsi="Courier New"/>
          <w:sz w:val="14"/>
          <w:szCs w:val="14"/>
          <w:color w:val="auto"/>
        </w:rPr>
        <w:t>At December 31,</w:t>
      </w:r>
    </w:p>
    <w:p>
      <w:pPr>
        <w:spacing w:after="0" w:line="7" w:lineRule="exact"/>
        <w:rPr>
          <w:sz w:val="20"/>
          <w:szCs w:val="20"/>
          <w:color w:val="auto"/>
        </w:rPr>
      </w:pPr>
    </w:p>
    <w:p>
      <w:pPr>
        <w:ind w:left="7660"/>
        <w:spacing w:after="0"/>
        <w:tabs>
          <w:tab w:leader="none" w:pos="9540" w:val="left"/>
        </w:tabs>
        <w:rPr>
          <w:sz w:val="20"/>
          <w:szCs w:val="20"/>
          <w:color w:val="auto"/>
        </w:rPr>
      </w:pPr>
      <w:r>
        <w:rPr>
          <w:rFonts w:ascii="Courier New" w:cs="Courier New" w:eastAsia="Courier New" w:hAnsi="Courier New"/>
          <w:sz w:val="14"/>
          <w:szCs w:val="14"/>
          <w:color w:val="auto"/>
        </w:rPr>
        <w:t>2001</w:t>
      </w:r>
      <w:r>
        <w:rPr>
          <w:sz w:val="20"/>
          <w:szCs w:val="20"/>
          <w:color w:val="auto"/>
        </w:rPr>
        <w:tab/>
      </w:r>
      <w:r>
        <w:rPr>
          <w:rFonts w:ascii="Courier New" w:cs="Courier New" w:eastAsia="Courier New" w:hAnsi="Courier New"/>
          <w:sz w:val="14"/>
          <w:szCs w:val="14"/>
          <w:color w:val="auto"/>
        </w:rPr>
        <w:t>2000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8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220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(Unaudited)</w:t>
            </w: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658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6580" w:type="dxa"/>
            <w:vAlign w:val="bottom"/>
          </w:tcPr>
          <w:p>
            <w:pPr>
              <w:ind w:left="420"/>
              <w:spacing w:after="0"/>
              <w:rPr>
                <w:sz w:val="20"/>
                <w:szCs w:val="20"/>
                <w:color w:val="auto"/>
              </w:rPr>
            </w:pPr>
            <w:r>
              <w:rPr>
                <w:rFonts w:ascii="Courier New" w:cs="Courier New" w:eastAsia="Courier New" w:hAnsi="Courier New"/>
                <w:sz w:val="14"/>
                <w:szCs w:val="14"/>
                <w:color w:val="auto"/>
              </w:rPr>
              <w:t>Cash and cash equivalents</w:t>
            </w:r>
          </w:p>
        </w:tc>
        <w:tc>
          <w:tcPr>
            <w:tcW w:w="900" w:type="dxa"/>
            <w:vAlign w:val="bottom"/>
          </w:tcPr>
          <w:p>
            <w:pPr>
              <w:ind w:left="74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525.3</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934.5</w:t>
            </w:r>
          </w:p>
        </w:tc>
      </w:tr>
      <w:tr>
        <w:trPr>
          <w:trHeight w:val="166"/>
        </w:trPr>
        <w:tc>
          <w:tcPr>
            <w:tcW w:w="6580" w:type="dxa"/>
            <w:vAlign w:val="bottom"/>
          </w:tcPr>
          <w:p>
            <w:pPr>
              <w:ind w:left="420"/>
              <w:spacing w:after="0"/>
              <w:rPr>
                <w:sz w:val="20"/>
                <w:szCs w:val="20"/>
                <w:color w:val="auto"/>
              </w:rPr>
            </w:pPr>
            <w:r>
              <w:rPr>
                <w:rFonts w:ascii="Courier New" w:cs="Courier New" w:eastAsia="Courier New" w:hAnsi="Courier New"/>
                <w:sz w:val="14"/>
                <w:szCs w:val="14"/>
                <w:color w:val="auto"/>
              </w:rPr>
              <w:t>Receivables, less allowances of $259.2 (2001) and $246.2 (2000)</w:t>
            </w:r>
          </w:p>
        </w:tc>
        <w:tc>
          <w:tcPr>
            <w:tcW w:w="900" w:type="dxa"/>
            <w:vAlign w:val="bottom"/>
          </w:tcPr>
          <w:p>
            <w:pPr>
              <w:spacing w:after="0"/>
              <w:rPr>
                <w:sz w:val="14"/>
                <w:szCs w:val="14"/>
                <w:color w:val="auto"/>
              </w:rPr>
            </w:pP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3,843.3</w:t>
            </w:r>
          </w:p>
        </w:tc>
        <w:tc>
          <w:tcPr>
            <w:tcW w:w="6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3,964.1</w:t>
            </w:r>
          </w:p>
        </w:tc>
      </w:tr>
      <w:tr>
        <w:trPr>
          <w:trHeight w:val="166"/>
        </w:trPr>
        <w:tc>
          <w:tcPr>
            <w:tcW w:w="6580" w:type="dxa"/>
            <w:vAlign w:val="bottom"/>
          </w:tcPr>
          <w:p>
            <w:pPr>
              <w:ind w:left="420"/>
              <w:spacing w:after="0"/>
              <w:rPr>
                <w:sz w:val="20"/>
                <w:szCs w:val="20"/>
                <w:color w:val="auto"/>
              </w:rPr>
            </w:pPr>
            <w:r>
              <w:rPr>
                <w:rFonts w:ascii="Courier New" w:cs="Courier New" w:eastAsia="Courier New" w:hAnsi="Courier New"/>
                <w:sz w:val="14"/>
                <w:szCs w:val="14"/>
                <w:color w:val="auto"/>
              </w:rPr>
              <w:t>Inventory (Note 5)</w:t>
            </w:r>
          </w:p>
        </w:tc>
        <w:tc>
          <w:tcPr>
            <w:tcW w:w="900" w:type="dxa"/>
            <w:vAlign w:val="bottom"/>
          </w:tcPr>
          <w:p>
            <w:pPr>
              <w:spacing w:after="0"/>
              <w:rPr>
                <w:sz w:val="14"/>
                <w:szCs w:val="14"/>
                <w:color w:val="auto"/>
              </w:rPr>
            </w:pP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1,500.2</w:t>
            </w:r>
          </w:p>
        </w:tc>
        <w:tc>
          <w:tcPr>
            <w:tcW w:w="6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1,402.0</w:t>
            </w:r>
          </w:p>
        </w:tc>
      </w:tr>
      <w:tr>
        <w:trPr>
          <w:trHeight w:val="166"/>
        </w:trPr>
        <w:tc>
          <w:tcPr>
            <w:tcW w:w="6580" w:type="dxa"/>
            <w:vAlign w:val="bottom"/>
          </w:tcPr>
          <w:p>
            <w:pPr>
              <w:ind w:left="420"/>
              <w:spacing w:after="0"/>
              <w:rPr>
                <w:sz w:val="20"/>
                <w:szCs w:val="20"/>
                <w:color w:val="auto"/>
              </w:rPr>
            </w:pPr>
            <w:r>
              <w:rPr>
                <w:rFonts w:ascii="Courier New" w:cs="Courier New" w:eastAsia="Courier New" w:hAnsi="Courier New"/>
                <w:sz w:val="14"/>
                <w:szCs w:val="14"/>
                <w:color w:val="auto"/>
              </w:rPr>
              <w:t>Other current assets</w:t>
            </w:r>
          </w:p>
        </w:tc>
        <w:tc>
          <w:tcPr>
            <w:tcW w:w="900" w:type="dxa"/>
            <w:vAlign w:val="bottom"/>
          </w:tcPr>
          <w:p>
            <w:pPr>
              <w:spacing w:after="0"/>
              <w:rPr>
                <w:sz w:val="14"/>
                <w:szCs w:val="14"/>
                <w:color w:val="auto"/>
              </w:rPr>
            </w:pP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1,206.9</w:t>
            </w:r>
          </w:p>
        </w:tc>
        <w:tc>
          <w:tcPr>
            <w:tcW w:w="6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1,531.8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940" w:type="dxa"/>
        <w:tblCellMar>
          <w:top w:w="0" w:type="dxa"/>
          <w:left w:w="0" w:type="dxa"/>
          <w:bottom w:w="0" w:type="dxa"/>
          <w:right w:w="0" w:type="dxa"/>
        </w:tblCellMar>
      </w:tblPr>
      <w:tr>
        <w:trPr>
          <w:trHeight w:val="162"/>
        </w:trPr>
        <w:tc>
          <w:tcPr>
            <w:tcW w:w="4180" w:type="dxa"/>
            <w:vAlign w:val="bottom"/>
          </w:tcPr>
          <w:p>
            <w:pPr>
              <w:spacing w:after="0"/>
              <w:rPr>
                <w:sz w:val="20"/>
                <w:szCs w:val="20"/>
                <w:color w:val="auto"/>
              </w:rPr>
            </w:pPr>
            <w:r>
              <w:rPr>
                <w:rFonts w:ascii="Courier New" w:cs="Courier New" w:eastAsia="Courier New" w:hAnsi="Courier New"/>
                <w:sz w:val="14"/>
                <w:szCs w:val="14"/>
                <w:color w:val="auto"/>
              </w:rPr>
              <w:t>Total current assets</w:t>
            </w:r>
          </w:p>
        </w:tc>
        <w:tc>
          <w:tcPr>
            <w:tcW w:w="37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7,075.7</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7,832.4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40" w:type="dxa"/>
            <w:vAlign w:val="bottom"/>
          </w:tcPr>
          <w:p>
            <w:pPr>
              <w:spacing w:after="0"/>
              <w:rPr>
                <w:sz w:val="20"/>
                <w:szCs w:val="20"/>
                <w:color w:val="auto"/>
              </w:rPr>
            </w:pPr>
            <w:r>
              <w:rPr>
                <w:rFonts w:ascii="Courier New" w:cs="Courier New" w:eastAsia="Courier New" w:hAnsi="Courier New"/>
                <w:sz w:val="14"/>
                <w:szCs w:val="14"/>
                <w:color w:val="auto"/>
              </w:rPr>
              <w:t>Property and equipment:</w:t>
            </w:r>
          </w:p>
        </w:tc>
        <w:tc>
          <w:tcPr>
            <w:tcW w:w="39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4940" w:type="dxa"/>
            <w:vAlign w:val="bottom"/>
          </w:tcPr>
          <w:p>
            <w:pPr>
              <w:ind w:left="420"/>
              <w:spacing w:after="0"/>
              <w:rPr>
                <w:sz w:val="20"/>
                <w:szCs w:val="20"/>
                <w:color w:val="auto"/>
              </w:rPr>
            </w:pPr>
            <w:r>
              <w:rPr>
                <w:rFonts w:ascii="Courier New" w:cs="Courier New" w:eastAsia="Courier New" w:hAnsi="Courier New"/>
                <w:sz w:val="14"/>
                <w:szCs w:val="14"/>
                <w:color w:val="auto"/>
              </w:rPr>
              <w:t>Land</w:t>
            </w:r>
          </w:p>
        </w:tc>
        <w:tc>
          <w:tcPr>
            <w:tcW w:w="39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755.7</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713.8</w:t>
            </w:r>
          </w:p>
        </w:tc>
      </w:tr>
      <w:tr>
        <w:trPr>
          <w:trHeight w:val="166"/>
        </w:trPr>
        <w:tc>
          <w:tcPr>
            <w:tcW w:w="4940" w:type="dxa"/>
            <w:vAlign w:val="bottom"/>
          </w:tcPr>
          <w:p>
            <w:pPr>
              <w:ind w:left="420"/>
              <w:spacing w:after="0"/>
              <w:rPr>
                <w:sz w:val="20"/>
                <w:szCs w:val="20"/>
                <w:color w:val="auto"/>
              </w:rPr>
            </w:pPr>
            <w:r>
              <w:rPr>
                <w:rFonts w:ascii="Courier New" w:cs="Courier New" w:eastAsia="Courier New" w:hAnsi="Courier New"/>
                <w:sz w:val="14"/>
                <w:szCs w:val="14"/>
                <w:color w:val="auto"/>
              </w:rPr>
              <w:t>Buildings</w:t>
            </w:r>
          </w:p>
        </w:tc>
        <w:tc>
          <w:tcPr>
            <w:tcW w:w="39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1,081.1</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837.1</w:t>
            </w:r>
          </w:p>
        </w:tc>
      </w:tr>
      <w:tr>
        <w:trPr>
          <w:trHeight w:val="166"/>
        </w:trPr>
        <w:tc>
          <w:tcPr>
            <w:tcW w:w="4940" w:type="dxa"/>
            <w:vAlign w:val="bottom"/>
          </w:tcPr>
          <w:p>
            <w:pPr>
              <w:ind w:left="420"/>
              <w:spacing w:after="0"/>
              <w:rPr>
                <w:sz w:val="20"/>
                <w:szCs w:val="20"/>
                <w:color w:val="auto"/>
              </w:rPr>
            </w:pPr>
            <w:r>
              <w:rPr>
                <w:rFonts w:ascii="Courier New" w:cs="Courier New" w:eastAsia="Courier New" w:hAnsi="Courier New"/>
                <w:sz w:val="14"/>
                <w:szCs w:val="14"/>
                <w:color w:val="auto"/>
              </w:rPr>
              <w:t>Capital leases</w:t>
            </w:r>
          </w:p>
        </w:tc>
        <w:tc>
          <w:tcPr>
            <w:tcW w:w="39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809.0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852.5</w:t>
            </w:r>
          </w:p>
        </w:tc>
      </w:tr>
      <w:tr>
        <w:trPr>
          <w:trHeight w:val="166"/>
        </w:trPr>
        <w:tc>
          <w:tcPr>
            <w:tcW w:w="4940" w:type="dxa"/>
            <w:vAlign w:val="bottom"/>
          </w:tcPr>
          <w:p>
            <w:pPr>
              <w:ind w:left="420"/>
              <w:spacing w:after="0"/>
              <w:rPr>
                <w:sz w:val="20"/>
                <w:szCs w:val="20"/>
                <w:color w:val="auto"/>
              </w:rPr>
            </w:pPr>
            <w:r>
              <w:rPr>
                <w:rFonts w:ascii="Courier New" w:cs="Courier New" w:eastAsia="Courier New" w:hAnsi="Courier New"/>
                <w:sz w:val="14"/>
                <w:szCs w:val="14"/>
                <w:color w:val="auto"/>
              </w:rPr>
              <w:t>Advertising structures</w:t>
            </w:r>
          </w:p>
        </w:tc>
        <w:tc>
          <w:tcPr>
            <w:tcW w:w="39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2,066.8</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2,076.5</w:t>
            </w:r>
          </w:p>
        </w:tc>
      </w:tr>
      <w:tr>
        <w:trPr>
          <w:trHeight w:val="166"/>
        </w:trPr>
        <w:tc>
          <w:tcPr>
            <w:tcW w:w="4940" w:type="dxa"/>
            <w:vAlign w:val="bottom"/>
          </w:tcPr>
          <w:p>
            <w:pPr>
              <w:ind w:left="420"/>
              <w:spacing w:after="0"/>
              <w:rPr>
                <w:sz w:val="20"/>
                <w:szCs w:val="20"/>
                <w:color w:val="auto"/>
              </w:rPr>
            </w:pPr>
            <w:r>
              <w:rPr>
                <w:rFonts w:ascii="Courier New" w:cs="Courier New" w:eastAsia="Courier New" w:hAnsi="Courier New"/>
                <w:sz w:val="14"/>
                <w:szCs w:val="14"/>
                <w:color w:val="auto"/>
              </w:rPr>
              <w:t>Equipment and other</w:t>
            </w:r>
          </w:p>
        </w:tc>
        <w:tc>
          <w:tcPr>
            <w:tcW w:w="39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4,590.7</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4,505.8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420" w:type="dxa"/>
        <w:tblCellMar>
          <w:top w:w="0" w:type="dxa"/>
          <w:left w:w="0" w:type="dxa"/>
          <w:bottom w:w="0" w:type="dxa"/>
          <w:right w:w="0" w:type="dxa"/>
        </w:tblCellMar>
      </w:tblPr>
      <w:tr>
        <w:trPr>
          <w:trHeight w:val="162"/>
        </w:trPr>
        <w:tc>
          <w:tcPr>
            <w:tcW w:w="5560" w:type="dxa"/>
            <w:vAlign w:val="bottom"/>
          </w:tcPr>
          <w:p>
            <w:pPr>
              <w:spacing w:after="0"/>
              <w:rPr>
                <w:sz w:val="14"/>
                <w:szCs w:val="14"/>
                <w:color w:val="auto"/>
              </w:rPr>
            </w:pPr>
          </w:p>
        </w:tc>
        <w:tc>
          <w:tcPr>
            <w:tcW w:w="28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9,303.3</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8,985.7</w:t>
            </w: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Less accumulated depreciation and amortization</w:t>
            </w:r>
          </w:p>
        </w:tc>
        <w:tc>
          <w:tcPr>
            <w:tcW w:w="28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2,857.6</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2,383.9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600" w:type="dxa"/>
        <w:tblCellMar>
          <w:top w:w="0" w:type="dxa"/>
          <w:left w:w="0" w:type="dxa"/>
          <w:bottom w:w="0" w:type="dxa"/>
          <w:right w:w="0" w:type="dxa"/>
        </w:tblCellMar>
      </w:tblPr>
      <w:tr>
        <w:trPr>
          <w:trHeight w:val="162"/>
        </w:trPr>
        <w:tc>
          <w:tcPr>
            <w:tcW w:w="4600" w:type="dxa"/>
            <w:vAlign w:val="bottom"/>
          </w:tcPr>
          <w:p>
            <w:pPr>
              <w:spacing w:after="0"/>
              <w:rPr>
                <w:sz w:val="20"/>
                <w:szCs w:val="20"/>
                <w:color w:val="auto"/>
              </w:rPr>
            </w:pPr>
            <w:r>
              <w:rPr>
                <w:rFonts w:ascii="Courier New" w:cs="Courier New" w:eastAsia="Courier New" w:hAnsi="Courier New"/>
                <w:sz w:val="14"/>
                <w:szCs w:val="14"/>
                <w:color w:val="auto"/>
              </w:rPr>
              <w:t>Net property and equipment</w:t>
            </w:r>
          </w:p>
        </w:tc>
        <w:tc>
          <w:tcPr>
            <w:tcW w:w="36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6,445.7</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6,601.8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20" w:type="dxa"/>
            <w:vAlign w:val="bottom"/>
            <w:gridSpan w:val="2"/>
          </w:tcPr>
          <w:p>
            <w:pPr>
              <w:spacing w:after="0"/>
              <w:rPr>
                <w:sz w:val="20"/>
                <w:szCs w:val="20"/>
                <w:color w:val="auto"/>
              </w:rPr>
            </w:pPr>
            <w:r>
              <w:rPr>
                <w:rFonts w:ascii="Courier New" w:cs="Courier New" w:eastAsia="Courier New" w:hAnsi="Courier New"/>
                <w:sz w:val="14"/>
                <w:szCs w:val="14"/>
                <w:color w:val="auto"/>
              </w:rPr>
              <w:t>Inventory (Note</w:t>
            </w:r>
          </w:p>
        </w:tc>
        <w:tc>
          <w:tcPr>
            <w:tcW w:w="3720" w:type="dxa"/>
            <w:vAlign w:val="bottom"/>
          </w:tcPr>
          <w:p>
            <w:pPr>
              <w:ind w:left="60"/>
              <w:spacing w:after="0"/>
              <w:rPr>
                <w:sz w:val="20"/>
                <w:szCs w:val="20"/>
                <w:color w:val="auto"/>
              </w:rPr>
            </w:pPr>
            <w:r>
              <w:rPr>
                <w:rFonts w:ascii="Courier New" w:cs="Courier New" w:eastAsia="Courier New" w:hAnsi="Courier New"/>
                <w:sz w:val="14"/>
                <w:szCs w:val="14"/>
                <w:color w:val="auto"/>
              </w:rPr>
              <w:t>5)</w:t>
            </w:r>
          </w:p>
        </w:tc>
        <w:tc>
          <w:tcPr>
            <w:tcW w:w="37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3,641.6</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3,632.9</w:t>
            </w:r>
          </w:p>
        </w:tc>
      </w:tr>
      <w:tr>
        <w:trPr>
          <w:trHeight w:val="166"/>
        </w:trPr>
        <w:tc>
          <w:tcPr>
            <w:tcW w:w="1060" w:type="dxa"/>
            <w:vAlign w:val="bottom"/>
          </w:tcPr>
          <w:p>
            <w:pPr>
              <w:spacing w:after="0"/>
              <w:rPr>
                <w:sz w:val="20"/>
                <w:szCs w:val="20"/>
                <w:color w:val="auto"/>
              </w:rPr>
            </w:pPr>
            <w:r>
              <w:rPr>
                <w:rFonts w:ascii="Courier New" w:cs="Courier New" w:eastAsia="Courier New" w:hAnsi="Courier New"/>
                <w:sz w:val="14"/>
                <w:szCs w:val="14"/>
                <w:color w:val="auto"/>
              </w:rPr>
              <w:t>Intangibles,</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at</w:t>
            </w:r>
          </w:p>
        </w:tc>
        <w:tc>
          <w:tcPr>
            <w:tcW w:w="3720" w:type="dxa"/>
            <w:vAlign w:val="bottom"/>
          </w:tcPr>
          <w:p>
            <w:pPr>
              <w:ind w:left="60"/>
              <w:spacing w:after="0"/>
              <w:rPr>
                <w:sz w:val="20"/>
                <w:szCs w:val="20"/>
                <w:color w:val="auto"/>
              </w:rPr>
            </w:pPr>
            <w:r>
              <w:rPr>
                <w:rFonts w:ascii="Courier New" w:cs="Courier New" w:eastAsia="Courier New" w:hAnsi="Courier New"/>
                <w:sz w:val="14"/>
                <w:szCs w:val="14"/>
                <w:color w:val="auto"/>
              </w:rPr>
              <w:t>amortized cost</w:t>
            </w:r>
          </w:p>
        </w:tc>
        <w:tc>
          <w:tcPr>
            <w:tcW w:w="37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71,313.8</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62,004.1</w:t>
            </w:r>
          </w:p>
        </w:tc>
      </w:tr>
      <w:tr>
        <w:trPr>
          <w:trHeight w:val="166"/>
        </w:trPr>
        <w:tc>
          <w:tcPr>
            <w:tcW w:w="106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2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37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3,105.9</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2,574.9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420" w:type="dxa"/>
        <w:tblCellMar>
          <w:top w:w="0" w:type="dxa"/>
          <w:left w:w="0" w:type="dxa"/>
          <w:bottom w:w="0" w:type="dxa"/>
          <w:right w:w="0" w:type="dxa"/>
        </w:tblCellMar>
      </w:tblPr>
      <w:tr>
        <w:trPr>
          <w:trHeight w:val="162"/>
        </w:trPr>
        <w:tc>
          <w:tcPr>
            <w:tcW w:w="396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43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$ 91,582.7</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$ 82,646.1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80" w:type="dxa"/>
            <w:vAlign w:val="bottom"/>
          </w:tcPr>
          <w:p>
            <w:pPr>
              <w:spacing w:after="0"/>
              <w:rPr>
                <w:sz w:val="20"/>
                <w:szCs w:val="20"/>
                <w:color w:val="auto"/>
              </w:rPr>
            </w:pPr>
            <w:r>
              <w:rPr>
                <w:rFonts w:ascii="Courier New" w:cs="Courier New" w:eastAsia="Courier New" w:hAnsi="Courier New"/>
                <w:sz w:val="14"/>
                <w:szCs w:val="14"/>
                <w:color w:val="auto"/>
              </w:rPr>
              <w:t>LIABILITIES AND STOCKHOLDERS' EQUITY</w:t>
            </w:r>
          </w:p>
        </w:tc>
        <w:tc>
          <w:tcPr>
            <w:tcW w:w="1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568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1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5680" w:type="dxa"/>
            <w:vAlign w:val="bottom"/>
          </w:tcPr>
          <w:p>
            <w:pPr>
              <w:ind w:left="420"/>
              <w:spacing w:after="0"/>
              <w:rPr>
                <w:sz w:val="20"/>
                <w:szCs w:val="20"/>
                <w:color w:val="auto"/>
              </w:rPr>
            </w:pPr>
            <w:r>
              <w:rPr>
                <w:rFonts w:ascii="Courier New" w:cs="Courier New" w:eastAsia="Courier New" w:hAnsi="Courier New"/>
                <w:sz w:val="14"/>
                <w:szCs w:val="14"/>
                <w:color w:val="auto"/>
              </w:rPr>
              <w:t>Accounts payable</w:t>
            </w:r>
          </w:p>
        </w:tc>
        <w:tc>
          <w:tcPr>
            <w:tcW w:w="1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980.6</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  1,261.1</w:t>
            </w:r>
          </w:p>
        </w:tc>
      </w:tr>
      <w:tr>
        <w:trPr>
          <w:trHeight w:val="166"/>
        </w:trPr>
        <w:tc>
          <w:tcPr>
            <w:tcW w:w="5680" w:type="dxa"/>
            <w:vAlign w:val="bottom"/>
          </w:tcPr>
          <w:p>
            <w:pPr>
              <w:ind w:left="420"/>
              <w:spacing w:after="0"/>
              <w:rPr>
                <w:sz w:val="20"/>
                <w:szCs w:val="20"/>
                <w:color w:val="auto"/>
              </w:rPr>
            </w:pPr>
            <w:r>
              <w:rPr>
                <w:rFonts w:ascii="Courier New" w:cs="Courier New" w:eastAsia="Courier New" w:hAnsi="Courier New"/>
                <w:sz w:val="14"/>
                <w:szCs w:val="14"/>
                <w:color w:val="auto"/>
              </w:rPr>
              <w:t>Accrued expenses and other</w:t>
            </w:r>
          </w:p>
        </w:tc>
        <w:tc>
          <w:tcPr>
            <w:tcW w:w="1800" w:type="dxa"/>
            <w:vAlign w:val="bottom"/>
          </w:tcPr>
          <w:p>
            <w:pPr>
              <w:spacing w:after="0"/>
              <w:rPr>
                <w:sz w:val="14"/>
                <w:szCs w:val="14"/>
                <w:color w:val="auto"/>
              </w:rPr>
            </w:pP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4,073.4</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4,343.1</w:t>
            </w:r>
          </w:p>
        </w:tc>
      </w:tr>
      <w:tr>
        <w:trPr>
          <w:trHeight w:val="166"/>
        </w:trPr>
        <w:tc>
          <w:tcPr>
            <w:tcW w:w="5680" w:type="dxa"/>
            <w:vAlign w:val="bottom"/>
          </w:tcPr>
          <w:p>
            <w:pPr>
              <w:ind w:left="420"/>
              <w:spacing w:after="0"/>
              <w:rPr>
                <w:sz w:val="20"/>
                <w:szCs w:val="20"/>
                <w:color w:val="auto"/>
              </w:rPr>
            </w:pPr>
            <w:r>
              <w:rPr>
                <w:rFonts w:ascii="Courier New" w:cs="Courier New" w:eastAsia="Courier New" w:hAnsi="Courier New"/>
                <w:sz w:val="14"/>
                <w:szCs w:val="14"/>
                <w:color w:val="auto"/>
              </w:rPr>
              <w:t>Accrued participations</w:t>
            </w:r>
          </w:p>
        </w:tc>
        <w:tc>
          <w:tcPr>
            <w:tcW w:w="1800" w:type="dxa"/>
            <w:vAlign w:val="bottom"/>
          </w:tcPr>
          <w:p>
            <w:pPr>
              <w:spacing w:after="0"/>
              <w:rPr>
                <w:sz w:val="14"/>
                <w:szCs w:val="14"/>
                <w:color w:val="auto"/>
              </w:rPr>
            </w:pP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1,344.4</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1,220.3</w:t>
            </w:r>
          </w:p>
        </w:tc>
      </w:tr>
      <w:tr>
        <w:trPr>
          <w:trHeight w:val="166"/>
        </w:trPr>
        <w:tc>
          <w:tcPr>
            <w:tcW w:w="5680" w:type="dxa"/>
            <w:vAlign w:val="bottom"/>
          </w:tcPr>
          <w:p>
            <w:pPr>
              <w:ind w:left="420"/>
              <w:spacing w:after="0"/>
              <w:rPr>
                <w:sz w:val="20"/>
                <w:szCs w:val="20"/>
                <w:color w:val="auto"/>
              </w:rPr>
            </w:pPr>
            <w:r>
              <w:rPr>
                <w:rFonts w:ascii="Courier New" w:cs="Courier New" w:eastAsia="Courier New" w:hAnsi="Courier New"/>
                <w:sz w:val="14"/>
                <w:szCs w:val="14"/>
                <w:color w:val="auto"/>
              </w:rPr>
              <w:t>Program rights</w:t>
            </w:r>
          </w:p>
        </w:tc>
        <w:tc>
          <w:tcPr>
            <w:tcW w:w="1800" w:type="dxa"/>
            <w:vAlign w:val="bottom"/>
          </w:tcPr>
          <w:p>
            <w:pPr>
              <w:spacing w:after="0"/>
              <w:rPr>
                <w:sz w:val="14"/>
                <w:szCs w:val="14"/>
                <w:color w:val="auto"/>
              </w:rPr>
            </w:pP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978.0</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709.8</w:t>
            </w:r>
          </w:p>
        </w:tc>
      </w:tr>
      <w:tr>
        <w:trPr>
          <w:trHeight w:val="166"/>
        </w:trPr>
        <w:tc>
          <w:tcPr>
            <w:tcW w:w="5680" w:type="dxa"/>
            <w:vAlign w:val="bottom"/>
          </w:tcPr>
          <w:p>
            <w:pPr>
              <w:ind w:left="420"/>
              <w:spacing w:after="0"/>
              <w:rPr>
                <w:sz w:val="20"/>
                <w:szCs w:val="20"/>
                <w:color w:val="auto"/>
              </w:rPr>
            </w:pPr>
            <w:r>
              <w:rPr>
                <w:rFonts w:ascii="Courier New" w:cs="Courier New" w:eastAsia="Courier New" w:hAnsi="Courier New"/>
                <w:sz w:val="14"/>
                <w:szCs w:val="14"/>
                <w:color w:val="auto"/>
              </w:rPr>
              <w:t>Current portion of long-term debt (Note 7)</w:t>
            </w:r>
          </w:p>
        </w:tc>
        <w:tc>
          <w:tcPr>
            <w:tcW w:w="1800" w:type="dxa"/>
            <w:vAlign w:val="bottom"/>
          </w:tcPr>
          <w:p>
            <w:pPr>
              <w:spacing w:after="0"/>
              <w:rPr>
                <w:sz w:val="14"/>
                <w:szCs w:val="14"/>
                <w:color w:val="auto"/>
              </w:rPr>
            </w:pP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266.4</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223.9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940" w:type="dxa"/>
        <w:tblCellMar>
          <w:top w:w="0" w:type="dxa"/>
          <w:left w:w="0" w:type="dxa"/>
          <w:bottom w:w="0" w:type="dxa"/>
          <w:right w:w="0" w:type="dxa"/>
        </w:tblCellMar>
      </w:tblPr>
      <w:tr>
        <w:trPr>
          <w:trHeight w:val="162"/>
        </w:trPr>
        <w:tc>
          <w:tcPr>
            <w:tcW w:w="4400" w:type="dxa"/>
            <w:vAlign w:val="bottom"/>
          </w:tcPr>
          <w:p>
            <w:pPr>
              <w:spacing w:after="0"/>
              <w:rPr>
                <w:sz w:val="20"/>
                <w:szCs w:val="20"/>
                <w:color w:val="auto"/>
              </w:rPr>
            </w:pPr>
            <w:r>
              <w:rPr>
                <w:rFonts w:ascii="Courier New" w:cs="Courier New" w:eastAsia="Courier New" w:hAnsi="Courier New"/>
                <w:sz w:val="14"/>
                <w:szCs w:val="14"/>
                <w:color w:val="auto"/>
              </w:rPr>
              <w:t>Total current liabilities</w:t>
            </w:r>
          </w:p>
        </w:tc>
        <w:tc>
          <w:tcPr>
            <w:tcW w:w="35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7,642.8</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7,758.2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60" w:type="dxa"/>
            <w:vAlign w:val="bottom"/>
          </w:tcPr>
          <w:p>
            <w:pPr>
              <w:spacing w:after="0"/>
              <w:rPr>
                <w:sz w:val="20"/>
                <w:szCs w:val="20"/>
                <w:color w:val="auto"/>
              </w:rPr>
            </w:pPr>
            <w:r>
              <w:rPr>
                <w:rFonts w:ascii="Courier New" w:cs="Courier New" w:eastAsia="Courier New" w:hAnsi="Courier New"/>
                <w:sz w:val="14"/>
                <w:szCs w:val="14"/>
                <w:color w:val="auto"/>
              </w:rPr>
              <w:t>Long-term debt (Note 7)</w:t>
            </w:r>
          </w:p>
        </w:tc>
        <w:tc>
          <w:tcPr>
            <w:tcW w:w="22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11,725.0</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12,473.8</w:t>
            </w:r>
          </w:p>
        </w:tc>
      </w:tr>
      <w:tr>
        <w:trPr>
          <w:trHeight w:val="166"/>
        </w:trPr>
        <w:tc>
          <w:tcPr>
            <w:tcW w:w="6660" w:type="dxa"/>
            <w:vAlign w:val="bottom"/>
          </w:tcPr>
          <w:p>
            <w:pPr>
              <w:spacing w:after="0"/>
              <w:rPr>
                <w:sz w:val="20"/>
                <w:szCs w:val="20"/>
                <w:color w:val="auto"/>
              </w:rPr>
            </w:pPr>
            <w:r>
              <w:rPr>
                <w:rFonts w:ascii="Courier New" w:cs="Courier New" w:eastAsia="Courier New" w:hAnsi="Courier New"/>
                <w:sz w:val="14"/>
                <w:szCs w:val="14"/>
                <w:color w:val="auto"/>
              </w:rPr>
              <w:t>Other liabilities</w:t>
            </w:r>
          </w:p>
        </w:tc>
        <w:tc>
          <w:tcPr>
            <w:tcW w:w="22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8,182.9</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7,407.0</w:t>
            </w:r>
          </w:p>
        </w:tc>
      </w:tr>
      <w:tr>
        <w:trPr>
          <w:trHeight w:val="331"/>
        </w:trPr>
        <w:tc>
          <w:tcPr>
            <w:tcW w:w="6660" w:type="dxa"/>
            <w:vAlign w:val="bottom"/>
          </w:tcPr>
          <w:p>
            <w:pPr>
              <w:spacing w:after="0"/>
              <w:rPr>
                <w:sz w:val="20"/>
                <w:szCs w:val="20"/>
                <w:color w:val="auto"/>
              </w:rPr>
            </w:pPr>
            <w:r>
              <w:rPr>
                <w:rFonts w:ascii="Courier New" w:cs="Courier New" w:eastAsia="Courier New" w:hAnsi="Courier New"/>
                <w:sz w:val="14"/>
                <w:szCs w:val="14"/>
                <w:color w:val="auto"/>
              </w:rPr>
              <w:t>Commitments and contingencies (Note 9)</w:t>
            </w:r>
          </w:p>
        </w:tc>
        <w:tc>
          <w:tcPr>
            <w:tcW w:w="22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31"/>
        </w:trPr>
        <w:tc>
          <w:tcPr>
            <w:tcW w:w="666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22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1,208.5</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7,040.2</w:t>
            </w:r>
          </w:p>
        </w:tc>
      </w:tr>
      <w:tr>
        <w:trPr>
          <w:trHeight w:val="331"/>
        </w:trPr>
        <w:tc>
          <w:tcPr>
            <w:tcW w:w="666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22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6660" w:type="dxa"/>
            <w:vAlign w:val="bottom"/>
          </w:tcPr>
          <w:p>
            <w:pPr>
              <w:ind w:left="420"/>
              <w:spacing w:after="0"/>
              <w:rPr>
                <w:sz w:val="20"/>
                <w:szCs w:val="20"/>
                <w:color w:val="auto"/>
              </w:rPr>
            </w:pPr>
            <w:r>
              <w:rPr>
                <w:rFonts w:ascii="Courier New" w:cs="Courier New" w:eastAsia="Courier New" w:hAnsi="Courier New"/>
                <w:sz w:val="14"/>
                <w:szCs w:val="14"/>
                <w:color w:val="auto"/>
              </w:rPr>
              <w:t>Class A Common Stock, par value $.01 per share; 750.0 shares</w:t>
            </w:r>
          </w:p>
        </w:tc>
        <w:tc>
          <w:tcPr>
            <w:tcW w:w="22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6660" w:type="dxa"/>
            <w:vAlign w:val="bottom"/>
          </w:tcPr>
          <w:p>
            <w:pPr>
              <w:ind w:left="600"/>
              <w:spacing w:after="0"/>
              <w:rPr>
                <w:sz w:val="20"/>
                <w:szCs w:val="20"/>
                <w:color w:val="auto"/>
              </w:rPr>
            </w:pPr>
            <w:r>
              <w:rPr>
                <w:rFonts w:ascii="Courier New" w:cs="Courier New" w:eastAsia="Courier New" w:hAnsi="Courier New"/>
                <w:sz w:val="14"/>
                <w:szCs w:val="14"/>
                <w:color w:val="auto"/>
              </w:rPr>
              <w:t>authorized; 138.8 (2001) and 138.9 (2000) shares issued</w:t>
            </w:r>
          </w:p>
        </w:tc>
        <w:tc>
          <w:tcPr>
            <w:tcW w:w="22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1.4</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w:t>
            </w:r>
          </w:p>
        </w:tc>
      </w:tr>
      <w:tr>
        <w:trPr>
          <w:trHeight w:val="166"/>
        </w:trPr>
        <w:tc>
          <w:tcPr>
            <w:tcW w:w="6660" w:type="dxa"/>
            <w:vAlign w:val="bottom"/>
          </w:tcPr>
          <w:p>
            <w:pPr>
              <w:ind w:left="420"/>
              <w:spacing w:after="0"/>
              <w:rPr>
                <w:sz w:val="20"/>
                <w:szCs w:val="20"/>
                <w:color w:val="auto"/>
              </w:rPr>
            </w:pPr>
            <w:r>
              <w:rPr>
                <w:rFonts w:ascii="Courier New" w:cs="Courier New" w:eastAsia="Courier New" w:hAnsi="Courier New"/>
                <w:sz w:val="14"/>
                <w:szCs w:val="14"/>
                <w:color w:val="auto"/>
              </w:rPr>
              <w:t>Class B Common Stock, par value $.01 per share; 10,000.0 shares</w:t>
            </w:r>
          </w:p>
        </w:tc>
        <w:tc>
          <w:tcPr>
            <w:tcW w:w="22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6660" w:type="dxa"/>
            <w:vAlign w:val="bottom"/>
          </w:tcPr>
          <w:p>
            <w:pPr>
              <w:ind w:left="600"/>
              <w:spacing w:after="0"/>
              <w:rPr>
                <w:sz w:val="20"/>
                <w:szCs w:val="20"/>
                <w:color w:val="auto"/>
              </w:rPr>
            </w:pPr>
            <w:r>
              <w:rPr>
                <w:rFonts w:ascii="Courier New" w:cs="Courier New" w:eastAsia="Courier New" w:hAnsi="Courier New"/>
                <w:sz w:val="14"/>
                <w:szCs w:val="14"/>
                <w:color w:val="auto"/>
              </w:rPr>
              <w:t>authorized; 1,694.6 (2001) and 1,454.7 (2000) shares issued</w:t>
            </w:r>
          </w:p>
        </w:tc>
        <w:tc>
          <w:tcPr>
            <w:tcW w:w="22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17.0</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14.5</w:t>
            </w:r>
          </w:p>
        </w:tc>
      </w:tr>
      <w:tr>
        <w:trPr>
          <w:trHeight w:val="166"/>
        </w:trPr>
        <w:tc>
          <w:tcPr>
            <w:tcW w:w="6660" w:type="dxa"/>
            <w:vAlign w:val="bottom"/>
          </w:tcPr>
          <w:p>
            <w:pPr>
              <w:ind w:left="420"/>
              <w:spacing w:after="0"/>
              <w:rPr>
                <w:sz w:val="20"/>
                <w:szCs w:val="20"/>
                <w:color w:val="auto"/>
              </w:rPr>
            </w:pPr>
            <w:r>
              <w:rPr>
                <w:rFonts w:ascii="Courier New" w:cs="Courier New" w:eastAsia="Courier New" w:hAnsi="Courier New"/>
                <w:sz w:val="14"/>
                <w:szCs w:val="14"/>
                <w:color w:val="auto"/>
              </w:rPr>
              <w:t>Additional paid-in capital</w:t>
            </w:r>
          </w:p>
        </w:tc>
        <w:tc>
          <w:tcPr>
            <w:tcW w:w="22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64,817.2</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50,729.9</w:t>
            </w:r>
          </w:p>
        </w:tc>
      </w:tr>
      <w:tr>
        <w:trPr>
          <w:trHeight w:val="166"/>
        </w:trPr>
        <w:tc>
          <w:tcPr>
            <w:tcW w:w="6660" w:type="dxa"/>
            <w:vAlign w:val="bottom"/>
          </w:tcPr>
          <w:p>
            <w:pPr>
              <w:ind w:left="420"/>
              <w:spacing w:after="0"/>
              <w:rPr>
                <w:sz w:val="20"/>
                <w:szCs w:val="20"/>
                <w:color w:val="auto"/>
              </w:rPr>
            </w:pPr>
            <w:r>
              <w:rPr>
                <w:rFonts w:ascii="Courier New" w:cs="Courier New" w:eastAsia="Courier New" w:hAnsi="Courier New"/>
                <w:sz w:val="14"/>
                <w:szCs w:val="14"/>
                <w:color w:val="auto"/>
              </w:rPr>
              <w:t>Retained earnings</w:t>
            </w:r>
          </w:p>
        </w:tc>
        <w:tc>
          <w:tcPr>
            <w:tcW w:w="22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1,250.8</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1,431.8</w:t>
            </w:r>
          </w:p>
        </w:tc>
      </w:tr>
      <w:tr>
        <w:trPr>
          <w:trHeight w:val="166"/>
        </w:trPr>
        <w:tc>
          <w:tcPr>
            <w:tcW w:w="6660" w:type="dxa"/>
            <w:vAlign w:val="bottom"/>
          </w:tcPr>
          <w:p>
            <w:pPr>
              <w:ind w:left="420"/>
              <w:spacing w:after="0"/>
              <w:rPr>
                <w:sz w:val="20"/>
                <w:szCs w:val="20"/>
                <w:color w:val="auto"/>
              </w:rPr>
            </w:pPr>
            <w:r>
              <w:rPr>
                <w:rFonts w:ascii="Courier New" w:cs="Courier New" w:eastAsia="Courier New" w:hAnsi="Courier New"/>
                <w:sz w:val="14"/>
                <w:szCs w:val="14"/>
                <w:color w:val="auto"/>
              </w:rPr>
              <w:t>Accumulated other comprehensive loss (Note 1)</w:t>
            </w:r>
          </w:p>
        </w:tc>
        <w:tc>
          <w:tcPr>
            <w:tcW w:w="2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(193.0)</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(152.5)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42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65,893.4</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52,025.1</w:t>
            </w:r>
          </w:p>
        </w:tc>
      </w:tr>
      <w:tr>
        <w:trPr>
          <w:trHeight w:val="166"/>
        </w:trPr>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Less treasury</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stock, at cost;</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1.4 (2001 and 2000) Class A shares and</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70.8 (2001)</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and 96.3 (2000)</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Class B shares</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3,069.9</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4,058.2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940" w:type="dxa"/>
        <w:tblCellMar>
          <w:top w:w="0" w:type="dxa"/>
          <w:left w:w="0" w:type="dxa"/>
          <w:bottom w:w="0" w:type="dxa"/>
          <w:right w:w="0" w:type="dxa"/>
        </w:tblCellMar>
      </w:tblPr>
      <w:tr>
        <w:trPr>
          <w:trHeight w:val="162"/>
        </w:trPr>
        <w:tc>
          <w:tcPr>
            <w:tcW w:w="4400" w:type="dxa"/>
            <w:vAlign w:val="bottom"/>
          </w:tcPr>
          <w:p>
            <w:pPr>
              <w:spacing w:after="0"/>
              <w:rPr>
                <w:sz w:val="20"/>
                <w:szCs w:val="20"/>
                <w:color w:val="auto"/>
              </w:rPr>
            </w:pPr>
            <w:r>
              <w:rPr>
                <w:rFonts w:ascii="Courier New" w:cs="Courier New" w:eastAsia="Courier New" w:hAnsi="Courier New"/>
                <w:sz w:val="14"/>
                <w:szCs w:val="14"/>
                <w:color w:val="auto"/>
              </w:rPr>
              <w:t>Total Stockholders' Equity</w:t>
            </w:r>
          </w:p>
        </w:tc>
        <w:tc>
          <w:tcPr>
            <w:tcW w:w="34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62,823.5</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47,966.9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420" w:type="dxa"/>
        <w:tblCellMar>
          <w:top w:w="0" w:type="dxa"/>
          <w:left w:w="0" w:type="dxa"/>
          <w:bottom w:w="0" w:type="dxa"/>
          <w:right w:w="0" w:type="dxa"/>
        </w:tblCellMar>
      </w:tblPr>
      <w:tr>
        <w:trPr>
          <w:trHeight w:val="162"/>
        </w:trPr>
        <w:tc>
          <w:tcPr>
            <w:tcW w:w="5260" w:type="dxa"/>
            <w:vAlign w:val="bottom"/>
          </w:tcPr>
          <w:p>
            <w:pPr>
              <w:spacing w:after="0"/>
              <w:rPr>
                <w:sz w:val="20"/>
                <w:szCs w:val="20"/>
                <w:color w:val="auto"/>
              </w:rPr>
            </w:pPr>
            <w:r>
              <w:rPr>
                <w:rFonts w:ascii="Courier New" w:cs="Courier New" w:eastAsia="Courier New" w:hAnsi="Courier New"/>
                <w:sz w:val="14"/>
                <w:szCs w:val="14"/>
                <w:color w:val="auto"/>
              </w:rPr>
              <w:t>Total Liabilities and Stockholders' Equity</w:t>
            </w:r>
          </w:p>
        </w:tc>
        <w:tc>
          <w:tcPr>
            <w:tcW w:w="30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$ 91,582.7</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$ 82,646.1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338"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680"/>
          </w:cols>
          <w:pgMar w:left="580" w:top="616" w:right="639" w:bottom="1440" w:gutter="0" w:footer="0" w:header="0"/>
        </w:sectPr>
      </w:pPr>
    </w:p>
    <w:bookmarkStart w:id="4" w:name="page5"/>
    <w:bookmarkEnd w:id="4"/>
    <w:p>
      <w:pPr>
        <w:ind w:left="2060"/>
        <w:spacing w:after="0"/>
        <w:rPr>
          <w:sz w:val="20"/>
          <w:szCs w:val="20"/>
          <w:color w:val="auto"/>
        </w:rPr>
      </w:pPr>
      <w:r>
        <w:rPr>
          <w:rFonts w:ascii="Courier New" w:cs="Courier New" w:eastAsia="Courier New" w:hAnsi="Courier New"/>
          <w:sz w:val="14"/>
          <w:szCs w:val="14"/>
          <w:color w:val="auto"/>
        </w:rPr>
        <w:t>VIACOM INC. AND SUBSIDIARIES</w:t>
      </w:r>
    </w:p>
    <w:p>
      <w:pPr>
        <w:spacing w:after="0" w:line="7" w:lineRule="exact"/>
        <w:rPr>
          <w:sz w:val="20"/>
          <w:szCs w:val="20"/>
          <w:color w:val="auto"/>
        </w:rPr>
      </w:pPr>
    </w:p>
    <w:p>
      <w:pPr>
        <w:ind w:left="1720"/>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7" w:lineRule="exact"/>
        <w:rPr>
          <w:sz w:val="20"/>
          <w:szCs w:val="20"/>
          <w:color w:val="auto"/>
        </w:rPr>
      </w:pPr>
    </w:p>
    <w:p>
      <w:pPr>
        <w:ind w:left="1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00" w:type="dxa"/>
            <w:vAlign w:val="bottom"/>
          </w:tcPr>
          <w:p>
            <w:pPr>
              <w:ind w:left="2240"/>
              <w:spacing w:after="0"/>
              <w:rPr>
                <w:sz w:val="20"/>
                <w:szCs w:val="20"/>
                <w:color w:val="auto"/>
              </w:rPr>
            </w:pPr>
            <w:r>
              <w:rPr>
                <w:rFonts w:ascii="Courier New" w:cs="Courier New" w:eastAsia="Courier New" w:hAnsi="Courier New"/>
                <w:sz w:val="14"/>
                <w:szCs w:val="14"/>
                <w:color w:val="auto"/>
              </w:rPr>
              <w:t>(Unaudited; in millions)</w:t>
            </w:r>
          </w:p>
        </w:tc>
        <w:tc>
          <w:tcPr>
            <w:tcW w:w="28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663"/>
        </w:trPr>
        <w:tc>
          <w:tcPr>
            <w:tcW w:w="6200" w:type="dxa"/>
            <w:vAlign w:val="bottom"/>
          </w:tcPr>
          <w:p>
            <w:pPr>
              <w:spacing w:after="0"/>
              <w:rPr>
                <w:sz w:val="20"/>
                <w:szCs w:val="20"/>
                <w:color w:val="auto"/>
              </w:rPr>
            </w:pPr>
            <w:r>
              <w:rPr>
                <w:rFonts w:ascii="Courier New" w:cs="Courier New" w:eastAsia="Courier New" w:hAnsi="Courier New"/>
                <w:sz w:val="14"/>
                <w:szCs w:val="14"/>
                <w:color w:val="auto"/>
              </w:rPr>
              <w:t>Nine Months ended September 30,</w:t>
            </w:r>
          </w:p>
        </w:tc>
        <w:tc>
          <w:tcPr>
            <w:tcW w:w="28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20" w:type="dxa"/>
            <w:vAlign w:val="bottom"/>
            <w:gridSpan w:val="2"/>
          </w:tcPr>
          <w:p>
            <w:pPr>
              <w:spacing w:after="0"/>
              <w:rPr>
                <w:sz w:val="20"/>
                <w:szCs w:val="20"/>
                <w:color w:val="auto"/>
              </w:rPr>
            </w:pPr>
            <w:r>
              <w:rPr>
                <w:rFonts w:ascii="Courier New" w:cs="Courier New" w:eastAsia="Courier New" w:hAnsi="Courier New"/>
                <w:sz w:val="14"/>
                <w:szCs w:val="14"/>
                <w:color w:val="auto"/>
              </w:rPr>
              <w:t>Operating Activities:</w:t>
            </w:r>
          </w:p>
        </w:tc>
        <w:tc>
          <w:tcPr>
            <w:tcW w:w="4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124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168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(181.0)</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   (846.5)</w:t>
            </w:r>
          </w:p>
        </w:tc>
      </w:tr>
      <w:tr>
        <w:trPr>
          <w:trHeight w:val="166"/>
        </w:trPr>
        <w:tc>
          <w:tcPr>
            <w:tcW w:w="1240" w:type="dxa"/>
            <w:vAlign w:val="bottom"/>
          </w:tcPr>
          <w:p>
            <w:pPr>
              <w:spacing w:after="0"/>
              <w:rPr>
                <w:sz w:val="20"/>
                <w:szCs w:val="20"/>
                <w:color w:val="auto"/>
              </w:rPr>
            </w:pPr>
            <w:r>
              <w:rPr>
                <w:rFonts w:ascii="Courier New" w:cs="Courier New" w:eastAsia="Courier New" w:hAnsi="Courier New"/>
                <w:sz w:val="14"/>
                <w:szCs w:val="14"/>
                <w:color w:val="auto"/>
              </w:rPr>
              <w:t>Adjustments to</w:t>
            </w:r>
          </w:p>
        </w:tc>
        <w:tc>
          <w:tcPr>
            <w:tcW w:w="1680" w:type="dxa"/>
            <w:vAlign w:val="bottom"/>
          </w:tcPr>
          <w:p>
            <w:pPr>
              <w:ind w:left="60"/>
              <w:spacing w:after="0"/>
              <w:rPr>
                <w:sz w:val="20"/>
                <w:szCs w:val="20"/>
                <w:color w:val="auto"/>
              </w:rPr>
            </w:pPr>
            <w:r>
              <w:rPr>
                <w:rFonts w:ascii="Courier New" w:cs="Courier New" w:eastAsia="Courier New" w:hAnsi="Courier New"/>
                <w:sz w:val="14"/>
                <w:szCs w:val="14"/>
                <w:color w:val="auto"/>
              </w:rPr>
              <w:t>reconcile net loss</w:t>
            </w:r>
          </w:p>
        </w:tc>
        <w:tc>
          <w:tcPr>
            <w:tcW w:w="4360" w:type="dxa"/>
            <w:vAlign w:val="bottom"/>
          </w:tcPr>
          <w:p>
            <w:pPr>
              <w:spacing w:after="0"/>
              <w:rPr>
                <w:sz w:val="20"/>
                <w:szCs w:val="20"/>
                <w:color w:val="auto"/>
              </w:rPr>
            </w:pPr>
            <w:r>
              <w:rPr>
                <w:rFonts w:ascii="Courier New" w:cs="Courier New" w:eastAsia="Courier New" w:hAnsi="Courier New"/>
                <w:sz w:val="14"/>
                <w:szCs w:val="14"/>
                <w:color w:val="auto"/>
              </w:rPr>
              <w:t>to net cash flow from operating</w:t>
            </w:r>
          </w:p>
        </w:tc>
        <w:tc>
          <w:tcPr>
            <w:tcW w:w="17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1240" w:type="dxa"/>
            <w:vAlign w:val="bottom"/>
          </w:tcPr>
          <w:p>
            <w:pPr>
              <w:ind w:left="260"/>
              <w:spacing w:after="0"/>
              <w:rPr>
                <w:sz w:val="20"/>
                <w:szCs w:val="20"/>
                <w:color w:val="auto"/>
              </w:rPr>
            </w:pPr>
            <w:r>
              <w:rPr>
                <w:rFonts w:ascii="Courier New" w:cs="Courier New" w:eastAsia="Courier New" w:hAnsi="Courier New"/>
                <w:sz w:val="14"/>
                <w:szCs w:val="14"/>
                <w:color w:val="auto"/>
              </w:rPr>
              <w:t>activities:</w:t>
            </w:r>
          </w:p>
        </w:tc>
        <w:tc>
          <w:tcPr>
            <w:tcW w:w="168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1240" w:type="dxa"/>
            <w:vAlign w:val="bottom"/>
          </w:tcPr>
          <w:p>
            <w:pPr>
              <w:ind w:left="440"/>
              <w:spacing w:after="0"/>
              <w:rPr>
                <w:sz w:val="20"/>
                <w:szCs w:val="20"/>
                <w:color w:val="auto"/>
              </w:rPr>
            </w:pPr>
            <w:r>
              <w:rPr>
                <w:rFonts w:ascii="Courier New" w:cs="Courier New" w:eastAsia="Courier New" w:hAnsi="Courier New"/>
                <w:sz w:val="14"/>
                <w:szCs w:val="14"/>
                <w:color w:val="auto"/>
              </w:rPr>
              <w:t>Inventory</w:t>
            </w:r>
          </w:p>
        </w:tc>
        <w:tc>
          <w:tcPr>
            <w:tcW w:w="1680" w:type="dxa"/>
            <w:vAlign w:val="bottom"/>
          </w:tcPr>
          <w:p>
            <w:pPr>
              <w:ind w:left="60"/>
              <w:spacing w:after="0"/>
              <w:rPr>
                <w:sz w:val="20"/>
                <w:szCs w:val="20"/>
                <w:color w:val="auto"/>
              </w:rPr>
            </w:pPr>
            <w:r>
              <w:rPr>
                <w:rFonts w:ascii="Courier New" w:cs="Courier New" w:eastAsia="Courier New" w:hAnsi="Courier New"/>
                <w:sz w:val="14"/>
                <w:szCs w:val="14"/>
                <w:color w:val="auto"/>
              </w:rPr>
              <w:t>and merger-related</w:t>
            </w:r>
          </w:p>
        </w:tc>
        <w:tc>
          <w:tcPr>
            <w:tcW w:w="4360" w:type="dxa"/>
            <w:vAlign w:val="bottom"/>
          </w:tcPr>
          <w:p>
            <w:pPr>
              <w:spacing w:after="0"/>
              <w:rPr>
                <w:sz w:val="20"/>
                <w:szCs w:val="20"/>
                <w:color w:val="auto"/>
              </w:rPr>
            </w:pPr>
            <w:r>
              <w:rPr>
                <w:rFonts w:ascii="Courier New" w:cs="Courier New" w:eastAsia="Courier New" w:hAnsi="Courier New"/>
                <w:sz w:val="14"/>
                <w:szCs w:val="14"/>
                <w:color w:val="auto"/>
              </w:rPr>
              <w:t>charges</w:t>
            </w: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352.7</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698.5</w:t>
            </w:r>
          </w:p>
        </w:tc>
      </w:tr>
      <w:tr>
        <w:trPr>
          <w:trHeight w:val="166"/>
        </w:trPr>
        <w:tc>
          <w:tcPr>
            <w:tcW w:w="728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Cumulative effect of change in accounting principle</w:t>
            </w:r>
          </w:p>
        </w:tc>
        <w:tc>
          <w:tcPr>
            <w:tcW w:w="17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753.9</w:t>
            </w:r>
          </w:p>
        </w:tc>
      </w:tr>
      <w:tr>
        <w:trPr>
          <w:trHeight w:val="166"/>
        </w:trPr>
        <w:tc>
          <w:tcPr>
            <w:tcW w:w="29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Depreciation and amortization</w:t>
            </w:r>
          </w:p>
        </w:tc>
        <w:tc>
          <w:tcPr>
            <w:tcW w:w="4360" w:type="dxa"/>
            <w:vAlign w:val="bottom"/>
          </w:tcPr>
          <w:p>
            <w:pPr>
              <w:spacing w:after="0"/>
              <w:rPr>
                <w:sz w:val="14"/>
                <w:szCs w:val="14"/>
                <w:color w:val="auto"/>
              </w:rPr>
            </w:pP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2,304.3</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1,460.5</w:t>
            </w:r>
          </w:p>
        </w:tc>
      </w:tr>
      <w:tr>
        <w:trPr>
          <w:trHeight w:val="166"/>
        </w:trPr>
        <w:tc>
          <w:tcPr>
            <w:tcW w:w="29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Distribution from affiliated</w:t>
            </w:r>
          </w:p>
        </w:tc>
        <w:tc>
          <w:tcPr>
            <w:tcW w:w="4360" w:type="dxa"/>
            <w:vAlign w:val="bottom"/>
          </w:tcPr>
          <w:p>
            <w:pPr>
              <w:spacing w:after="0"/>
              <w:rPr>
                <w:sz w:val="20"/>
                <w:szCs w:val="20"/>
                <w:color w:val="auto"/>
              </w:rPr>
            </w:pPr>
            <w:r>
              <w:rPr>
                <w:rFonts w:ascii="Courier New" w:cs="Courier New" w:eastAsia="Courier New" w:hAnsi="Courier New"/>
                <w:sz w:val="14"/>
                <w:szCs w:val="14"/>
                <w:color w:val="auto"/>
              </w:rPr>
              <w:t>companies</w:t>
            </w: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46.3</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32.4</w:t>
            </w:r>
          </w:p>
        </w:tc>
      </w:tr>
      <w:tr>
        <w:trPr>
          <w:trHeight w:val="166"/>
        </w:trPr>
        <w:tc>
          <w:tcPr>
            <w:tcW w:w="1240" w:type="dxa"/>
            <w:vAlign w:val="bottom"/>
          </w:tcPr>
          <w:p>
            <w:pPr>
              <w:ind w:left="440"/>
              <w:spacing w:after="0"/>
              <w:rPr>
                <w:sz w:val="20"/>
                <w:szCs w:val="20"/>
                <w:color w:val="auto"/>
              </w:rPr>
            </w:pPr>
            <w:r>
              <w:rPr>
                <w:rFonts w:ascii="Courier New" w:cs="Courier New" w:eastAsia="Courier New" w:hAnsi="Courier New"/>
                <w:sz w:val="14"/>
                <w:szCs w:val="14"/>
                <w:color w:val="auto"/>
              </w:rPr>
              <w:t>Equity in</w:t>
            </w:r>
          </w:p>
        </w:tc>
        <w:tc>
          <w:tcPr>
            <w:tcW w:w="1680" w:type="dxa"/>
            <w:vAlign w:val="bottom"/>
          </w:tcPr>
          <w:p>
            <w:pPr>
              <w:ind w:left="60"/>
              <w:spacing w:after="0"/>
              <w:rPr>
                <w:sz w:val="20"/>
                <w:szCs w:val="20"/>
                <w:color w:val="auto"/>
              </w:rPr>
            </w:pPr>
            <w:r>
              <w:rPr>
                <w:rFonts w:ascii="Courier New" w:cs="Courier New" w:eastAsia="Courier New" w:hAnsi="Courier New"/>
                <w:sz w:val="14"/>
                <w:szCs w:val="14"/>
                <w:color w:val="auto"/>
              </w:rPr>
              <w:t>loss of affiliated</w:t>
            </w:r>
          </w:p>
        </w:tc>
        <w:tc>
          <w:tcPr>
            <w:tcW w:w="4360" w:type="dxa"/>
            <w:vAlign w:val="bottom"/>
          </w:tcPr>
          <w:p>
            <w:pPr>
              <w:spacing w:after="0"/>
              <w:rPr>
                <w:sz w:val="20"/>
                <w:szCs w:val="20"/>
                <w:color w:val="auto"/>
              </w:rPr>
            </w:pPr>
            <w:r>
              <w:rPr>
                <w:rFonts w:ascii="Courier New" w:cs="Courier New" w:eastAsia="Courier New" w:hAnsi="Courier New"/>
                <w:sz w:val="14"/>
                <w:szCs w:val="14"/>
                <w:color w:val="auto"/>
              </w:rPr>
              <w:t>companies</w:t>
            </w: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41.9</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71.4</w:t>
            </w:r>
          </w:p>
        </w:tc>
      </w:tr>
      <w:tr>
        <w:trPr>
          <w:trHeight w:val="166"/>
        </w:trPr>
        <w:tc>
          <w:tcPr>
            <w:tcW w:w="29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Minority interest</w:t>
            </w:r>
          </w:p>
        </w:tc>
        <w:tc>
          <w:tcPr>
            <w:tcW w:w="4360" w:type="dxa"/>
            <w:vAlign w:val="bottom"/>
          </w:tcPr>
          <w:p>
            <w:pPr>
              <w:spacing w:after="0"/>
              <w:rPr>
                <w:sz w:val="14"/>
                <w:szCs w:val="14"/>
                <w:color w:val="auto"/>
              </w:rPr>
            </w:pP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(42.1)</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36.0</w:t>
            </w:r>
          </w:p>
        </w:tc>
      </w:tr>
      <w:tr>
        <w:trPr>
          <w:trHeight w:val="166"/>
        </w:trPr>
        <w:tc>
          <w:tcPr>
            <w:tcW w:w="1240" w:type="dxa"/>
            <w:vAlign w:val="bottom"/>
          </w:tcPr>
          <w:p>
            <w:pPr>
              <w:ind w:left="440"/>
              <w:spacing w:after="0"/>
              <w:rPr>
                <w:sz w:val="20"/>
                <w:szCs w:val="20"/>
                <w:color w:val="auto"/>
              </w:rPr>
            </w:pPr>
            <w:r>
              <w:rPr>
                <w:rFonts w:ascii="Courier New" w:cs="Courier New" w:eastAsia="Courier New" w:hAnsi="Courier New"/>
                <w:sz w:val="14"/>
                <w:szCs w:val="14"/>
                <w:color w:val="auto"/>
              </w:rPr>
              <w:t>Change in</w:t>
            </w:r>
          </w:p>
        </w:tc>
        <w:tc>
          <w:tcPr>
            <w:tcW w:w="60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operating assets and liabilities, net of effects of acquisitions</w:t>
            </w: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(576.6)</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(1,061.3)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80" w:type="dxa"/>
            <w:vAlign w:val="bottom"/>
          </w:tcPr>
          <w:p>
            <w:pPr>
              <w:spacing w:after="0"/>
              <w:rPr>
                <w:sz w:val="20"/>
                <w:szCs w:val="20"/>
                <w:color w:val="auto"/>
              </w:rPr>
            </w:pPr>
            <w:r>
              <w:rPr>
                <w:rFonts w:ascii="Courier New" w:cs="Courier New" w:eastAsia="Courier New" w:hAnsi="Courier New"/>
                <w:sz w:val="14"/>
                <w:szCs w:val="14"/>
                <w:color w:val="auto"/>
              </w:rPr>
              <w:t>Net cash flow provided by operating activities</w:t>
            </w:r>
          </w:p>
        </w:tc>
        <w:tc>
          <w:tcPr>
            <w:tcW w:w="31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1,945.5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1,144.9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60" w:type="dxa"/>
            <w:vAlign w:val="bottom"/>
          </w:tcPr>
          <w:p>
            <w:pPr>
              <w:spacing w:after="0"/>
              <w:rPr>
                <w:sz w:val="20"/>
                <w:szCs w:val="20"/>
                <w:color w:val="auto"/>
              </w:rPr>
            </w:pPr>
            <w:r>
              <w:rPr>
                <w:rFonts w:ascii="Courier New" w:cs="Courier New" w:eastAsia="Courier New" w:hAnsi="Courier New"/>
                <w:sz w:val="14"/>
                <w:szCs w:val="14"/>
                <w:color w:val="auto"/>
              </w:rPr>
              <w:t>Investing Activities:</w:t>
            </w:r>
          </w:p>
        </w:tc>
        <w:tc>
          <w:tcPr>
            <w:tcW w:w="26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6"/>
        </w:trPr>
        <w:tc>
          <w:tcPr>
            <w:tcW w:w="6460" w:type="dxa"/>
            <w:vAlign w:val="bottom"/>
          </w:tcPr>
          <w:p>
            <w:pPr>
              <w:ind w:left="440"/>
              <w:spacing w:after="0"/>
              <w:rPr>
                <w:sz w:val="20"/>
                <w:szCs w:val="20"/>
                <w:color w:val="auto"/>
              </w:rPr>
            </w:pPr>
            <w:r>
              <w:rPr>
                <w:rFonts w:ascii="Courier New" w:cs="Courier New" w:eastAsia="Courier New" w:hAnsi="Courier New"/>
                <w:sz w:val="14"/>
                <w:szCs w:val="14"/>
                <w:color w:val="auto"/>
              </w:rPr>
              <w:t>Acquisitions, net of cash acquired</w:t>
            </w:r>
          </w:p>
        </w:tc>
        <w:tc>
          <w:tcPr>
            <w:tcW w:w="26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(770.5)</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(1,851.3)</w:t>
            </w:r>
          </w:p>
        </w:tc>
      </w:tr>
      <w:tr>
        <w:trPr>
          <w:trHeight w:val="166"/>
        </w:trPr>
        <w:tc>
          <w:tcPr>
            <w:tcW w:w="6460" w:type="dxa"/>
            <w:vAlign w:val="bottom"/>
          </w:tcPr>
          <w:p>
            <w:pPr>
              <w:ind w:left="440"/>
              <w:spacing w:after="0"/>
              <w:rPr>
                <w:sz w:val="20"/>
                <w:szCs w:val="20"/>
                <w:color w:val="auto"/>
              </w:rPr>
            </w:pPr>
            <w:r>
              <w:rPr>
                <w:rFonts w:ascii="Courier New" w:cs="Courier New" w:eastAsia="Courier New" w:hAnsi="Courier New"/>
                <w:sz w:val="14"/>
                <w:szCs w:val="14"/>
                <w:color w:val="auto"/>
              </w:rPr>
              <w:t>Capital expenditures</w:t>
            </w:r>
          </w:p>
        </w:tc>
        <w:tc>
          <w:tcPr>
            <w:tcW w:w="26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(329.5)</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(422.1)</w:t>
            </w:r>
          </w:p>
        </w:tc>
      </w:tr>
      <w:tr>
        <w:trPr>
          <w:trHeight w:val="166"/>
        </w:trPr>
        <w:tc>
          <w:tcPr>
            <w:tcW w:w="6460" w:type="dxa"/>
            <w:vAlign w:val="bottom"/>
          </w:tcPr>
          <w:p>
            <w:pPr>
              <w:ind w:left="440"/>
              <w:spacing w:after="0"/>
              <w:rPr>
                <w:sz w:val="20"/>
                <w:szCs w:val="20"/>
                <w:color w:val="auto"/>
              </w:rPr>
            </w:pPr>
            <w:r>
              <w:rPr>
                <w:rFonts w:ascii="Courier New" w:cs="Courier New" w:eastAsia="Courier New" w:hAnsi="Courier New"/>
                <w:sz w:val="14"/>
                <w:szCs w:val="14"/>
                <w:color w:val="auto"/>
              </w:rPr>
              <w:t>Investments in and advances to affiliated companies</w:t>
            </w:r>
          </w:p>
        </w:tc>
        <w:tc>
          <w:tcPr>
            <w:tcW w:w="26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(54.6)</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(125.2)</w:t>
            </w:r>
          </w:p>
        </w:tc>
      </w:tr>
      <w:tr>
        <w:trPr>
          <w:trHeight w:val="166"/>
        </w:trPr>
        <w:tc>
          <w:tcPr>
            <w:tcW w:w="6460" w:type="dxa"/>
            <w:vAlign w:val="bottom"/>
          </w:tcPr>
          <w:p>
            <w:pPr>
              <w:ind w:left="440"/>
              <w:spacing w:after="0"/>
              <w:rPr>
                <w:sz w:val="20"/>
                <w:szCs w:val="20"/>
                <w:color w:val="auto"/>
              </w:rPr>
            </w:pPr>
            <w:r>
              <w:rPr>
                <w:rFonts w:ascii="Courier New" w:cs="Courier New" w:eastAsia="Courier New" w:hAnsi="Courier New"/>
                <w:sz w:val="14"/>
                <w:szCs w:val="14"/>
                <w:color w:val="auto"/>
              </w:rPr>
              <w:t>Proceeds from dispositions</w:t>
            </w:r>
          </w:p>
        </w:tc>
        <w:tc>
          <w:tcPr>
            <w:tcW w:w="26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235.3</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6460" w:type="dxa"/>
            <w:vAlign w:val="bottom"/>
          </w:tcPr>
          <w:p>
            <w:pPr>
              <w:ind w:left="440"/>
              <w:spacing w:after="0"/>
              <w:rPr>
                <w:sz w:val="20"/>
                <w:szCs w:val="20"/>
                <w:color w:val="auto"/>
              </w:rPr>
            </w:pPr>
            <w:r>
              <w:rPr>
                <w:rFonts w:ascii="Courier New" w:cs="Courier New" w:eastAsia="Courier New" w:hAnsi="Courier New"/>
                <w:sz w:val="14"/>
                <w:szCs w:val="14"/>
                <w:color w:val="auto"/>
              </w:rPr>
              <w:t>Proceeds from sales of short-term investments</w:t>
            </w:r>
          </w:p>
        </w:tc>
        <w:tc>
          <w:tcPr>
            <w:tcW w:w="26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53.8</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280.7</w:t>
            </w:r>
          </w:p>
        </w:tc>
      </w:tr>
      <w:tr>
        <w:trPr>
          <w:trHeight w:val="166"/>
        </w:trPr>
        <w:tc>
          <w:tcPr>
            <w:tcW w:w="6460" w:type="dxa"/>
            <w:vAlign w:val="bottom"/>
          </w:tcPr>
          <w:p>
            <w:pPr>
              <w:ind w:left="440"/>
              <w:spacing w:after="0"/>
              <w:rPr>
                <w:sz w:val="20"/>
                <w:szCs w:val="20"/>
                <w:color w:val="auto"/>
              </w:rPr>
            </w:pPr>
            <w:r>
              <w:rPr>
                <w:rFonts w:ascii="Courier New" w:cs="Courier New" w:eastAsia="Courier New" w:hAnsi="Courier New"/>
                <w:sz w:val="14"/>
                <w:szCs w:val="14"/>
                <w:color w:val="auto"/>
              </w:rPr>
              <w:t>Purchases of short-term investments</w:t>
            </w:r>
          </w:p>
        </w:tc>
        <w:tc>
          <w:tcPr>
            <w:tcW w:w="26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(13.8)</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(83.4)</w:t>
            </w:r>
          </w:p>
        </w:tc>
      </w:tr>
      <w:tr>
        <w:trPr>
          <w:trHeight w:val="166"/>
        </w:trPr>
        <w:tc>
          <w:tcPr>
            <w:tcW w:w="6460" w:type="dxa"/>
            <w:vAlign w:val="bottom"/>
          </w:tcPr>
          <w:p>
            <w:pPr>
              <w:ind w:left="440"/>
              <w:spacing w:after="0"/>
              <w:rPr>
                <w:sz w:val="20"/>
                <w:szCs w:val="20"/>
                <w:color w:val="auto"/>
              </w:rPr>
            </w:pPr>
            <w:r>
              <w:rPr>
                <w:rFonts w:ascii="Courier New" w:cs="Courier New" w:eastAsia="Courier New" w:hAnsi="Courier New"/>
                <w:sz w:val="14"/>
                <w:szCs w:val="14"/>
                <w:color w:val="auto"/>
              </w:rPr>
              <w:t>Other, net</w:t>
            </w:r>
          </w:p>
        </w:tc>
        <w:tc>
          <w:tcPr>
            <w:tcW w:w="26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0.1</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00" w:type="dxa"/>
            <w:vAlign w:val="bottom"/>
          </w:tcPr>
          <w:p>
            <w:pPr>
              <w:spacing w:after="0"/>
              <w:rPr>
                <w:sz w:val="20"/>
                <w:szCs w:val="20"/>
                <w:color w:val="auto"/>
              </w:rPr>
            </w:pPr>
            <w:r>
              <w:rPr>
                <w:rFonts w:ascii="Courier New" w:cs="Courier New" w:eastAsia="Courier New" w:hAnsi="Courier New"/>
                <w:sz w:val="14"/>
                <w:szCs w:val="14"/>
                <w:color w:val="auto"/>
              </w:rPr>
              <w:t>Net cash flow used for investing activities</w:t>
            </w:r>
          </w:p>
        </w:tc>
        <w:tc>
          <w:tcPr>
            <w:tcW w:w="31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(879.2)</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(2,198.6)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40" w:type="dxa"/>
            <w:vAlign w:val="bottom"/>
          </w:tcPr>
          <w:p>
            <w:pPr>
              <w:spacing w:after="0"/>
              <w:rPr>
                <w:sz w:val="20"/>
                <w:szCs w:val="20"/>
                <w:color w:val="auto"/>
              </w:rPr>
            </w:pPr>
            <w:r>
              <w:rPr>
                <w:rFonts w:ascii="Courier New" w:cs="Courier New" w:eastAsia="Courier New" w:hAnsi="Courier New"/>
                <w:sz w:val="14"/>
                <w:szCs w:val="14"/>
                <w:color w:val="auto"/>
              </w:rPr>
              <w:t>Financing Activities:</w:t>
            </w:r>
          </w:p>
        </w:tc>
        <w:tc>
          <w:tcPr>
            <w:tcW w:w="19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6"/>
        </w:trPr>
        <w:tc>
          <w:tcPr>
            <w:tcW w:w="7140" w:type="dxa"/>
            <w:vAlign w:val="bottom"/>
          </w:tcPr>
          <w:p>
            <w:pPr>
              <w:ind w:left="340"/>
              <w:spacing w:after="0"/>
              <w:rPr>
                <w:sz w:val="20"/>
                <w:szCs w:val="20"/>
                <w:color w:val="auto"/>
              </w:rPr>
            </w:pPr>
            <w:r>
              <w:rPr>
                <w:rFonts w:ascii="Courier New" w:cs="Courier New" w:eastAsia="Courier New" w:hAnsi="Courier New"/>
                <w:sz w:val="14"/>
                <w:szCs w:val="14"/>
                <w:color w:val="auto"/>
              </w:rPr>
              <w:t>(Repayments to) borrowings from banks, including commercial paper, net</w:t>
            </w:r>
          </w:p>
        </w:tc>
        <w:tc>
          <w:tcPr>
            <w:tcW w:w="1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(3,620.6)</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1,526.1</w:t>
            </w:r>
          </w:p>
        </w:tc>
      </w:tr>
      <w:tr>
        <w:trPr>
          <w:trHeight w:val="166"/>
        </w:trPr>
        <w:tc>
          <w:tcPr>
            <w:tcW w:w="7140" w:type="dxa"/>
            <w:vAlign w:val="bottom"/>
          </w:tcPr>
          <w:p>
            <w:pPr>
              <w:ind w:left="440"/>
              <w:spacing w:after="0"/>
              <w:rPr>
                <w:sz w:val="20"/>
                <w:szCs w:val="20"/>
                <w:color w:val="auto"/>
              </w:rPr>
            </w:pPr>
            <w:r>
              <w:rPr>
                <w:rFonts w:ascii="Courier New" w:cs="Courier New" w:eastAsia="Courier New" w:hAnsi="Courier New"/>
                <w:sz w:val="14"/>
                <w:szCs w:val="14"/>
                <w:color w:val="auto"/>
              </w:rPr>
              <w:t>Proceeds from senior notes and debentures</w:t>
            </w:r>
          </w:p>
        </w:tc>
        <w:tc>
          <w:tcPr>
            <w:tcW w:w="1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3,378.1</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1,635.6</w:t>
            </w:r>
          </w:p>
        </w:tc>
      </w:tr>
      <w:tr>
        <w:trPr>
          <w:trHeight w:val="166"/>
        </w:trPr>
        <w:tc>
          <w:tcPr>
            <w:tcW w:w="7140" w:type="dxa"/>
            <w:vAlign w:val="bottom"/>
          </w:tcPr>
          <w:p>
            <w:pPr>
              <w:ind w:left="440"/>
              <w:spacing w:after="0"/>
              <w:rPr>
                <w:sz w:val="20"/>
                <w:szCs w:val="20"/>
                <w:color w:val="auto"/>
              </w:rPr>
            </w:pPr>
            <w:r>
              <w:rPr>
                <w:rFonts w:ascii="Courier New" w:cs="Courier New" w:eastAsia="Courier New" w:hAnsi="Courier New"/>
                <w:sz w:val="14"/>
                <w:szCs w:val="14"/>
                <w:color w:val="auto"/>
              </w:rPr>
              <w:t>Purchase of treasury stock</w:t>
            </w:r>
          </w:p>
        </w:tc>
        <w:tc>
          <w:tcPr>
            <w:tcW w:w="1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(829.2)</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(1,588.6)</w:t>
            </w:r>
          </w:p>
        </w:tc>
      </w:tr>
      <w:tr>
        <w:trPr>
          <w:trHeight w:val="166"/>
        </w:trPr>
        <w:tc>
          <w:tcPr>
            <w:tcW w:w="7140" w:type="dxa"/>
            <w:vAlign w:val="bottom"/>
          </w:tcPr>
          <w:p>
            <w:pPr>
              <w:ind w:left="440"/>
              <w:spacing w:after="0"/>
              <w:rPr>
                <w:sz w:val="20"/>
                <w:szCs w:val="20"/>
                <w:color w:val="auto"/>
              </w:rPr>
            </w:pPr>
            <w:r>
              <w:rPr>
                <w:rFonts w:ascii="Courier New" w:cs="Courier New" w:eastAsia="Courier New" w:hAnsi="Courier New"/>
                <w:sz w:val="14"/>
                <w:szCs w:val="14"/>
                <w:color w:val="auto"/>
              </w:rPr>
              <w:t>Repayment of notes and debentures</w:t>
            </w:r>
          </w:p>
        </w:tc>
        <w:tc>
          <w:tcPr>
            <w:tcW w:w="1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(459.9)</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(184.7)</w:t>
            </w:r>
          </w:p>
        </w:tc>
      </w:tr>
      <w:tr>
        <w:trPr>
          <w:trHeight w:val="166"/>
        </w:trPr>
        <w:tc>
          <w:tcPr>
            <w:tcW w:w="7140" w:type="dxa"/>
            <w:vAlign w:val="bottom"/>
          </w:tcPr>
          <w:p>
            <w:pPr>
              <w:ind w:left="440"/>
              <w:spacing w:after="0"/>
              <w:rPr>
                <w:sz w:val="20"/>
                <w:szCs w:val="20"/>
                <w:color w:val="auto"/>
              </w:rPr>
            </w:pPr>
            <w:r>
              <w:rPr>
                <w:rFonts w:ascii="Courier New" w:cs="Courier New" w:eastAsia="Courier New" w:hAnsi="Courier New"/>
                <w:sz w:val="14"/>
                <w:szCs w:val="14"/>
                <w:color w:val="auto"/>
              </w:rPr>
              <w:t>Proceeds from exercise of stock options</w:t>
            </w:r>
          </w:p>
        </w:tc>
        <w:tc>
          <w:tcPr>
            <w:tcW w:w="1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158.5</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162.5</w:t>
            </w:r>
          </w:p>
        </w:tc>
      </w:tr>
      <w:tr>
        <w:trPr>
          <w:trHeight w:val="166"/>
        </w:trPr>
        <w:tc>
          <w:tcPr>
            <w:tcW w:w="7140" w:type="dxa"/>
            <w:vAlign w:val="bottom"/>
          </w:tcPr>
          <w:p>
            <w:pPr>
              <w:ind w:left="440"/>
              <w:spacing w:after="0"/>
              <w:rPr>
                <w:sz w:val="20"/>
                <w:szCs w:val="20"/>
                <w:color w:val="auto"/>
              </w:rPr>
            </w:pPr>
            <w:r>
              <w:rPr>
                <w:rFonts w:ascii="Courier New" w:cs="Courier New" w:eastAsia="Courier New" w:hAnsi="Courier New"/>
                <w:sz w:val="14"/>
                <w:szCs w:val="14"/>
                <w:color w:val="auto"/>
              </w:rPr>
              <w:t>Payment of capital lease obligations</w:t>
            </w:r>
          </w:p>
        </w:tc>
        <w:tc>
          <w:tcPr>
            <w:tcW w:w="1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(100.9)</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(102.0)</w:t>
            </w:r>
          </w:p>
        </w:tc>
      </w:tr>
      <w:tr>
        <w:trPr>
          <w:trHeight w:val="166"/>
        </w:trPr>
        <w:tc>
          <w:tcPr>
            <w:tcW w:w="7140" w:type="dxa"/>
            <w:vAlign w:val="bottom"/>
          </w:tcPr>
          <w:p>
            <w:pPr>
              <w:ind w:left="440"/>
              <w:spacing w:after="0"/>
              <w:rPr>
                <w:sz w:val="20"/>
                <w:szCs w:val="20"/>
                <w:color w:val="auto"/>
              </w:rPr>
            </w:pPr>
            <w:r>
              <w:rPr>
                <w:rFonts w:ascii="Courier New" w:cs="Courier New" w:eastAsia="Courier New" w:hAnsi="Courier New"/>
                <w:sz w:val="14"/>
                <w:szCs w:val="14"/>
                <w:color w:val="auto"/>
              </w:rPr>
              <w:t>Purchase of treasury stock by subsidiary</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(82.8)</w:t>
            </w:r>
          </w:p>
        </w:tc>
      </w:tr>
      <w:tr>
        <w:trPr>
          <w:trHeight w:val="166"/>
        </w:trPr>
        <w:tc>
          <w:tcPr>
            <w:tcW w:w="7140" w:type="dxa"/>
            <w:vAlign w:val="bottom"/>
          </w:tcPr>
          <w:p>
            <w:pPr>
              <w:ind w:left="440"/>
              <w:spacing w:after="0"/>
              <w:rPr>
                <w:sz w:val="20"/>
                <w:szCs w:val="20"/>
                <w:color w:val="auto"/>
              </w:rPr>
            </w:pPr>
            <w:r>
              <w:rPr>
                <w:rFonts w:ascii="Courier New" w:cs="Courier New" w:eastAsia="Courier New" w:hAnsi="Courier New"/>
                <w:sz w:val="14"/>
                <w:szCs w:val="14"/>
                <w:color w:val="auto"/>
              </w:rPr>
              <w:t>Other, net</w:t>
            </w:r>
          </w:p>
        </w:tc>
        <w:tc>
          <w:tcPr>
            <w:tcW w:w="1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20" w:type="dxa"/>
            <w:vAlign w:val="bottom"/>
          </w:tcPr>
          <w:p>
            <w:pPr>
              <w:spacing w:after="0"/>
              <w:rPr>
                <w:sz w:val="20"/>
                <w:szCs w:val="20"/>
                <w:color w:val="auto"/>
              </w:rPr>
            </w:pPr>
            <w:r>
              <w:rPr>
                <w:rFonts w:ascii="Courier New" w:cs="Courier New" w:eastAsia="Courier New" w:hAnsi="Courier New"/>
                <w:sz w:val="14"/>
                <w:szCs w:val="14"/>
                <w:color w:val="auto"/>
              </w:rPr>
              <w:t>Net cash flow (used for) provided by financing activities</w:t>
            </w:r>
          </w:p>
        </w:tc>
        <w:tc>
          <w:tcPr>
            <w:tcW w:w="2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(1,475.5)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1,365.6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6060" w:type="dxa"/>
            <w:vAlign w:val="bottom"/>
          </w:tcPr>
          <w:p>
            <w:pPr>
              <w:spacing w:after="0"/>
              <w:rPr>
                <w:sz w:val="20"/>
                <w:szCs w:val="20"/>
                <w:color w:val="auto"/>
              </w:rPr>
            </w:pPr>
            <w:r>
              <w:rPr>
                <w:rFonts w:ascii="Courier New" w:cs="Courier New" w:eastAsia="Courier New" w:hAnsi="Courier New"/>
                <w:sz w:val="14"/>
                <w:szCs w:val="14"/>
                <w:color w:val="auto"/>
              </w:rPr>
              <w:t>Net increase (decrease) in cash and cash equivalents</w:t>
            </w:r>
          </w:p>
        </w:tc>
        <w:tc>
          <w:tcPr>
            <w:tcW w:w="2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(409.2)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311.9</w:t>
            </w:r>
          </w:p>
        </w:tc>
      </w:tr>
      <w:tr>
        <w:trPr>
          <w:trHeight w:val="166"/>
        </w:trPr>
        <w:tc>
          <w:tcPr>
            <w:tcW w:w="606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beginning of the period</w:t>
            </w:r>
          </w:p>
        </w:tc>
        <w:tc>
          <w:tcPr>
            <w:tcW w:w="2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934.5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680.8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7740" w:val="left"/>
          <w:tab w:leader="none" w:pos="8160" w:val="left"/>
          <w:tab w:leader="none" w:pos="9280" w:val="left"/>
          <w:tab w:leader="none" w:pos="9720" w:val="left"/>
        </w:tabs>
        <w:rPr>
          <w:sz w:val="20"/>
          <w:szCs w:val="20"/>
          <w:color w:val="auto"/>
        </w:rPr>
      </w:pPr>
      <w:r>
        <w:rPr>
          <w:rFonts w:ascii="Courier New" w:cs="Courier New" w:eastAsia="Courier New" w:hAnsi="Courier New"/>
          <w:sz w:val="14"/>
          <w:szCs w:val="14"/>
          <w:color w:val="auto"/>
        </w:rPr>
        <w:t>Cash and cash equivalents at end of period</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525.3</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992.7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40" w:type="dxa"/>
            <w:vAlign w:val="bottom"/>
            <w:gridSpan w:val="2"/>
          </w:tcPr>
          <w:p>
            <w:pPr>
              <w:spacing w:after="0"/>
              <w:rPr>
                <w:sz w:val="20"/>
                <w:szCs w:val="20"/>
                <w:color w:val="auto"/>
              </w:rPr>
            </w:pPr>
            <w:r>
              <w:rPr>
                <w:rFonts w:ascii="Courier New" w:cs="Courier New" w:eastAsia="Courier New" w:hAnsi="Courier New"/>
                <w:sz w:val="14"/>
                <w:szCs w:val="14"/>
                <w:color w:val="auto"/>
              </w:rPr>
              <w:t>Supplemental disclosure of cash flow information</w:t>
            </w:r>
          </w:p>
        </w:tc>
        <w:tc>
          <w:tcPr>
            <w:tcW w:w="31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1600" w:type="dxa"/>
            <w:vAlign w:val="bottom"/>
          </w:tcPr>
          <w:p>
            <w:pPr>
              <w:spacing w:after="0"/>
              <w:rPr>
                <w:sz w:val="20"/>
                <w:szCs w:val="20"/>
                <w:color w:val="auto"/>
              </w:rPr>
            </w:pPr>
            <w:r>
              <w:rPr>
                <w:rFonts w:ascii="Courier New" w:cs="Courier New" w:eastAsia="Courier New" w:hAnsi="Courier New"/>
                <w:sz w:val="14"/>
                <w:szCs w:val="14"/>
                <w:color w:val="auto"/>
              </w:rPr>
              <w:t>Non-cash investing</w:t>
            </w:r>
          </w:p>
        </w:tc>
        <w:tc>
          <w:tcPr>
            <w:tcW w:w="4340" w:type="dxa"/>
            <w:vAlign w:val="bottom"/>
          </w:tcPr>
          <w:p>
            <w:pPr>
              <w:ind w:left="40"/>
              <w:spacing w:after="0"/>
              <w:rPr>
                <w:sz w:val="20"/>
                <w:szCs w:val="20"/>
                <w:color w:val="auto"/>
              </w:rPr>
            </w:pPr>
            <w:r>
              <w:rPr>
                <w:rFonts w:ascii="Courier New" w:cs="Courier New" w:eastAsia="Courier New" w:hAnsi="Courier New"/>
                <w:sz w:val="14"/>
                <w:szCs w:val="14"/>
                <w:color w:val="auto"/>
              </w:rPr>
              <w:t>and financing activities:</w:t>
            </w:r>
          </w:p>
        </w:tc>
        <w:tc>
          <w:tcPr>
            <w:tcW w:w="31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1600" w:type="dxa"/>
            <w:vAlign w:val="bottom"/>
          </w:tcPr>
          <w:p>
            <w:pPr>
              <w:ind w:left="440"/>
              <w:spacing w:after="0"/>
              <w:rPr>
                <w:sz w:val="20"/>
                <w:szCs w:val="20"/>
                <w:color w:val="auto"/>
              </w:rPr>
            </w:pPr>
            <w:r>
              <w:rPr>
                <w:rFonts w:ascii="Courier New" w:cs="Courier New" w:eastAsia="Courier New" w:hAnsi="Courier New"/>
                <w:sz w:val="14"/>
                <w:szCs w:val="14"/>
                <w:color w:val="auto"/>
              </w:rPr>
              <w:t>Fair value of</w:t>
            </w:r>
          </w:p>
        </w:tc>
        <w:tc>
          <w:tcPr>
            <w:tcW w:w="4340" w:type="dxa"/>
            <w:vAlign w:val="bottom"/>
          </w:tcPr>
          <w:p>
            <w:pPr>
              <w:ind w:left="40"/>
              <w:spacing w:after="0"/>
              <w:rPr>
                <w:sz w:val="20"/>
                <w:szCs w:val="20"/>
                <w:color w:val="auto"/>
              </w:rPr>
            </w:pPr>
            <w:r>
              <w:rPr>
                <w:rFonts w:ascii="Courier New" w:cs="Courier New" w:eastAsia="Courier New" w:hAnsi="Courier New"/>
                <w:sz w:val="14"/>
                <w:szCs w:val="14"/>
                <w:color w:val="auto"/>
              </w:rPr>
              <w:t>assets acquired</w:t>
            </w:r>
          </w:p>
        </w:tc>
        <w:tc>
          <w:tcPr>
            <w:tcW w:w="31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$ 11,073.4</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$61,553.6</w:t>
            </w:r>
          </w:p>
        </w:tc>
      </w:tr>
      <w:tr>
        <w:trPr>
          <w:trHeight w:val="166"/>
        </w:trPr>
        <w:tc>
          <w:tcPr>
            <w:tcW w:w="1600" w:type="dxa"/>
            <w:vAlign w:val="bottom"/>
          </w:tcPr>
          <w:p>
            <w:pPr>
              <w:ind w:left="440"/>
              <w:spacing w:after="0"/>
              <w:rPr>
                <w:sz w:val="20"/>
                <w:szCs w:val="20"/>
                <w:color w:val="auto"/>
              </w:rPr>
            </w:pPr>
            <w:r>
              <w:rPr>
                <w:rFonts w:ascii="Courier New" w:cs="Courier New" w:eastAsia="Courier New" w:hAnsi="Courier New"/>
                <w:sz w:val="14"/>
                <w:szCs w:val="14"/>
                <w:color w:val="auto"/>
              </w:rPr>
              <w:t>Fair value of</w:t>
            </w:r>
          </w:p>
        </w:tc>
        <w:tc>
          <w:tcPr>
            <w:tcW w:w="4340" w:type="dxa"/>
            <w:vAlign w:val="bottom"/>
          </w:tcPr>
          <w:p>
            <w:pPr>
              <w:ind w:left="40"/>
              <w:spacing w:after="0"/>
              <w:rPr>
                <w:sz w:val="20"/>
                <w:szCs w:val="20"/>
                <w:color w:val="auto"/>
              </w:rPr>
            </w:pPr>
            <w:r>
              <w:rPr>
                <w:rFonts w:ascii="Courier New" w:cs="Courier New" w:eastAsia="Courier New" w:hAnsi="Courier New"/>
                <w:sz w:val="14"/>
                <w:szCs w:val="14"/>
                <w:color w:val="auto"/>
              </w:rPr>
              <w:t>liabilities assumed</w:t>
            </w:r>
          </w:p>
        </w:tc>
        <w:tc>
          <w:tcPr>
            <w:tcW w:w="3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(325.8)</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(20,733.4)</w:t>
            </w:r>
          </w:p>
        </w:tc>
      </w:tr>
      <w:tr>
        <w:trPr>
          <w:trHeight w:val="166"/>
        </w:trPr>
        <w:tc>
          <w:tcPr>
            <w:tcW w:w="59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Acquisition of minority interest</w:t>
            </w:r>
          </w:p>
        </w:tc>
        <w:tc>
          <w:tcPr>
            <w:tcW w:w="31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5,749.4</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59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Cash paid, net of cash acquired</w:t>
            </w:r>
          </w:p>
        </w:tc>
        <w:tc>
          <w:tcPr>
            <w:tcW w:w="3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(770.5)</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(1,851.3)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4940" w:type="dxa"/>
            <w:vAlign w:val="bottom"/>
          </w:tcPr>
          <w:p>
            <w:pPr>
              <w:spacing w:after="0"/>
              <w:rPr>
                <w:sz w:val="20"/>
                <w:szCs w:val="20"/>
                <w:color w:val="auto"/>
              </w:rPr>
            </w:pPr>
            <w:r>
              <w:rPr>
                <w:rFonts w:ascii="Courier New" w:cs="Courier New" w:eastAsia="Courier New" w:hAnsi="Courier New"/>
                <w:sz w:val="14"/>
                <w:szCs w:val="14"/>
                <w:color w:val="auto"/>
              </w:rPr>
              <w:t>Impact on Stockholders' Equity</w:t>
            </w:r>
          </w:p>
        </w:tc>
        <w:tc>
          <w:tcPr>
            <w:tcW w:w="36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$ 15,726.5</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$38,968.9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jc w:val="center"/>
        <w:ind w:right="3960"/>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173" w:lineRule="exact"/>
        <w:rPr>
          <w:sz w:val="20"/>
          <w:szCs w:val="20"/>
          <w:color w:val="auto"/>
        </w:rPr>
      </w:pPr>
    </w:p>
    <w:p>
      <w:pPr>
        <w:jc w:val="center"/>
        <w:ind w:right="378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420"/>
          </w:cols>
          <w:pgMar w:left="400" w:top="616" w:right="1079" w:bottom="1440" w:gutter="0" w:footer="0" w:header="0"/>
        </w:sectPr>
      </w:pPr>
    </w:p>
    <w:bookmarkStart w:id="5" w:name="page6"/>
    <w:bookmarkEnd w:id="5"/>
    <w:p>
      <w:pPr>
        <w:jc w:val="center"/>
        <w:ind w:right="3339"/>
        <w:spacing w:after="0"/>
        <w:rPr>
          <w:sz w:val="20"/>
          <w:szCs w:val="20"/>
          <w:color w:val="auto"/>
        </w:rPr>
      </w:pPr>
      <w:r>
        <w:rPr>
          <w:rFonts w:ascii="Courier New" w:cs="Courier New" w:eastAsia="Courier New" w:hAnsi="Courier New"/>
          <w:sz w:val="14"/>
          <w:szCs w:val="14"/>
          <w:color w:val="auto"/>
        </w:rPr>
        <w:t>VIACOM INC. AND SUBSIDIARIES</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(Tabular dollars in millions, except per share amounts)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BASIS OF PRESENTATION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Viacom Inc. ("Viacom" or the "Company") is a diversified company with operations in six segments: (i) Cable Networks, (ii) Television, (iii) Infinity, (iv) Entertainment, (v) Video and (vi) Publishing (See Note 11). On May 4, 2000, CBS Corporation ("CBS") merged with and into the Company and effective from this date, CBS' results of operations are included in the Company's consolidated results of operations.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accompanying unaudited consolidated financial statements of the Company have been prepared pursuant to the rules of the Securities and Exchange Commission. These financial statements should be read in conjunction with the more detailed financial statements and notes thereto included in the Company's most recent Annual Report on Form 10-K.</w:t>
      </w:r>
    </w:p>
    <w:p>
      <w:pPr>
        <w:spacing w:after="0" w:line="16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the opinion of management, the accompanying financial statements reflect all adjustments, consisting of only normal and recurring adjustments, necessary for a fair statement of the financial position and results of operations and cash flows of the Company for the periods presented. Certain previously reported amounts have been reclassified to conform with the current presentation.</w:t>
      </w:r>
    </w:p>
    <w:p>
      <w:pPr>
        <w:spacing w:after="0" w:line="165"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Use of Estimates--The preparation of financial statements in conformity with generally accepted accounting principles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Actual results could differ from those estimates.</w:t>
      </w:r>
    </w:p>
    <w:p>
      <w:pPr>
        <w:spacing w:after="0" w:line="164"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Net Earnings (Loss) per Common Share--Basic earnings (loss) per share ("EPS") is based upon net earnings (loss) divided by the weighted average number of common shares outstanding during the period. Diluted EPS reflects the effect of the assumed exercise of stock options only in the periods in which such effect would have been dilutive. For the three and nine months ended September 30, 2001 and the nine months ended September 30, 2000, incremental shares of 26.0 million,</w:t>
      </w:r>
    </w:p>
    <w:p>
      <w:pPr>
        <w:spacing w:after="0" w:line="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29.8 million and 29.2 million, respectively, for the assumed exercise of stock options were excluded from the computation of diluted EPS because their inclusion would have been anti-dilutive.</w:t>
      </w:r>
    </w:p>
    <w:p>
      <w:pPr>
        <w:spacing w:after="0" w:line="16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The table below presents a reconciliation of weighted average shares used in the calculation of basic and diluted EPS:</w:t>
      </w:r>
    </w:p>
    <w:p>
      <w:pPr>
        <w:spacing w:after="0" w:line="200" w:lineRule="exact"/>
        <w:rPr>
          <w:sz w:val="20"/>
          <w:szCs w:val="20"/>
          <w:color w:val="auto"/>
        </w:rPr>
      </w:pPr>
    </w:p>
    <w:p>
      <w:pPr>
        <w:spacing w:after="0" w:line="291" w:lineRule="exact"/>
        <w:rPr>
          <w:sz w:val="20"/>
          <w:szCs w:val="20"/>
          <w:color w:val="auto"/>
        </w:rPr>
      </w:pPr>
    </w:p>
    <w:p>
      <w:pPr>
        <w:jc w:val="center"/>
        <w:ind w:left="4060"/>
        <w:spacing w:after="0"/>
        <w:tabs>
          <w:tab w:leader="none" w:pos="760" w:val="left"/>
        </w:tabs>
        <w:rPr>
          <w:sz w:val="20"/>
          <w:szCs w:val="20"/>
          <w:color w:val="auto"/>
        </w:rPr>
      </w:pPr>
      <w:r>
        <w:rPr>
          <w:rFonts w:ascii="Courier New" w:cs="Courier New" w:eastAsia="Courier New" w:hAnsi="Courier New"/>
          <w:sz w:val="14"/>
          <w:szCs w:val="14"/>
          <w:color w:val="auto"/>
        </w:rPr>
        <w:t>Three months ended</w:t>
      </w:r>
      <w:r>
        <w:rPr>
          <w:sz w:val="20"/>
          <w:szCs w:val="20"/>
          <w:color w:val="auto"/>
        </w:rPr>
        <w:tab/>
      </w:r>
      <w:r>
        <w:rPr>
          <w:rFonts w:ascii="Courier New" w:cs="Courier New" w:eastAsia="Courier New" w:hAnsi="Courier New"/>
          <w:sz w:val="14"/>
          <w:szCs w:val="14"/>
          <w:color w:val="auto"/>
        </w:rPr>
        <w:t>Nine months ended</w:t>
      </w:r>
    </w:p>
    <w:p>
      <w:pPr>
        <w:spacing w:after="0" w:line="7" w:lineRule="exact"/>
        <w:rPr>
          <w:sz w:val="20"/>
          <w:szCs w:val="20"/>
          <w:color w:val="auto"/>
        </w:rPr>
      </w:pPr>
    </w:p>
    <w:p>
      <w:pPr>
        <w:jc w:val="center"/>
        <w:ind w:left="3980"/>
        <w:spacing w:after="0"/>
        <w:tabs>
          <w:tab w:leader="none" w:pos="1260" w:val="left"/>
        </w:tabs>
        <w:rPr>
          <w:sz w:val="20"/>
          <w:szCs w:val="20"/>
          <w:color w:val="auto"/>
        </w:rPr>
      </w:pPr>
      <w:r>
        <w:rPr>
          <w:rFonts w:ascii="Courier New" w:cs="Courier New" w:eastAsia="Courier New" w:hAnsi="Courier New"/>
          <w:sz w:val="14"/>
          <w:szCs w:val="14"/>
          <w:color w:val="auto"/>
        </w:rPr>
        <w:t>September 30,</w:t>
      </w:r>
      <w:r>
        <w:rPr>
          <w:sz w:val="20"/>
          <w:szCs w:val="20"/>
          <w:color w:val="auto"/>
        </w:rPr>
        <w:tab/>
      </w:r>
      <w:r>
        <w:rPr>
          <w:rFonts w:ascii="Courier New" w:cs="Courier New" w:eastAsia="Courier New" w:hAnsi="Courier New"/>
          <w:sz w:val="14"/>
          <w:szCs w:val="14"/>
          <w:color w:val="auto"/>
        </w:rPr>
        <w:t>September 30,</w:t>
      </w:r>
    </w:p>
    <w:p>
      <w:pPr>
        <w:spacing w:after="0" w:line="7" w:lineRule="exact"/>
        <w:rPr>
          <w:sz w:val="20"/>
          <w:szCs w:val="20"/>
          <w:color w:val="auto"/>
        </w:rPr>
      </w:pPr>
    </w:p>
    <w:p>
      <w:pPr>
        <w:jc w:val="center"/>
        <w:ind w:left="4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left="4140"/>
        <w:spacing w:after="0"/>
        <w:tabs>
          <w:tab w:leader="none" w:pos="840" w:val="left"/>
          <w:tab w:leader="none" w:pos="840" w:val="left"/>
          <w:tab w:leader="none" w:pos="760" w:val="left"/>
        </w:tabs>
        <w:rPr>
          <w:sz w:val="20"/>
          <w:szCs w:val="20"/>
          <w:color w:val="auto"/>
        </w:rPr>
      </w:pPr>
      <w:r>
        <w:rPr>
          <w:rFonts w:ascii="Courier New" w:cs="Courier New" w:eastAsia="Courier New" w:hAnsi="Courier New"/>
          <w:sz w:val="14"/>
          <w:szCs w:val="14"/>
          <w:color w:val="auto"/>
        </w:rPr>
        <w:t>2001</w:t>
      </w:r>
      <w:r>
        <w:rPr>
          <w:sz w:val="20"/>
          <w:szCs w:val="20"/>
          <w:color w:val="auto"/>
        </w:rPr>
        <w:tab/>
      </w: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2001</w:t>
      </w:r>
      <w:r>
        <w:rPr>
          <w:sz w:val="20"/>
          <w:szCs w:val="20"/>
          <w:color w:val="auto"/>
        </w:rPr>
        <w:tab/>
      </w:r>
      <w:r>
        <w:rPr>
          <w:rFonts w:ascii="Courier New" w:cs="Courier New" w:eastAsia="Courier New" w:hAnsi="Courier New"/>
          <w:sz w:val="14"/>
          <w:szCs w:val="14"/>
          <w:color w:val="auto"/>
        </w:rPr>
        <w:t>2000</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4140" w:type="dxa"/>
            <w:vAlign w:val="bottom"/>
          </w:tcPr>
          <w:p>
            <w:pPr>
              <w:spacing w:after="0"/>
              <w:rPr>
                <w:sz w:val="20"/>
                <w:szCs w:val="20"/>
                <w:color w:val="auto"/>
              </w:rPr>
            </w:pPr>
            <w:r>
              <w:rPr>
                <w:rFonts w:ascii="Courier New" w:cs="Courier New" w:eastAsia="Courier New" w:hAnsi="Courier New"/>
                <w:sz w:val="14"/>
                <w:szCs w:val="14"/>
                <w:color w:val="auto"/>
              </w:rPr>
              <w:t>Weighted average shares for basic EPS</w:t>
            </w: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1,768.0</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1,503.7</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1,722.2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1,133.7</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Incremental shares for stock options</w:t>
            </w:r>
          </w:p>
        </w:tc>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40.8</w:t>
            </w: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4220" w:type="dxa"/>
            <w:vAlign w:val="bottom"/>
          </w:tcPr>
          <w:p>
            <w:pPr>
              <w:spacing w:after="0"/>
              <w:rPr>
                <w:sz w:val="20"/>
                <w:szCs w:val="20"/>
                <w:color w:val="auto"/>
              </w:rPr>
            </w:pPr>
            <w:r>
              <w:rPr>
                <w:rFonts w:ascii="Courier New" w:cs="Courier New" w:eastAsia="Courier New" w:hAnsi="Courier New"/>
                <w:sz w:val="14"/>
                <w:szCs w:val="14"/>
                <w:color w:val="auto"/>
              </w:rPr>
              <w:t>Weighted average shares for diluted EPS</w:t>
            </w: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1,768.0</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1,544.5</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1,722.2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1,133.7</w:t>
            </w:r>
          </w:p>
        </w:tc>
      </w:tr>
    </w:tbl>
    <w:p>
      <w:pPr>
        <w:spacing w:after="0" w:line="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6" w:name="page7"/>
    <w:bookmarkEnd w:id="6"/>
    <w:p>
      <w:pPr>
        <w:jc w:val="center"/>
        <w:ind w:right="4220"/>
        <w:spacing w:after="0"/>
        <w:rPr>
          <w:sz w:val="20"/>
          <w:szCs w:val="20"/>
          <w:color w:val="auto"/>
        </w:rPr>
      </w:pPr>
      <w:r>
        <w:rPr>
          <w:rFonts w:ascii="Courier New" w:cs="Courier New" w:eastAsia="Courier New" w:hAnsi="Courier New"/>
          <w:sz w:val="14"/>
          <w:szCs w:val="14"/>
          <w:color w:val="auto"/>
        </w:rPr>
        <w:t>VIACOM INC. AND SUBSIDIARIES</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(Tabular dollars in millions, except per share amounts)</w:t>
      </w:r>
    </w:p>
    <w:p>
      <w:pPr>
        <w:spacing w:after="0" w:line="173" w:lineRule="exact"/>
        <w:rPr>
          <w:sz w:val="20"/>
          <w:szCs w:val="20"/>
          <w:color w:val="auto"/>
        </w:rPr>
      </w:pPr>
    </w:p>
    <w:p>
      <w:pPr>
        <w:ind w:right="4300"/>
        <w:spacing w:after="0" w:line="252" w:lineRule="auto"/>
        <w:rPr>
          <w:sz w:val="20"/>
          <w:szCs w:val="20"/>
          <w:color w:val="auto"/>
        </w:rPr>
      </w:pPr>
      <w:r>
        <w:rPr>
          <w:rFonts w:ascii="Courier New" w:cs="Courier New" w:eastAsia="Courier New" w:hAnsi="Courier New"/>
          <w:sz w:val="14"/>
          <w:szCs w:val="14"/>
          <w:color w:val="auto"/>
        </w:rPr>
        <w:t>Comprehensive Income (Loss)-- Total comprehensive income (loss) for the Company includes net earnings (loss) and other comprehensive income items including unrealized gain (loss) on securities, cumulative translation adjustments and change in fair value of cash flow hedges.</w:t>
      </w:r>
    </w:p>
    <w:p>
      <w:pPr>
        <w:spacing w:after="0" w:line="200" w:lineRule="exact"/>
        <w:rPr>
          <w:sz w:val="20"/>
          <w:szCs w:val="20"/>
          <w:color w:val="auto"/>
        </w:rPr>
      </w:pPr>
    </w:p>
    <w:p>
      <w:pPr>
        <w:spacing w:after="0" w:line="293" w:lineRule="exact"/>
        <w:rPr>
          <w:sz w:val="20"/>
          <w:szCs w:val="20"/>
          <w:color w:val="auto"/>
        </w:rPr>
      </w:pPr>
    </w:p>
    <w:p>
      <w:pPr>
        <w:ind w:left="6220"/>
        <w:spacing w:after="0"/>
        <w:tabs>
          <w:tab w:leader="none" w:pos="8860" w:val="left"/>
        </w:tabs>
        <w:rPr>
          <w:sz w:val="20"/>
          <w:szCs w:val="20"/>
          <w:color w:val="auto"/>
        </w:rPr>
      </w:pPr>
      <w:r>
        <w:rPr>
          <w:rFonts w:ascii="Courier New" w:cs="Courier New" w:eastAsia="Courier New" w:hAnsi="Courier New"/>
          <w:sz w:val="14"/>
          <w:szCs w:val="14"/>
          <w:color w:val="auto"/>
        </w:rPr>
        <w:t>Three months ended</w:t>
      </w:r>
      <w:r>
        <w:rPr>
          <w:sz w:val="20"/>
          <w:szCs w:val="20"/>
          <w:color w:val="auto"/>
        </w:rPr>
        <w:tab/>
      </w:r>
      <w:r>
        <w:rPr>
          <w:rFonts w:ascii="Courier New" w:cs="Courier New" w:eastAsia="Courier New" w:hAnsi="Courier New"/>
          <w:sz w:val="14"/>
          <w:szCs w:val="14"/>
          <w:color w:val="auto"/>
        </w:rPr>
        <w:t>Nine months ended</w:t>
      </w:r>
    </w:p>
    <w:p>
      <w:pPr>
        <w:spacing w:after="0" w:line="7" w:lineRule="exact"/>
        <w:rPr>
          <w:sz w:val="20"/>
          <w:szCs w:val="20"/>
          <w:color w:val="auto"/>
        </w:rPr>
      </w:pPr>
    </w:p>
    <w:p>
      <w:pPr>
        <w:ind w:left="6460"/>
        <w:spacing w:after="0"/>
        <w:tabs>
          <w:tab w:leader="none" w:pos="9040" w:val="left"/>
        </w:tabs>
        <w:rPr>
          <w:sz w:val="20"/>
          <w:szCs w:val="20"/>
          <w:color w:val="auto"/>
        </w:rPr>
      </w:pPr>
      <w:r>
        <w:rPr>
          <w:rFonts w:ascii="Courier New" w:cs="Courier New" w:eastAsia="Courier New" w:hAnsi="Courier New"/>
          <w:sz w:val="14"/>
          <w:szCs w:val="14"/>
          <w:color w:val="auto"/>
        </w:rPr>
        <w:t>September 30,</w:t>
      </w:r>
      <w:r>
        <w:rPr>
          <w:sz w:val="20"/>
          <w:szCs w:val="20"/>
          <w:color w:val="auto"/>
        </w:rPr>
        <w:tab/>
      </w:r>
      <w:r>
        <w:rPr>
          <w:rFonts w:ascii="Courier New" w:cs="Courier New" w:eastAsia="Courier New" w:hAnsi="Courier New"/>
          <w:sz w:val="14"/>
          <w:szCs w:val="14"/>
          <w:color w:val="auto"/>
        </w:rPr>
        <w:t>September 30,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6300"/>
        <w:spacing w:after="0"/>
        <w:tabs>
          <w:tab w:leader="none" w:pos="7560" w:val="left"/>
          <w:tab w:leader="none" w:pos="8860" w:val="left"/>
          <w:tab w:leader="none" w:pos="10160" w:val="left"/>
        </w:tabs>
        <w:rPr>
          <w:sz w:val="20"/>
          <w:szCs w:val="20"/>
          <w:color w:val="auto"/>
        </w:rPr>
      </w:pPr>
      <w:r>
        <w:rPr>
          <w:rFonts w:ascii="Courier New" w:cs="Courier New" w:eastAsia="Courier New" w:hAnsi="Courier New"/>
          <w:sz w:val="14"/>
          <w:szCs w:val="14"/>
          <w:color w:val="auto"/>
        </w:rPr>
        <w:t>2001</w:t>
      </w:r>
      <w:r>
        <w:rPr>
          <w:sz w:val="20"/>
          <w:szCs w:val="20"/>
          <w:color w:val="auto"/>
        </w:rPr>
        <w:tab/>
      </w: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2001</w:t>
      </w:r>
      <w:r>
        <w:rPr>
          <w:sz w:val="20"/>
          <w:szCs w:val="20"/>
          <w:color w:val="auto"/>
        </w:rPr>
        <w:tab/>
      </w:r>
      <w:r>
        <w:rPr>
          <w:rFonts w:ascii="Courier New" w:cs="Courier New" w:eastAsia="Courier New" w:hAnsi="Courier New"/>
          <w:sz w:val="14"/>
          <w:szCs w:val="14"/>
          <w:color w:val="auto"/>
        </w:rPr>
        <w:t>2000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tcPr>
          <w:p>
            <w:pPr>
              <w:spacing w:after="0"/>
              <w:rPr>
                <w:sz w:val="20"/>
                <w:szCs w:val="20"/>
                <w:color w:val="auto"/>
              </w:rPr>
            </w:pPr>
            <w:r>
              <w:rPr>
                <w:rFonts w:ascii="Courier New" w:cs="Courier New" w:eastAsia="Courier New" w:hAnsi="Courier New"/>
                <w:sz w:val="14"/>
                <w:szCs w:val="14"/>
                <w:color w:val="auto"/>
              </w:rPr>
              <w:t>Net earnings (loss)</w:t>
            </w:r>
          </w:p>
        </w:tc>
        <w:tc>
          <w:tcPr>
            <w:tcW w:w="2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(190.4)</w:t>
            </w:r>
          </w:p>
        </w:tc>
        <w:tc>
          <w:tcPr>
            <w:tcW w:w="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33.4</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(181.0)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  (846.5)</w:t>
            </w:r>
          </w:p>
        </w:tc>
      </w:tr>
      <w:tr>
        <w:trPr>
          <w:trHeight w:val="166"/>
        </w:trPr>
        <w:tc>
          <w:tcPr>
            <w:tcW w:w="2300" w:type="dxa"/>
            <w:vAlign w:val="bottom"/>
            <w:gridSpan w:val="2"/>
          </w:tcPr>
          <w:p>
            <w:pPr>
              <w:spacing w:after="0"/>
              <w:rPr>
                <w:sz w:val="20"/>
                <w:szCs w:val="20"/>
                <w:color w:val="auto"/>
              </w:rPr>
            </w:pPr>
            <w:r>
              <w:rPr>
                <w:rFonts w:ascii="Courier New" w:cs="Courier New" w:eastAsia="Courier New" w:hAnsi="Courier New"/>
                <w:sz w:val="14"/>
                <w:szCs w:val="14"/>
                <w:color w:val="auto"/>
              </w:rPr>
              <w:t>Other comprehensive income</w:t>
            </w:r>
          </w:p>
        </w:tc>
        <w:tc>
          <w:tcPr>
            <w:tcW w:w="3140" w:type="dxa"/>
            <w:vAlign w:val="bottom"/>
          </w:tcPr>
          <w:p>
            <w:pPr>
              <w:ind w:left="40"/>
              <w:spacing w:after="0"/>
              <w:rPr>
                <w:sz w:val="20"/>
                <w:szCs w:val="20"/>
                <w:color w:val="auto"/>
              </w:rPr>
            </w:pPr>
            <w:r>
              <w:rPr>
                <w:rFonts w:ascii="Courier New" w:cs="Courier New" w:eastAsia="Courier New" w:hAnsi="Courier New"/>
                <w:sz w:val="14"/>
                <w:szCs w:val="14"/>
                <w:color w:val="auto"/>
              </w:rPr>
              <w:t>(loss):</w:t>
            </w:r>
          </w:p>
        </w:tc>
        <w:tc>
          <w:tcPr>
            <w:tcW w:w="1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040" w:type="dxa"/>
            <w:vAlign w:val="bottom"/>
          </w:tcPr>
          <w:p>
            <w:pPr>
              <w:ind w:left="260"/>
              <w:spacing w:after="0"/>
              <w:rPr>
                <w:sz w:val="20"/>
                <w:szCs w:val="20"/>
                <w:color w:val="auto"/>
              </w:rPr>
            </w:pPr>
            <w:r>
              <w:rPr>
                <w:rFonts w:ascii="Courier New" w:cs="Courier New" w:eastAsia="Courier New" w:hAnsi="Courier New"/>
                <w:sz w:val="14"/>
                <w:szCs w:val="14"/>
                <w:color w:val="auto"/>
              </w:rPr>
              <w:t>Unrealized losses on</w:t>
            </w:r>
          </w:p>
        </w:tc>
        <w:tc>
          <w:tcPr>
            <w:tcW w:w="34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securities, net of tax</w:t>
            </w: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(6.9)</w:t>
            </w:r>
          </w:p>
        </w:tc>
        <w:tc>
          <w:tcPr>
            <w:tcW w:w="4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(21.3)</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(32.6)</w:t>
            </w:r>
          </w:p>
        </w:tc>
      </w:tr>
      <w:tr>
        <w:trPr>
          <w:trHeight w:val="166"/>
        </w:trPr>
        <w:tc>
          <w:tcPr>
            <w:tcW w:w="544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Cumulative translation adjustments</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23.5</w:t>
            </w:r>
          </w:p>
        </w:tc>
        <w:tc>
          <w:tcPr>
            <w:tcW w:w="4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(27.1)</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(62.9)</w:t>
            </w:r>
          </w:p>
        </w:tc>
      </w:tr>
      <w:tr>
        <w:trPr>
          <w:trHeight w:val="166"/>
        </w:trPr>
        <w:tc>
          <w:tcPr>
            <w:tcW w:w="2040" w:type="dxa"/>
            <w:vAlign w:val="bottom"/>
          </w:tcPr>
          <w:p>
            <w:pPr>
              <w:ind w:left="260"/>
              <w:spacing w:after="0"/>
              <w:rPr>
                <w:sz w:val="20"/>
                <w:szCs w:val="20"/>
                <w:color w:val="auto"/>
              </w:rPr>
            </w:pPr>
            <w:r>
              <w:rPr>
                <w:rFonts w:ascii="Courier New" w:cs="Courier New" w:eastAsia="Courier New" w:hAnsi="Courier New"/>
                <w:sz w:val="14"/>
                <w:szCs w:val="14"/>
                <w:color w:val="auto"/>
              </w:rPr>
              <w:t>Change in fair value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3140" w:type="dxa"/>
            <w:vAlign w:val="bottom"/>
          </w:tcPr>
          <w:p>
            <w:pPr>
              <w:ind w:left="40"/>
              <w:spacing w:after="0"/>
              <w:rPr>
                <w:sz w:val="20"/>
                <w:szCs w:val="20"/>
                <w:color w:val="auto"/>
              </w:rPr>
            </w:pPr>
            <w:r>
              <w:rPr>
                <w:rFonts w:ascii="Courier New" w:cs="Courier New" w:eastAsia="Courier New" w:hAnsi="Courier New"/>
                <w:sz w:val="14"/>
                <w:szCs w:val="14"/>
                <w:color w:val="auto"/>
              </w:rPr>
              <w:t>cash flow hedges, net of tax</w:t>
            </w: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w:t>
            </w:r>
          </w:p>
        </w:tc>
        <w:tc>
          <w:tcPr>
            <w:tcW w:w="460" w:type="dxa"/>
            <w:vAlign w:val="bottom"/>
          </w:tcPr>
          <w:p>
            <w:pPr>
              <w:spacing w:after="0"/>
              <w:rPr>
                <w:sz w:val="14"/>
                <w:szCs w:val="14"/>
                <w:color w:val="auto"/>
              </w:rPr>
            </w:pP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6100" w:val="left"/>
          <w:tab w:leader="none" w:pos="7300" w:val="left"/>
          <w:tab w:leader="none" w:pos="7740" w:val="left"/>
          <w:tab w:leader="none" w:pos="8520" w:val="left"/>
          <w:tab w:leader="none" w:pos="8780" w:val="left"/>
          <w:tab w:leader="none" w:pos="9900" w:val="left"/>
          <w:tab w:leader="none" w:pos="10160" w:val="left"/>
        </w:tabs>
        <w:rPr>
          <w:sz w:val="20"/>
          <w:szCs w:val="20"/>
          <w:color w:val="auto"/>
        </w:rPr>
      </w:pPr>
      <w:r>
        <w:rPr>
          <w:rFonts w:ascii="Courier New" w:cs="Courier New" w:eastAsia="Courier New" w:hAnsi="Courier New"/>
          <w:sz w:val="14"/>
          <w:szCs w:val="14"/>
          <w:color w:val="auto"/>
        </w:rPr>
        <w:t>Comprehensive loss</w:t>
      </w:r>
      <w:r>
        <w:rPr>
          <w:sz w:val="20"/>
          <w:szCs w:val="20"/>
          <w:color w:val="auto"/>
        </w:rPr>
        <w:tab/>
      </w:r>
      <w:r>
        <w:rPr>
          <w:rFonts w:ascii="Courier New" w:cs="Courier New" w:eastAsia="Courier New" w:hAnsi="Courier New"/>
          <w:sz w:val="14"/>
          <w:szCs w:val="14"/>
          <w:color w:val="auto"/>
        </w:rPr>
        <w:t>$ (177.6)</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(15.0)</w:t>
      </w:r>
      <w:r>
        <w:rPr>
          <w:sz w:val="20"/>
          <w:szCs w:val="20"/>
          <w:color w:val="auto"/>
        </w:rPr>
        <w:tab/>
      </w:r>
      <w:r>
        <w:rPr>
          <w:rFonts w:ascii="Courier New" w:cs="Courier New" w:eastAsia="Courier New" w:hAnsi="Courier New"/>
          <w:sz w:val="14"/>
          <w:szCs w:val="14"/>
          <w:color w:val="auto"/>
        </w:rPr>
        <w:t>$</w:t>
        <w:tab/>
        <w:t>(221.5)</w:t>
      </w:r>
      <w:r>
        <w:rPr>
          <w:sz w:val="20"/>
          <w:szCs w:val="20"/>
          <w:color w:val="auto"/>
        </w:rPr>
        <w:tab/>
      </w:r>
      <w:r>
        <w:rPr>
          <w:rFonts w:ascii="Courier New" w:cs="Courier New" w:eastAsia="Courier New" w:hAnsi="Courier New"/>
          <w:sz w:val="14"/>
          <w:szCs w:val="14"/>
          <w:color w:val="auto"/>
        </w:rPr>
        <w:t>$</w:t>
        <w:tab/>
        <w:t>(942.0)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4220"/>
        <w:spacing w:after="0" w:line="251" w:lineRule="auto"/>
        <w:rPr>
          <w:sz w:val="20"/>
          <w:szCs w:val="20"/>
          <w:color w:val="auto"/>
        </w:rPr>
      </w:pPr>
      <w:r>
        <w:rPr>
          <w:rFonts w:ascii="Courier New" w:cs="Courier New" w:eastAsia="Courier New" w:hAnsi="Courier New"/>
          <w:sz w:val="14"/>
          <w:szCs w:val="14"/>
          <w:color w:val="auto"/>
        </w:rPr>
        <w:t>Derivative Instruments and Hedging Activities - Effective January 1, 2001, the Company adopted Statement of Financial Accounting Standards ("SFAS") No. 133, "Accounting for Derivative Instruments and Hedging Activities" ("SFAS 133"), as amended. SFAS 133 requires that all derivative instruments be recorded on the balance sheet at fair value. SFAS 133 also established new accounting rules for hedging instruments which, depending on the nature of the hedge, require that changes in the fair value of the derivatives either be offset against the change in fair value of assets or liabilities through earnings, or be recognized in other comprehensive income until the hedged item is recognized in earnings. The impact of adoption was immaterial on the Company's consolidated results of operations and financial position.</w:t>
      </w:r>
    </w:p>
    <w:p>
      <w:pPr>
        <w:spacing w:after="0" w:line="163" w:lineRule="exact"/>
        <w:rPr>
          <w:sz w:val="20"/>
          <w:szCs w:val="20"/>
          <w:color w:val="auto"/>
        </w:rPr>
      </w:pPr>
    </w:p>
    <w:p>
      <w:pPr>
        <w:ind w:right="4220"/>
        <w:spacing w:after="0" w:line="251" w:lineRule="auto"/>
        <w:rPr>
          <w:sz w:val="20"/>
          <w:szCs w:val="20"/>
          <w:color w:val="auto"/>
        </w:rPr>
      </w:pPr>
      <w:r>
        <w:rPr>
          <w:rFonts w:ascii="Courier New" w:cs="Courier New" w:eastAsia="Courier New" w:hAnsi="Courier New"/>
          <w:sz w:val="14"/>
          <w:szCs w:val="14"/>
          <w:color w:val="auto"/>
        </w:rPr>
        <w:t>The Company is exposed to fluctuations in foreign currency exchange rates and interest rates. To manage foreign currency and interest rate exposures, the Company may use derivative instruments, including forward contracts and interest rate swaps. Derivative instruments used by the Company in its hedging activities are not used for speculative trading purposes. The Company designates forward contracts used to hedge future production costs as cash flow hedges. Additionally, the Company designates interest rate swaps, which effectively convert variable interest payments on commercial paper to a fixed rate, as cash flow hedges. The effective portion of the change in fair value of cash flow hedges are reported in other comprehensive income and reclassified into earnings in the same period in which the hedged transaction affects earnings. The ineffective portion included in earnings was not material.</w:t>
      </w:r>
    </w:p>
    <w:p>
      <w:pPr>
        <w:spacing w:after="0" w:line="163" w:lineRule="exact"/>
        <w:rPr>
          <w:sz w:val="20"/>
          <w:szCs w:val="20"/>
          <w:color w:val="auto"/>
        </w:rPr>
      </w:pPr>
    </w:p>
    <w:p>
      <w:pPr>
        <w:ind w:right="4220"/>
        <w:spacing w:after="0" w:line="251" w:lineRule="auto"/>
        <w:rPr>
          <w:sz w:val="20"/>
          <w:szCs w:val="20"/>
          <w:color w:val="auto"/>
        </w:rPr>
      </w:pPr>
      <w:r>
        <w:rPr>
          <w:rFonts w:ascii="Courier New" w:cs="Courier New" w:eastAsia="Courier New" w:hAnsi="Courier New"/>
          <w:sz w:val="14"/>
          <w:szCs w:val="14"/>
          <w:color w:val="auto"/>
        </w:rPr>
        <w:t>Recent Pronouncements- In August 2001, the Financial Accounting Standards Board ("FASB") issued SFAS No. 144, "Accounting for the Impairment or Disposal of Long-Lived Assets" ("SFAS 144"), effective for fiscal years beginning after December 15, 2001 and replaces SFAS No. 121, "Accounting for the Impairment of Long-Lived Assets and for Long-Lived Assets to Be Disposed Of." SFAS 144 establishes an accounting model for long-lived assets to be disposed of by sale, including discontinued operations, and replaces the provisions of APB Opinion No. 30 for the disposal of segments of a business. The adoption of SFAS 144 will not have a material effect on the Company's financial statements.</w:t>
      </w:r>
    </w:p>
    <w:p>
      <w:pPr>
        <w:spacing w:after="0" w:line="164" w:lineRule="exact"/>
        <w:rPr>
          <w:sz w:val="20"/>
          <w:szCs w:val="20"/>
          <w:color w:val="auto"/>
        </w:rPr>
      </w:pPr>
    </w:p>
    <w:p>
      <w:pPr>
        <w:ind w:right="4220"/>
        <w:spacing w:after="0" w:line="251" w:lineRule="auto"/>
        <w:rPr>
          <w:sz w:val="20"/>
          <w:szCs w:val="20"/>
          <w:color w:val="auto"/>
        </w:rPr>
      </w:pPr>
      <w:r>
        <w:rPr>
          <w:rFonts w:ascii="Courier New" w:cs="Courier New" w:eastAsia="Courier New" w:hAnsi="Courier New"/>
          <w:sz w:val="14"/>
          <w:szCs w:val="14"/>
          <w:color w:val="auto"/>
        </w:rPr>
        <w:t>In June 2001, the FASB issued SFAS No. 141, "Business Combinations" ("SFAS 141") and SFAS No. 142, "Goodwill and Other Intangible Assets" ("SFAS 142"). SFAS 141 requires that the purchase method of accounting be used for all business combinations initiated after June 30, 2001 and prohibits the use of the pooling-of-interests method for such transactions. SFAS 142 requires that goodwill and intangible assets with indefinite lives, including such assets recorded in past business combinations, no longer be amortized to</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1120"/>
          </w:cols>
          <w:pgMar w:left="220" w:top="616" w:right="559" w:bottom="1440" w:gutter="0" w:footer="0" w:header="0"/>
        </w:sectPr>
      </w:pPr>
    </w:p>
    <w:bookmarkStart w:id="7" w:name="page8"/>
    <w:bookmarkEnd w:id="7"/>
    <w:p>
      <w:pPr>
        <w:jc w:val="center"/>
        <w:ind w:right="3339"/>
        <w:spacing w:after="0"/>
        <w:rPr>
          <w:sz w:val="20"/>
          <w:szCs w:val="20"/>
          <w:color w:val="auto"/>
        </w:rPr>
      </w:pPr>
      <w:r>
        <w:rPr>
          <w:rFonts w:ascii="Courier New" w:cs="Courier New" w:eastAsia="Courier New" w:hAnsi="Courier New"/>
          <w:sz w:val="14"/>
          <w:szCs w:val="14"/>
          <w:color w:val="auto"/>
        </w:rPr>
        <w:t>VIACOM INC. AND SUBSIDIARIES</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(Tabular dollars in millions, except per share amounts)</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earnings, but should instead be tested for impairment annually. Intangible assets with finite lives will continue to be amortized over their useful lives and reviewed for impairment. The Company is required to implement SFAS 142 on January 1, 2002 and amortization of goodwill, and intangible assets with indefinite lives, ceases upon adoption of this statement. The Company has not yet determined the impact that this statement will have on its consolidated financial position or results of operations.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 ACQUISITIONS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February 21, 2001, the Company completed a merger with Infinity Broadcasting Corporation ("Infinity"), acquiring approximately 36% of the issued and outstanding shares of Infinity common stock that it did not already own. Under the terms of the merger, which was tax free for the stockholders of Infinity and Viacom, each share of Infinity Class A common stock was converted into the right to receive 0.592 of a share of Viacom Class B Common Stock. The Infinity merger was accounted for at historical cost, with the exception of minority interest, which was accounted for under the purchase method of accounting. The total purchase price of approximately $13.4 billion represented the issuance of approximately 232 million shares of Viacom Class B Common Stock and the fair value of Infinity stock options assumed by the Company. Infinity stockholders received a cash payment in lieu of any fractional shares. The goodwill attributable to this transaction of approximately $7.7 billion is being amortized on a straight-line basis over 40 years.</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January 23, 2001, the Company completed its acquisition of BET Holdings II, Inc. ("BET") for approximately $3 billion, which principally represented the issuance of approximately 43.4 million shares of Viacom Class B Common Stock from treasury stock and the assumption by the Company of approximately $590 million in debt. The total cost to acquire BET has been allocated based on the fair value of the assets acquired and liabilities assumed at the time of the acquisition. The excess purchase price over the fair value of the tangible net assets acquired of approximately $2.9 billion was allocated to intangibles and is being amortized on a straight-line basis not to exceed 40 years. The final allocation of the purchase price will be based on comprehensive final evaluations of the fair value of BET's tangible and identifiable assets acquired and liabilities assumed. As of the acquisition date, BET's results are included as part of the Cable Networks segment.</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unaudited condensed pro forma results of operations data presented below assumes the above acquisitions, as well as the Viacom/CBS merger, the acquisition of the remaining 50% interest of United Paramount Network ("UPN") and the completion of acquisitions and divestitures of radio, outdoor and cable properties had occurred January 1, 2000. Pro forma results are also adjusted to exclude the third quarter 2001 Blockbuster charge of $356 million, the second quarter 2000 non-cash merger-related charges of $698 million and transactions with divested investments. Pro forma results also reflect the deconsolidation of iWon.com, which was previously a minority-owned, consolidated subsidiary, as if it had occurred on January 1, 2000. The unaudited condensed pro forma results of operations were prepared based upon the historical consolidated results of operations of the Company and of each of the acquired companies.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6" w:right="1440" w:bottom="1440" w:gutter="0" w:footer="0" w:header="0"/>
        </w:sectPr>
      </w:pPr>
    </w:p>
    <w:bookmarkStart w:id="8" w:name="page9"/>
    <w:bookmarkEnd w:id="8"/>
    <w:p>
      <w:pPr>
        <w:jc w:val="center"/>
        <w:ind w:right="3339"/>
        <w:spacing w:after="0"/>
        <w:rPr>
          <w:sz w:val="20"/>
          <w:szCs w:val="20"/>
          <w:color w:val="auto"/>
        </w:rPr>
      </w:pPr>
      <w:r>
        <w:rPr>
          <w:rFonts w:ascii="Courier New" w:cs="Courier New" w:eastAsia="Courier New" w:hAnsi="Courier New"/>
          <w:sz w:val="14"/>
          <w:szCs w:val="14"/>
          <w:color w:val="auto"/>
        </w:rPr>
        <w:t>VIACOM INC. AND SUBSIDIARIES</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(Tabular dollars in millions, except per share amounts)</w:t>
      </w:r>
    </w:p>
    <w:p>
      <w:pPr>
        <w:spacing w:after="0" w:line="200" w:lineRule="exact"/>
        <w:rPr>
          <w:sz w:val="20"/>
          <w:szCs w:val="20"/>
          <w:color w:val="auto"/>
        </w:rPr>
      </w:pPr>
    </w:p>
    <w:p>
      <w:pPr>
        <w:spacing w:after="0" w:line="304"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Pro Forma Results of Operations Data (unaudited)</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4640" w:type="dxa"/>
            <w:vAlign w:val="bottom"/>
          </w:tcPr>
          <w:p>
            <w:pPr>
              <w:spacing w:after="0"/>
              <w:rPr>
                <w:sz w:val="20"/>
                <w:szCs w:val="20"/>
                <w:color w:val="auto"/>
              </w:rPr>
            </w:pPr>
            <w:r>
              <w:rPr>
                <w:rFonts w:ascii="Courier New" w:cs="Courier New" w:eastAsia="Courier New" w:hAnsi="Courier New"/>
                <w:sz w:val="14"/>
                <w:szCs w:val="14"/>
                <w:color w:val="auto"/>
              </w:rPr>
              <w:t>Nine months ended September 30,</w:t>
            </w:r>
          </w:p>
        </w:tc>
        <w:tc>
          <w:tcPr>
            <w:tcW w:w="28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2001</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r>
    </w:tbl>
    <w:p>
      <w:pPr>
        <w:spacing w:after="0" w:line="4"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524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17,167.4</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16,797.4</w:t>
            </w:r>
          </w:p>
        </w:tc>
      </w:tr>
      <w:tr>
        <w:trPr>
          <w:trHeight w:val="166"/>
        </w:trPr>
        <w:tc>
          <w:tcPr>
            <w:tcW w:w="5240" w:type="dxa"/>
            <w:vAlign w:val="bottom"/>
          </w:tcPr>
          <w:p>
            <w:pPr>
              <w:spacing w:after="0"/>
              <w:rPr>
                <w:sz w:val="20"/>
                <w:szCs w:val="20"/>
                <w:color w:val="auto"/>
              </w:rPr>
            </w:pPr>
            <w:r>
              <w:rPr>
                <w:rFonts w:ascii="Courier New" w:cs="Courier New" w:eastAsia="Courier New" w:hAnsi="Courier New"/>
                <w:sz w:val="14"/>
                <w:szCs w:val="14"/>
                <w:color w:val="auto"/>
              </w:rPr>
              <w:t>Net loss before cumulative effect of change in</w:t>
            </w: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6"/>
        </w:trPr>
        <w:tc>
          <w:tcPr>
            <w:tcW w:w="5240" w:type="dxa"/>
            <w:vAlign w:val="bottom"/>
          </w:tcPr>
          <w:p>
            <w:pPr>
              <w:ind w:left="340"/>
              <w:spacing w:after="0"/>
              <w:rPr>
                <w:sz w:val="20"/>
                <w:szCs w:val="20"/>
                <w:color w:val="auto"/>
              </w:rPr>
            </w:pPr>
            <w:r>
              <w:rPr>
                <w:rFonts w:ascii="Courier New" w:cs="Courier New" w:eastAsia="Courier New" w:hAnsi="Courier New"/>
                <w:sz w:val="14"/>
                <w:szCs w:val="14"/>
                <w:color w:val="auto"/>
              </w:rPr>
              <w:t>accounting principle</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(12.4)</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(221.2)</w:t>
            </w:r>
          </w:p>
        </w:tc>
      </w:tr>
      <w:tr>
        <w:trPr>
          <w:trHeight w:val="166"/>
        </w:trPr>
        <w:tc>
          <w:tcPr>
            <w:tcW w:w="524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(12.4)</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(671.5)</w:t>
            </w:r>
          </w:p>
        </w:tc>
      </w:tr>
      <w:tr>
        <w:trPr>
          <w:trHeight w:val="166"/>
        </w:trPr>
        <w:tc>
          <w:tcPr>
            <w:tcW w:w="5240" w:type="dxa"/>
            <w:vAlign w:val="bottom"/>
          </w:tcPr>
          <w:p>
            <w:pPr>
              <w:spacing w:after="0"/>
              <w:rPr>
                <w:sz w:val="20"/>
                <w:szCs w:val="20"/>
                <w:color w:val="auto"/>
              </w:rPr>
            </w:pPr>
            <w:r>
              <w:rPr>
                <w:rFonts w:ascii="Courier New" w:cs="Courier New" w:eastAsia="Courier New" w:hAnsi="Courier New"/>
                <w:sz w:val="14"/>
                <w:szCs w:val="14"/>
                <w:color w:val="auto"/>
              </w:rPr>
              <w:t>Basic and diluted loss per common share:</w:t>
            </w: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6"/>
        </w:trPr>
        <w:tc>
          <w:tcPr>
            <w:tcW w:w="5240" w:type="dxa"/>
            <w:vAlign w:val="bottom"/>
          </w:tcPr>
          <w:p>
            <w:pPr>
              <w:ind w:left="340"/>
              <w:spacing w:after="0"/>
              <w:rPr>
                <w:sz w:val="20"/>
                <w:szCs w:val="20"/>
                <w:color w:val="auto"/>
              </w:rPr>
            </w:pPr>
            <w:r>
              <w:rPr>
                <w:rFonts w:ascii="Courier New" w:cs="Courier New" w:eastAsia="Courier New" w:hAnsi="Courier New"/>
                <w:sz w:val="14"/>
                <w:szCs w:val="14"/>
                <w:color w:val="auto"/>
              </w:rPr>
              <w:t>Net loss before cumulative effect of change in</w:t>
            </w: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6"/>
        </w:trPr>
        <w:tc>
          <w:tcPr>
            <w:tcW w:w="5240" w:type="dxa"/>
            <w:vAlign w:val="bottom"/>
          </w:tcPr>
          <w:p>
            <w:pPr>
              <w:ind w:left="600"/>
              <w:spacing w:after="0"/>
              <w:rPr>
                <w:sz w:val="20"/>
                <w:szCs w:val="20"/>
                <w:color w:val="auto"/>
              </w:rPr>
            </w:pPr>
            <w:r>
              <w:rPr>
                <w:rFonts w:ascii="Courier New" w:cs="Courier New" w:eastAsia="Courier New" w:hAnsi="Courier New"/>
                <w:sz w:val="14"/>
                <w:szCs w:val="14"/>
                <w:color w:val="auto"/>
              </w:rPr>
              <w:t>accounting principle</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(.01)</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center"/>
              <w:ind w:left="188"/>
              <w:spacing w:after="0"/>
              <w:rPr>
                <w:sz w:val="20"/>
                <w:szCs w:val="20"/>
                <w:color w:val="auto"/>
              </w:rPr>
            </w:pPr>
            <w:r>
              <w:rPr>
                <w:rFonts w:ascii="Courier New" w:cs="Courier New" w:eastAsia="Courier New" w:hAnsi="Courier New"/>
                <w:sz w:val="14"/>
                <w:szCs w:val="14"/>
                <w:color w:val="auto"/>
                <w:w w:val="99"/>
              </w:rPr>
              <w:t>(.12)</w:t>
            </w:r>
          </w:p>
        </w:tc>
      </w:tr>
      <w:tr>
        <w:trPr>
          <w:trHeight w:val="166"/>
        </w:trPr>
        <w:tc>
          <w:tcPr>
            <w:tcW w:w="5240" w:type="dxa"/>
            <w:vAlign w:val="bottom"/>
          </w:tcPr>
          <w:p>
            <w:pPr>
              <w:ind w:left="340"/>
              <w:spacing w:after="0"/>
              <w:rPr>
                <w:sz w:val="20"/>
                <w:szCs w:val="20"/>
                <w:color w:val="auto"/>
              </w:rPr>
            </w:pPr>
            <w:r>
              <w:rPr>
                <w:rFonts w:ascii="Courier New" w:cs="Courier New" w:eastAsia="Courier New" w:hAnsi="Courier New"/>
                <w:sz w:val="14"/>
                <w:szCs w:val="14"/>
                <w:color w:val="auto"/>
              </w:rPr>
              <w:t>Net loss</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(.01)</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center"/>
              <w:ind w:left="188"/>
              <w:spacing w:after="0"/>
              <w:rPr>
                <w:sz w:val="20"/>
                <w:szCs w:val="20"/>
                <w:color w:val="auto"/>
              </w:rPr>
            </w:pPr>
            <w:r>
              <w:rPr>
                <w:rFonts w:ascii="Courier New" w:cs="Courier New" w:eastAsia="Courier New" w:hAnsi="Courier New"/>
                <w:sz w:val="14"/>
                <w:szCs w:val="14"/>
                <w:color w:val="auto"/>
                <w:w w:val="99"/>
              </w:rPr>
              <w:t>(.38)</w:t>
            </w:r>
          </w:p>
        </w:tc>
      </w:tr>
    </w:tbl>
    <w:p>
      <w:pPr>
        <w:spacing w:after="0" w:line="4"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pro forma financial information is presented for comparative purposes only and is not necessarily indicative of the operating results that actually would have occurred had the above events been consummated on January 1, 2000. In addition, these results are not intended to be a projection of future results and do not reflect any synergies that might be achieved from the combined operations.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BLOCKBUSTER SPECIAL ITEM CHARGES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During the third quarter of 2001, Blockbuster executed a strategic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re-merchandising plan to allow for an expansion of store space for DVD and other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strategic product offerings. Blockbuster initiated this plan with the goal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optimizing its stores' revenues and gross profit based on an evaluation of its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 mix and product offerings. This evaluation also included analyses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industry trends and projections, such as the accelerated consumer acceptance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DVD format. In addition, Blockbuster's DVD rental revenues have increased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percentage of rental revenues from approximately 7.3% for the three months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ended September 30, 2000 to approximately 19.8% for the three months 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2001. In connection with its plan, Blockbuster eliminated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approximately 25% of its rental VHS library, certain VHS merchandise inventory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primarily located in its distribution center, and certain games from its rental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library, and reorganized its marketing and new media functions. The cost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eliminated inventory, net of any estimated proceeds, resulted in non-cash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charges of approximately $209.8 million to operating expenses in the Company's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 of operations. Blockbuster also recorded a charge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approximately $13.2 million in selling, general and administrative expenses,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primarily related to employee, labor and supply and disposal costs to execute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plan. Additionally, $2.6 million was charged to depreciation expense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 million was charged to equity in loss of affiliated companies. Blockbuster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anticipates that this plan will be completed by the end of 2001 through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destruction or sale of the identified items.</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Also, during the third quarter of 2001, Blockbuster recorded approximately $28 million in selling, general and administrative expenses related to two outstanding lawsuits.</w:t>
      </w:r>
    </w:p>
    <w:p>
      <w:pPr>
        <w:spacing w:after="0" w:line="16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amounts described above, along with the $102 million recorded as the change in accounting estimates for videocassette inventory, represent the previously announced third quarter 2001 Blockbuster charge of approximately $356 million.</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16" w:right="1440" w:bottom="1440" w:gutter="0" w:footer="0" w:header="0"/>
        </w:sectPr>
      </w:pPr>
    </w:p>
    <w:bookmarkStart w:id="9" w:name="page10"/>
    <w:bookmarkEnd w:id="9"/>
    <w:p>
      <w:pPr>
        <w:jc w:val="center"/>
        <w:ind w:right="3620"/>
        <w:spacing w:after="0"/>
        <w:rPr>
          <w:sz w:val="20"/>
          <w:szCs w:val="20"/>
          <w:color w:val="auto"/>
        </w:rPr>
      </w:pPr>
      <w:r>
        <w:rPr>
          <w:rFonts w:ascii="Courier New" w:cs="Courier New" w:eastAsia="Courier New" w:hAnsi="Courier New"/>
          <w:sz w:val="14"/>
          <w:szCs w:val="14"/>
          <w:color w:val="auto"/>
        </w:rPr>
        <w:t>VIACOM INC. AND SUBSIDIARIES</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(Tabular dollars in millions, except per share amounts)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 CHANGE IN ACCOUNTING ESTIMATES FOR RENTAL INVENTORY</w:t>
      </w:r>
    </w:p>
    <w:p>
      <w:pPr>
        <w:spacing w:after="0" w:line="173" w:lineRule="exact"/>
        <w:rPr>
          <w:sz w:val="20"/>
          <w:szCs w:val="20"/>
          <w:color w:val="auto"/>
        </w:rPr>
      </w:pPr>
    </w:p>
    <w:p>
      <w:pPr>
        <w:ind w:right="3620"/>
        <w:spacing w:after="0" w:line="251" w:lineRule="auto"/>
        <w:rPr>
          <w:sz w:val="20"/>
          <w:szCs w:val="20"/>
          <w:color w:val="auto"/>
        </w:rPr>
      </w:pPr>
      <w:r>
        <w:rPr>
          <w:rFonts w:ascii="Courier New" w:cs="Courier New" w:eastAsia="Courier New" w:hAnsi="Courier New"/>
          <w:sz w:val="14"/>
          <w:szCs w:val="14"/>
          <w:color w:val="auto"/>
        </w:rPr>
        <w:t>Effective July 1, 2001, Blockbuster changed its accounting estimates related to rental inventory, including residual values and useful lives, given its strategic re-merchandising plan as discussed in Note 3. The residual value of VHS rental inventories was reduced from $4 per unit to $2 per unit, and the residual value of game rental inventories was reduced from $10 per unit to $5 per unit. In addition, Blockbuster reduced its estimate of the useful life of its base stock VHS rental inventories from 36 months to nine months. These changes in estimate reflect the impact of changes in the rental business, such as an increase in DVD rental revenues, a decrease in VHS rental revenues and trends affecting games, which have led to a reduction in the average selling value of Blockbuster's previously rented VHS and game products and a reduction in the average life of VHS rental products. As a result of these changes in estimate, the Company's operating expenses were $102 million higher and net loss was higher by $55 million, or an increase in loss per share of $.03, than it would have been under the previous method for both the third quarter and nine months ended September 30, 2001.</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 INVENTORY</w:t>
      </w:r>
    </w:p>
    <w:p>
      <w:pPr>
        <w:spacing w:after="0" w:line="200" w:lineRule="exact"/>
        <w:rPr>
          <w:sz w:val="20"/>
          <w:szCs w:val="20"/>
          <w:color w:val="auto"/>
        </w:rPr>
      </w:pPr>
    </w:p>
    <w:p>
      <w:pPr>
        <w:spacing w:after="0" w:line="30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40"/>
        <w:spacing w:after="0"/>
        <w:tabs>
          <w:tab w:leader="none" w:pos="8420" w:val="left"/>
        </w:tabs>
        <w:rPr>
          <w:sz w:val="20"/>
          <w:szCs w:val="20"/>
          <w:color w:val="auto"/>
        </w:rPr>
      </w:pPr>
      <w:r>
        <w:rPr>
          <w:rFonts w:ascii="Courier New" w:cs="Courier New" w:eastAsia="Courier New" w:hAnsi="Courier New"/>
          <w:sz w:val="14"/>
          <w:szCs w:val="14"/>
          <w:color w:val="auto"/>
        </w:rPr>
        <w:t>At September 30, 2001</w:t>
      </w:r>
      <w:r>
        <w:rPr>
          <w:sz w:val="20"/>
          <w:szCs w:val="20"/>
          <w:color w:val="auto"/>
        </w:rPr>
        <w:tab/>
      </w:r>
      <w:r>
        <w:rPr>
          <w:rFonts w:ascii="Courier New" w:cs="Courier New" w:eastAsia="Courier New" w:hAnsi="Courier New"/>
          <w:sz w:val="14"/>
          <w:szCs w:val="14"/>
          <w:color w:val="auto"/>
        </w:rPr>
        <w:t>At December 31, 2000</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5260" w:type="dxa"/>
            <w:vAlign w:val="bottom"/>
          </w:tcPr>
          <w:p>
            <w:pPr>
              <w:spacing w:after="0"/>
              <w:rPr>
                <w:sz w:val="20"/>
                <w:szCs w:val="20"/>
                <w:color w:val="auto"/>
              </w:rPr>
            </w:pPr>
            <w:r>
              <w:rPr>
                <w:rFonts w:ascii="Courier New" w:cs="Courier New" w:eastAsia="Courier New" w:hAnsi="Courier New"/>
                <w:sz w:val="14"/>
                <w:szCs w:val="14"/>
                <w:color w:val="auto"/>
              </w:rPr>
              <w:t>Theatrical and television inventory:</w:t>
            </w:r>
          </w:p>
        </w:tc>
        <w:tc>
          <w:tcPr>
            <w:tcW w:w="2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5260" w:type="dxa"/>
            <w:vAlign w:val="bottom"/>
          </w:tcPr>
          <w:p>
            <w:pPr>
              <w:ind w:left="260"/>
              <w:spacing w:after="0"/>
              <w:rPr>
                <w:sz w:val="20"/>
                <w:szCs w:val="20"/>
                <w:color w:val="auto"/>
              </w:rPr>
            </w:pPr>
            <w:r>
              <w:rPr>
                <w:rFonts w:ascii="Courier New" w:cs="Courier New" w:eastAsia="Courier New" w:hAnsi="Courier New"/>
                <w:sz w:val="14"/>
                <w:szCs w:val="14"/>
                <w:color w:val="auto"/>
              </w:rPr>
              <w:t>Theatrical:</w:t>
            </w:r>
          </w:p>
        </w:tc>
        <w:tc>
          <w:tcPr>
            <w:tcW w:w="2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5260" w:type="dxa"/>
            <w:vAlign w:val="bottom"/>
          </w:tcPr>
          <w:p>
            <w:pPr>
              <w:ind w:left="520"/>
              <w:spacing w:after="0"/>
              <w:rPr>
                <w:sz w:val="20"/>
                <w:szCs w:val="20"/>
                <w:color w:val="auto"/>
              </w:rPr>
            </w:pPr>
            <w:r>
              <w:rPr>
                <w:rFonts w:ascii="Courier New" w:cs="Courier New" w:eastAsia="Courier New" w:hAnsi="Courier New"/>
                <w:sz w:val="14"/>
                <w:szCs w:val="14"/>
                <w:color w:val="auto"/>
              </w:rPr>
              <w:t>Released (including acquired film libraries)</w:t>
            </w:r>
          </w:p>
        </w:tc>
        <w:tc>
          <w:tcPr>
            <w:tcW w:w="25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   405.7</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365.6</w:t>
            </w:r>
          </w:p>
        </w:tc>
      </w:tr>
      <w:tr>
        <w:trPr>
          <w:trHeight w:val="166"/>
        </w:trPr>
        <w:tc>
          <w:tcPr>
            <w:tcW w:w="5260" w:type="dxa"/>
            <w:vAlign w:val="bottom"/>
          </w:tcPr>
          <w:p>
            <w:pPr>
              <w:ind w:left="520"/>
              <w:spacing w:after="0"/>
              <w:rPr>
                <w:sz w:val="20"/>
                <w:szCs w:val="20"/>
                <w:color w:val="auto"/>
              </w:rPr>
            </w:pPr>
            <w:r>
              <w:rPr>
                <w:rFonts w:ascii="Courier New" w:cs="Courier New" w:eastAsia="Courier New" w:hAnsi="Courier New"/>
                <w:sz w:val="14"/>
                <w:szCs w:val="14"/>
                <w:color w:val="auto"/>
              </w:rPr>
              <w:t>Completed, not released</w:t>
            </w:r>
          </w:p>
        </w:tc>
        <w:tc>
          <w:tcPr>
            <w:tcW w:w="25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4.5</w:t>
            </w:r>
          </w:p>
        </w:tc>
        <w:tc>
          <w:tcPr>
            <w:tcW w:w="10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49.5</w:t>
            </w:r>
          </w:p>
        </w:tc>
      </w:tr>
      <w:tr>
        <w:trPr>
          <w:trHeight w:val="166"/>
        </w:trPr>
        <w:tc>
          <w:tcPr>
            <w:tcW w:w="5260" w:type="dxa"/>
            <w:vAlign w:val="bottom"/>
          </w:tcPr>
          <w:p>
            <w:pPr>
              <w:ind w:left="520"/>
              <w:spacing w:after="0"/>
              <w:rPr>
                <w:sz w:val="20"/>
                <w:szCs w:val="20"/>
                <w:color w:val="auto"/>
              </w:rPr>
            </w:pPr>
            <w:r>
              <w:rPr>
                <w:rFonts w:ascii="Courier New" w:cs="Courier New" w:eastAsia="Courier New" w:hAnsi="Courier New"/>
                <w:sz w:val="14"/>
                <w:szCs w:val="14"/>
                <w:color w:val="auto"/>
              </w:rPr>
              <w:t>In process and other</w:t>
            </w:r>
          </w:p>
        </w:tc>
        <w:tc>
          <w:tcPr>
            <w:tcW w:w="25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476.4</w:t>
            </w:r>
          </w:p>
        </w:tc>
        <w:tc>
          <w:tcPr>
            <w:tcW w:w="10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276.6</w:t>
            </w:r>
          </w:p>
        </w:tc>
      </w:tr>
      <w:tr>
        <w:trPr>
          <w:trHeight w:val="166"/>
        </w:trPr>
        <w:tc>
          <w:tcPr>
            <w:tcW w:w="5260" w:type="dxa"/>
            <w:vAlign w:val="bottom"/>
          </w:tcPr>
          <w:p>
            <w:pPr>
              <w:ind w:left="260"/>
              <w:spacing w:after="0"/>
              <w:rPr>
                <w:sz w:val="20"/>
                <w:szCs w:val="20"/>
                <w:color w:val="auto"/>
              </w:rPr>
            </w:pPr>
            <w:r>
              <w:rPr>
                <w:rFonts w:ascii="Courier New" w:cs="Courier New" w:eastAsia="Courier New" w:hAnsi="Courier New"/>
                <w:sz w:val="14"/>
                <w:szCs w:val="14"/>
                <w:color w:val="auto"/>
              </w:rPr>
              <w:t>Television:</w:t>
            </w:r>
          </w:p>
        </w:tc>
        <w:tc>
          <w:tcPr>
            <w:tcW w:w="2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5260" w:type="dxa"/>
            <w:vAlign w:val="bottom"/>
          </w:tcPr>
          <w:p>
            <w:pPr>
              <w:ind w:left="520"/>
              <w:spacing w:after="0"/>
              <w:rPr>
                <w:sz w:val="20"/>
                <w:szCs w:val="20"/>
                <w:color w:val="auto"/>
              </w:rPr>
            </w:pPr>
            <w:r>
              <w:rPr>
                <w:rFonts w:ascii="Courier New" w:cs="Courier New" w:eastAsia="Courier New" w:hAnsi="Courier New"/>
                <w:sz w:val="14"/>
                <w:szCs w:val="14"/>
                <w:color w:val="auto"/>
              </w:rPr>
              <w:t>Released (including acquired film libraries)</w:t>
            </w:r>
          </w:p>
        </w:tc>
        <w:tc>
          <w:tcPr>
            <w:tcW w:w="25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911.9</w:t>
            </w:r>
          </w:p>
        </w:tc>
        <w:tc>
          <w:tcPr>
            <w:tcW w:w="10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881.9</w:t>
            </w:r>
          </w:p>
        </w:tc>
      </w:tr>
      <w:tr>
        <w:trPr>
          <w:trHeight w:val="166"/>
        </w:trPr>
        <w:tc>
          <w:tcPr>
            <w:tcW w:w="5260" w:type="dxa"/>
            <w:vAlign w:val="bottom"/>
          </w:tcPr>
          <w:p>
            <w:pPr>
              <w:ind w:left="520"/>
              <w:spacing w:after="0"/>
              <w:rPr>
                <w:sz w:val="20"/>
                <w:szCs w:val="20"/>
                <w:color w:val="auto"/>
              </w:rPr>
            </w:pPr>
            <w:r>
              <w:rPr>
                <w:rFonts w:ascii="Courier New" w:cs="Courier New" w:eastAsia="Courier New" w:hAnsi="Courier New"/>
                <w:sz w:val="14"/>
                <w:szCs w:val="14"/>
                <w:color w:val="auto"/>
              </w:rPr>
              <w:t>In process and other</w:t>
            </w:r>
          </w:p>
        </w:tc>
        <w:tc>
          <w:tcPr>
            <w:tcW w:w="25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180.3</w:t>
            </w:r>
          </w:p>
        </w:tc>
        <w:tc>
          <w:tcPr>
            <w:tcW w:w="10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151.5</w:t>
            </w:r>
          </w:p>
        </w:tc>
      </w:tr>
      <w:tr>
        <w:trPr>
          <w:trHeight w:val="166"/>
        </w:trPr>
        <w:tc>
          <w:tcPr>
            <w:tcW w:w="5260" w:type="dxa"/>
            <w:vAlign w:val="bottom"/>
          </w:tcPr>
          <w:p>
            <w:pPr>
              <w:ind w:left="260"/>
              <w:spacing w:after="0"/>
              <w:rPr>
                <w:sz w:val="20"/>
                <w:szCs w:val="20"/>
                <w:color w:val="auto"/>
              </w:rPr>
            </w:pPr>
            <w:r>
              <w:rPr>
                <w:rFonts w:ascii="Courier New" w:cs="Courier New" w:eastAsia="Courier New" w:hAnsi="Courier New"/>
                <w:sz w:val="14"/>
                <w:szCs w:val="14"/>
                <w:color w:val="auto"/>
              </w:rPr>
              <w:t>Program rights</w:t>
            </w:r>
          </w:p>
        </w:tc>
        <w:tc>
          <w:tcPr>
            <w:tcW w:w="25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2,405.9</w:t>
            </w:r>
          </w:p>
        </w:tc>
        <w:tc>
          <w:tcPr>
            <w:tcW w:w="10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2,163.4</w:t>
            </w:r>
          </w:p>
        </w:tc>
      </w:tr>
    </w:tbl>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38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4,384.7</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3,888.5</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Less current portion</w:t>
            </w:r>
          </w:p>
        </w:tc>
        <w:tc>
          <w:tcPr>
            <w:tcW w:w="38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1,102.0</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985.9</w:t>
            </w:r>
          </w:p>
        </w:tc>
      </w:tr>
    </w:tbl>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640"/>
        <w:spacing w:after="0"/>
        <w:tabs>
          <w:tab w:leader="none" w:pos="9300" w:val="left"/>
        </w:tabs>
        <w:rPr>
          <w:sz w:val="20"/>
          <w:szCs w:val="20"/>
          <w:color w:val="auto"/>
        </w:rPr>
      </w:pPr>
      <w:r>
        <w:rPr>
          <w:rFonts w:ascii="Courier New" w:cs="Courier New" w:eastAsia="Courier New" w:hAnsi="Courier New"/>
          <w:sz w:val="14"/>
          <w:szCs w:val="14"/>
          <w:color w:val="auto"/>
        </w:rPr>
        <w:t>3,282.7</w:t>
      </w:r>
      <w:r>
        <w:rPr>
          <w:sz w:val="20"/>
          <w:szCs w:val="20"/>
          <w:color w:val="auto"/>
        </w:rPr>
        <w:tab/>
      </w:r>
      <w:r>
        <w:rPr>
          <w:rFonts w:ascii="Courier New" w:cs="Courier New" w:eastAsia="Courier New" w:hAnsi="Courier New"/>
          <w:sz w:val="14"/>
          <w:szCs w:val="14"/>
          <w:color w:val="auto"/>
        </w:rPr>
        <w:t>2,902.6</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5640" w:type="dxa"/>
            <w:vAlign w:val="bottom"/>
          </w:tcPr>
          <w:p>
            <w:pPr>
              <w:spacing w:after="0"/>
              <w:rPr>
                <w:sz w:val="20"/>
                <w:szCs w:val="20"/>
                <w:color w:val="auto"/>
              </w:rPr>
            </w:pPr>
            <w:r>
              <w:rPr>
                <w:rFonts w:ascii="Courier New" w:cs="Courier New" w:eastAsia="Courier New" w:hAnsi="Courier New"/>
                <w:sz w:val="14"/>
                <w:szCs w:val="14"/>
                <w:color w:val="auto"/>
              </w:rPr>
              <w:t>Merchandise inventory, including sell-through inventory</w:t>
            </w:r>
          </w:p>
        </w:tc>
        <w:tc>
          <w:tcPr>
            <w:tcW w:w="246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293.8</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309.9</w:t>
            </w:r>
          </w:p>
        </w:tc>
      </w:tr>
      <w:tr>
        <w:trPr>
          <w:trHeight w:val="166"/>
        </w:trPr>
        <w:tc>
          <w:tcPr>
            <w:tcW w:w="5640" w:type="dxa"/>
            <w:vAlign w:val="bottom"/>
          </w:tcPr>
          <w:p>
            <w:pPr>
              <w:spacing w:after="0"/>
              <w:rPr>
                <w:sz w:val="20"/>
                <w:szCs w:val="20"/>
                <w:color w:val="auto"/>
              </w:rPr>
            </w:pPr>
            <w:r>
              <w:rPr>
                <w:rFonts w:ascii="Courier New" w:cs="Courier New" w:eastAsia="Courier New" w:hAnsi="Courier New"/>
                <w:sz w:val="14"/>
                <w:szCs w:val="14"/>
                <w:color w:val="auto"/>
              </w:rPr>
              <w:t>Rental inventory</w:t>
            </w:r>
          </w:p>
        </w:tc>
        <w:tc>
          <w:tcPr>
            <w:tcW w:w="246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281.1</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631.6</w:t>
            </w:r>
          </w:p>
        </w:tc>
      </w:tr>
      <w:tr>
        <w:trPr>
          <w:trHeight w:val="166"/>
        </w:trPr>
        <w:tc>
          <w:tcPr>
            <w:tcW w:w="5640" w:type="dxa"/>
            <w:vAlign w:val="bottom"/>
          </w:tcPr>
          <w:p>
            <w:pPr>
              <w:spacing w:after="0"/>
              <w:rPr>
                <w:sz w:val="20"/>
                <w:szCs w:val="20"/>
                <w:color w:val="auto"/>
              </w:rPr>
            </w:pPr>
            <w:r>
              <w:rPr>
                <w:rFonts w:ascii="Courier New" w:cs="Courier New" w:eastAsia="Courier New" w:hAnsi="Courier New"/>
                <w:sz w:val="14"/>
                <w:szCs w:val="14"/>
                <w:color w:val="auto"/>
              </w:rPr>
              <w:t>Publishing, primarily finished goods</w:t>
            </w:r>
          </w:p>
        </w:tc>
        <w:tc>
          <w:tcPr>
            <w:tcW w:w="246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72.3</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67.9</w:t>
            </w:r>
          </w:p>
        </w:tc>
      </w:tr>
      <w:tr>
        <w:trPr>
          <w:trHeight w:val="166"/>
        </w:trPr>
        <w:tc>
          <w:tcPr>
            <w:tcW w:w="56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46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109.9</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137.0</w:t>
            </w:r>
          </w:p>
        </w:tc>
      </w:tr>
    </w:tbl>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4020" w:type="dxa"/>
            <w:vAlign w:val="bottom"/>
          </w:tcPr>
          <w:p>
            <w:pPr>
              <w:spacing w:after="0"/>
              <w:rPr>
                <w:sz w:val="14"/>
                <w:szCs w:val="14"/>
                <w:color w:val="auto"/>
              </w:rPr>
            </w:pPr>
          </w:p>
        </w:tc>
        <w:tc>
          <w:tcPr>
            <w:tcW w:w="37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757.1</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1,146.4</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Less current portion</w:t>
            </w:r>
          </w:p>
        </w:tc>
        <w:tc>
          <w:tcPr>
            <w:tcW w:w="37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398.2</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416.1</w:t>
            </w:r>
          </w:p>
        </w:tc>
      </w:tr>
    </w:tbl>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820"/>
        <w:spacing w:after="0"/>
        <w:tabs>
          <w:tab w:leader="none" w:pos="9460" w:val="left"/>
        </w:tabs>
        <w:rPr>
          <w:sz w:val="20"/>
          <w:szCs w:val="20"/>
          <w:color w:val="auto"/>
        </w:rPr>
      </w:pPr>
      <w:r>
        <w:rPr>
          <w:rFonts w:ascii="Courier New" w:cs="Courier New" w:eastAsia="Courier New" w:hAnsi="Courier New"/>
          <w:sz w:val="14"/>
          <w:szCs w:val="14"/>
          <w:color w:val="auto"/>
        </w:rPr>
        <w:t>358.9</w:t>
      </w:r>
      <w:r>
        <w:rPr>
          <w:sz w:val="20"/>
          <w:szCs w:val="20"/>
          <w:color w:val="auto"/>
        </w:rPr>
        <w:tab/>
      </w:r>
      <w:r>
        <w:rPr>
          <w:rFonts w:ascii="Courier New" w:cs="Courier New" w:eastAsia="Courier New" w:hAnsi="Courier New"/>
          <w:sz w:val="14"/>
          <w:szCs w:val="14"/>
          <w:color w:val="auto"/>
        </w:rPr>
        <w:t>730.3</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4100" w:type="dxa"/>
            <w:vAlign w:val="bottom"/>
          </w:tcPr>
          <w:p>
            <w:pPr>
              <w:spacing w:after="0"/>
              <w:rPr>
                <w:sz w:val="20"/>
                <w:szCs w:val="20"/>
                <w:color w:val="auto"/>
              </w:rPr>
            </w:pPr>
            <w:r>
              <w:rPr>
                <w:rFonts w:ascii="Courier New" w:cs="Courier New" w:eastAsia="Courier New" w:hAnsi="Courier New"/>
                <w:sz w:val="14"/>
                <w:szCs w:val="14"/>
                <w:color w:val="auto"/>
              </w:rPr>
              <w:t>Total Current Inventory</w:t>
            </w:r>
          </w:p>
        </w:tc>
        <w:tc>
          <w:tcPr>
            <w:tcW w:w="37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$ 1,500.2</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   1,402.0</w:t>
            </w:r>
          </w:p>
        </w:tc>
      </w:tr>
    </w:tbl>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4280" w:type="dxa"/>
            <w:vAlign w:val="bottom"/>
          </w:tcPr>
          <w:p>
            <w:pPr>
              <w:spacing w:after="0"/>
              <w:rPr>
                <w:sz w:val="20"/>
                <w:szCs w:val="20"/>
                <w:color w:val="auto"/>
              </w:rPr>
            </w:pPr>
            <w:r>
              <w:rPr>
                <w:rFonts w:ascii="Courier New" w:cs="Courier New" w:eastAsia="Courier New" w:hAnsi="Courier New"/>
                <w:sz w:val="14"/>
                <w:szCs w:val="14"/>
                <w:color w:val="auto"/>
              </w:rPr>
              <w:t>Total Non-Current Inventory</w:t>
            </w:r>
          </w:p>
        </w:tc>
        <w:tc>
          <w:tcPr>
            <w:tcW w:w="35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$ 3,641.6</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   3,632.9</w:t>
            </w:r>
          </w:p>
        </w:tc>
      </w:tr>
    </w:tbl>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520"/>
          </w:cols>
          <w:pgMar w:left="220" w:top="616" w:right="1159" w:bottom="1440" w:gutter="0" w:footer="0" w:header="0"/>
        </w:sectPr>
      </w:pPr>
    </w:p>
    <w:bookmarkStart w:id="10" w:name="page11"/>
    <w:bookmarkEnd w:id="10"/>
    <w:p>
      <w:pPr>
        <w:jc w:val="center"/>
        <w:ind w:right="4040"/>
        <w:spacing w:after="0"/>
        <w:rPr>
          <w:sz w:val="20"/>
          <w:szCs w:val="20"/>
          <w:color w:val="auto"/>
        </w:rPr>
      </w:pPr>
      <w:r>
        <w:rPr>
          <w:rFonts w:ascii="Courier New" w:cs="Courier New" w:eastAsia="Courier New" w:hAnsi="Courier New"/>
          <w:sz w:val="14"/>
          <w:szCs w:val="14"/>
          <w:color w:val="auto"/>
        </w:rPr>
        <w:t>VIACOM INC. AND SUBSIDIARIES</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(Tabular dollars in millions, except per share amounts)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 MERGER-RELATED CHARGES</w:t>
      </w:r>
    </w:p>
    <w:p>
      <w:pPr>
        <w:spacing w:after="0" w:line="173" w:lineRule="exact"/>
        <w:rPr>
          <w:sz w:val="20"/>
          <w:szCs w:val="20"/>
          <w:color w:val="auto"/>
        </w:rPr>
      </w:pPr>
    </w:p>
    <w:p>
      <w:pPr>
        <w:ind w:right="4040"/>
        <w:spacing w:after="0" w:line="251" w:lineRule="auto"/>
        <w:rPr>
          <w:sz w:val="20"/>
          <w:szCs w:val="20"/>
          <w:color w:val="auto"/>
        </w:rPr>
      </w:pPr>
      <w:r>
        <w:rPr>
          <w:rFonts w:ascii="Courier New" w:cs="Courier New" w:eastAsia="Courier New" w:hAnsi="Courier New"/>
          <w:sz w:val="14"/>
          <w:szCs w:val="14"/>
          <w:color w:val="auto"/>
        </w:rPr>
        <w:t>In connection with the integration of Viacom and CBS and the acquisition of UPN, the Company recorded merger-related charges of $698 million in the second quarter of 2000. These amounts included non-cash charges of $415 million principally attributable to compensation for stock options and $283 million of accrued liabilities for severance, transaction fees and integration costs. As of September 30, 2001, the Company had paid and charged approximately $104 million for severance liabilities, $27 million for transaction fees and $57 million related to integration costs.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 LONG-TERM DEBT</w:t>
      </w:r>
    </w:p>
    <w:p>
      <w:pPr>
        <w:spacing w:after="0" w:line="173" w:lineRule="exact"/>
        <w:rPr>
          <w:sz w:val="20"/>
          <w:szCs w:val="20"/>
          <w:color w:val="auto"/>
        </w:rPr>
      </w:pPr>
    </w:p>
    <w:p>
      <w:pPr>
        <w:ind w:right="4480"/>
        <w:spacing w:after="0" w:line="255" w:lineRule="auto"/>
        <w:rPr>
          <w:sz w:val="20"/>
          <w:szCs w:val="20"/>
          <w:color w:val="auto"/>
        </w:rPr>
      </w:pPr>
      <w:r>
        <w:rPr>
          <w:rFonts w:ascii="Courier New" w:cs="Courier New" w:eastAsia="Courier New" w:hAnsi="Courier New"/>
          <w:sz w:val="14"/>
          <w:szCs w:val="14"/>
          <w:color w:val="auto"/>
        </w:rPr>
        <w:t>The following table sets forth the Company's long-term debt, net of current portion:</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6980"/>
        <w:spacing w:after="0"/>
        <w:tabs>
          <w:tab w:leader="none" w:pos="9040" w:val="left"/>
        </w:tabs>
        <w:rPr>
          <w:sz w:val="20"/>
          <w:szCs w:val="20"/>
          <w:color w:val="auto"/>
        </w:rPr>
      </w:pPr>
      <w:r>
        <w:rPr>
          <w:rFonts w:ascii="Courier New" w:cs="Courier New" w:eastAsia="Courier New" w:hAnsi="Courier New"/>
          <w:sz w:val="14"/>
          <w:szCs w:val="14"/>
          <w:color w:val="auto"/>
        </w:rPr>
        <w:t>At September 30,</w:t>
      </w:r>
      <w:r>
        <w:rPr>
          <w:sz w:val="20"/>
          <w:szCs w:val="20"/>
          <w:color w:val="auto"/>
        </w:rPr>
        <w:tab/>
      </w:r>
      <w:r>
        <w:rPr>
          <w:rFonts w:ascii="Courier New" w:cs="Courier New" w:eastAsia="Courier New" w:hAnsi="Courier New"/>
          <w:sz w:val="14"/>
          <w:szCs w:val="14"/>
          <w:color w:val="auto"/>
        </w:rPr>
        <w:t>At December 31,</w:t>
      </w:r>
    </w:p>
    <w:p>
      <w:pPr>
        <w:spacing w:after="0" w:line="7" w:lineRule="exact"/>
        <w:rPr>
          <w:sz w:val="20"/>
          <w:szCs w:val="20"/>
          <w:color w:val="auto"/>
        </w:rPr>
      </w:pPr>
    </w:p>
    <w:p>
      <w:pPr>
        <w:ind w:left="7500"/>
        <w:spacing w:after="0"/>
        <w:tabs>
          <w:tab w:leader="none" w:pos="9540" w:val="left"/>
        </w:tabs>
        <w:rPr>
          <w:sz w:val="20"/>
          <w:szCs w:val="20"/>
          <w:color w:val="auto"/>
        </w:rPr>
      </w:pPr>
      <w:r>
        <w:rPr>
          <w:rFonts w:ascii="Courier New" w:cs="Courier New" w:eastAsia="Courier New" w:hAnsi="Courier New"/>
          <w:sz w:val="14"/>
          <w:szCs w:val="14"/>
          <w:color w:val="auto"/>
        </w:rPr>
        <w:t>2001</w:t>
      </w:r>
      <w:r>
        <w:rPr>
          <w:sz w:val="20"/>
          <w:szCs w:val="20"/>
          <w:color w:val="auto"/>
        </w:rPr>
        <w:tab/>
      </w:r>
      <w:r>
        <w:rPr>
          <w:rFonts w:ascii="Courier New" w:cs="Courier New" w:eastAsia="Courier New" w:hAnsi="Courier New"/>
          <w:sz w:val="14"/>
          <w:szCs w:val="14"/>
          <w:color w:val="auto"/>
        </w:rPr>
        <w:t>2000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gridSpan w:val="2"/>
          </w:tcPr>
          <w:p>
            <w:pPr>
              <w:spacing w:after="0"/>
              <w:rPr>
                <w:sz w:val="20"/>
                <w:szCs w:val="20"/>
                <w:color w:val="auto"/>
              </w:rPr>
            </w:pPr>
            <w:r>
              <w:rPr>
                <w:rFonts w:ascii="Courier New" w:cs="Courier New" w:eastAsia="Courier New" w:hAnsi="Courier New"/>
                <w:sz w:val="14"/>
                <w:szCs w:val="14"/>
                <w:color w:val="auto"/>
              </w:rPr>
              <w:t>Notes payable to banks (including commercial paper)</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2,135.4</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5,735.5</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Senior debt</w:t>
            </w:r>
          </w:p>
        </w:tc>
        <w:tc>
          <w:tcPr>
            <w:tcW w:w="4960" w:type="dxa"/>
            <w:vAlign w:val="bottom"/>
          </w:tcPr>
          <w:p>
            <w:pPr>
              <w:ind w:left="40"/>
              <w:spacing w:after="0"/>
              <w:rPr>
                <w:sz w:val="20"/>
                <w:szCs w:val="20"/>
                <w:color w:val="auto"/>
              </w:rPr>
            </w:pPr>
            <w:r>
              <w:rPr>
                <w:rFonts w:ascii="Courier New" w:cs="Courier New" w:eastAsia="Courier New" w:hAnsi="Courier New"/>
                <w:sz w:val="14"/>
                <w:szCs w:val="14"/>
                <w:color w:val="auto"/>
              </w:rPr>
              <w:t>(6.40% - 10.50% due 2002-2051)</w:t>
            </w:r>
          </w:p>
        </w:tc>
        <w:tc>
          <w:tcPr>
            <w:tcW w:w="1420" w:type="dxa"/>
            <w:vAlign w:val="bottom"/>
          </w:tcPr>
          <w:p>
            <w:pPr>
              <w:spacing w:after="0"/>
              <w:rPr>
                <w:sz w:val="14"/>
                <w:szCs w:val="14"/>
                <w:color w:val="auto"/>
              </w:rPr>
            </w:pP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8,885.1</w:t>
            </w:r>
          </w:p>
        </w:tc>
        <w:tc>
          <w:tcPr>
            <w:tcW w:w="7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5,662.7</w:t>
            </w:r>
          </w:p>
        </w:tc>
      </w:tr>
      <w:tr>
        <w:trPr>
          <w:trHeight w:val="166"/>
        </w:trPr>
        <w:tc>
          <w:tcPr>
            <w:tcW w:w="5960" w:type="dxa"/>
            <w:vAlign w:val="bottom"/>
            <w:gridSpan w:val="2"/>
          </w:tcPr>
          <w:p>
            <w:pPr>
              <w:spacing w:after="0"/>
              <w:rPr>
                <w:sz w:val="20"/>
                <w:szCs w:val="20"/>
                <w:color w:val="auto"/>
              </w:rPr>
            </w:pPr>
            <w:r>
              <w:rPr>
                <w:rFonts w:ascii="Courier New" w:cs="Courier New" w:eastAsia="Courier New" w:hAnsi="Courier New"/>
                <w:sz w:val="14"/>
                <w:szCs w:val="14"/>
                <w:color w:val="auto"/>
              </w:rPr>
              <w:t>Senior subordinated debt (8.875% - 9.375% due 2006-2007)</w:t>
            </w:r>
          </w:p>
        </w:tc>
        <w:tc>
          <w:tcPr>
            <w:tcW w:w="1420" w:type="dxa"/>
            <w:vAlign w:val="bottom"/>
          </w:tcPr>
          <w:p>
            <w:pPr>
              <w:spacing w:after="0"/>
              <w:rPr>
                <w:sz w:val="14"/>
                <w:szCs w:val="14"/>
                <w:color w:val="auto"/>
              </w:rPr>
            </w:pP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458.0</w:t>
            </w:r>
          </w:p>
        </w:tc>
        <w:tc>
          <w:tcPr>
            <w:tcW w:w="7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664.4</w:t>
            </w:r>
          </w:p>
        </w:tc>
      </w:tr>
      <w:tr>
        <w:trPr>
          <w:trHeight w:val="166"/>
        </w:trPr>
        <w:tc>
          <w:tcPr>
            <w:tcW w:w="5960" w:type="dxa"/>
            <w:vAlign w:val="bottom"/>
            <w:gridSpan w:val="2"/>
          </w:tcPr>
          <w:p>
            <w:pPr>
              <w:spacing w:after="0"/>
              <w:rPr>
                <w:sz w:val="20"/>
                <w:szCs w:val="20"/>
                <w:color w:val="auto"/>
              </w:rPr>
            </w:pPr>
            <w:r>
              <w:rPr>
                <w:rFonts w:ascii="Courier New" w:cs="Courier New" w:eastAsia="Courier New" w:hAnsi="Courier New"/>
                <w:sz w:val="14"/>
                <w:szCs w:val="14"/>
                <w:color w:val="auto"/>
              </w:rPr>
              <w:t>Subordinated debt (11.375% due 2009)</w:t>
            </w:r>
          </w:p>
        </w:tc>
        <w:tc>
          <w:tcPr>
            <w:tcW w:w="1420" w:type="dxa"/>
            <w:vAlign w:val="bottom"/>
          </w:tcPr>
          <w:p>
            <w:pPr>
              <w:spacing w:after="0"/>
              <w:rPr>
                <w:sz w:val="14"/>
                <w:szCs w:val="14"/>
                <w:color w:val="auto"/>
              </w:rPr>
            </w:pP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20.0</w:t>
            </w:r>
          </w:p>
        </w:tc>
        <w:tc>
          <w:tcPr>
            <w:tcW w:w="7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39.4</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Other notes</w:t>
            </w:r>
          </w:p>
        </w:tc>
        <w:tc>
          <w:tcPr>
            <w:tcW w:w="4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18.8</w:t>
            </w:r>
          </w:p>
        </w:tc>
        <w:tc>
          <w:tcPr>
            <w:tcW w:w="7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43.5</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Obligations</w:t>
            </w:r>
          </w:p>
        </w:tc>
        <w:tc>
          <w:tcPr>
            <w:tcW w:w="4960" w:type="dxa"/>
            <w:vAlign w:val="bottom"/>
          </w:tcPr>
          <w:p>
            <w:pPr>
              <w:ind w:left="40"/>
              <w:spacing w:after="0"/>
              <w:rPr>
                <w:sz w:val="20"/>
                <w:szCs w:val="20"/>
                <w:color w:val="auto"/>
              </w:rPr>
            </w:pPr>
            <w:r>
              <w:rPr>
                <w:rFonts w:ascii="Courier New" w:cs="Courier New" w:eastAsia="Courier New" w:hAnsi="Courier New"/>
                <w:sz w:val="14"/>
                <w:szCs w:val="14"/>
                <w:color w:val="auto"/>
              </w:rPr>
              <w:t>under capital leases</w:t>
            </w:r>
          </w:p>
        </w:tc>
        <w:tc>
          <w:tcPr>
            <w:tcW w:w="1420" w:type="dxa"/>
            <w:vAlign w:val="bottom"/>
          </w:tcPr>
          <w:p>
            <w:pPr>
              <w:spacing w:after="0"/>
              <w:rPr>
                <w:sz w:val="14"/>
                <w:szCs w:val="14"/>
                <w:color w:val="auto"/>
              </w:rPr>
            </w:pP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474.1</w:t>
            </w:r>
          </w:p>
        </w:tc>
        <w:tc>
          <w:tcPr>
            <w:tcW w:w="7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552.2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4480" w:type="dxa"/>
            <w:vAlign w:val="bottom"/>
          </w:tcPr>
          <w:p>
            <w:pPr>
              <w:spacing w:after="0"/>
              <w:rPr>
                <w:sz w:val="20"/>
                <w:szCs w:val="20"/>
                <w:color w:val="auto"/>
              </w:rPr>
            </w:pPr>
            <w:r>
              <w:rPr>
                <w:rFonts w:ascii="Courier New" w:cs="Courier New" w:eastAsia="Courier New" w:hAnsi="Courier New"/>
                <w:sz w:val="14"/>
                <w:szCs w:val="14"/>
                <w:color w:val="auto"/>
              </w:rPr>
              <w:t>Total Debt</w:t>
            </w:r>
          </w:p>
        </w:tc>
        <w:tc>
          <w:tcPr>
            <w:tcW w:w="39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11,991.4</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12,697.7</w:t>
            </w:r>
          </w:p>
        </w:tc>
      </w:tr>
      <w:tr>
        <w:trPr>
          <w:trHeight w:val="166"/>
        </w:trPr>
        <w:tc>
          <w:tcPr>
            <w:tcW w:w="4480" w:type="dxa"/>
            <w:vAlign w:val="bottom"/>
          </w:tcPr>
          <w:p>
            <w:pPr>
              <w:ind w:left="180"/>
              <w:spacing w:after="0"/>
              <w:rPr>
                <w:sz w:val="20"/>
                <w:szCs w:val="20"/>
                <w:color w:val="auto"/>
              </w:rPr>
            </w:pPr>
            <w:r>
              <w:rPr>
                <w:rFonts w:ascii="Courier New" w:cs="Courier New" w:eastAsia="Courier New" w:hAnsi="Courier New"/>
                <w:sz w:val="14"/>
                <w:szCs w:val="14"/>
                <w:color w:val="auto"/>
              </w:rPr>
              <w:t>Less current portion</w:t>
            </w:r>
          </w:p>
        </w:tc>
        <w:tc>
          <w:tcPr>
            <w:tcW w:w="39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266.4</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223.9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
        <w:spacing w:after="0"/>
        <w:tabs>
          <w:tab w:leader="none" w:pos="7060" w:val="left"/>
          <w:tab w:leader="none" w:pos="7480" w:val="left"/>
          <w:tab w:leader="none" w:pos="9120" w:val="left"/>
          <w:tab w:leader="none" w:pos="9460" w:val="left"/>
        </w:tabs>
        <w:rPr>
          <w:sz w:val="20"/>
          <w:szCs w:val="20"/>
          <w:color w:val="auto"/>
        </w:rPr>
      </w:pPr>
      <w:r>
        <w:rPr>
          <w:rFonts w:ascii="Courier New" w:cs="Courier New" w:eastAsia="Courier New" w:hAnsi="Courier New"/>
          <w:sz w:val="14"/>
          <w:szCs w:val="14"/>
          <w:color w:val="auto"/>
        </w:rPr>
        <w:t>Total Long-Term Debt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11,725.0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12,473.8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p>
      <w:pPr>
        <w:ind w:right="4220"/>
        <w:spacing w:after="0" w:line="251" w:lineRule="auto"/>
        <w:rPr>
          <w:sz w:val="20"/>
          <w:szCs w:val="20"/>
          <w:color w:val="auto"/>
        </w:rPr>
      </w:pPr>
      <w:r>
        <w:rPr>
          <w:rFonts w:ascii="Courier New" w:cs="Courier New" w:eastAsia="Courier New" w:hAnsi="Courier New"/>
          <w:sz w:val="14"/>
          <w:szCs w:val="14"/>
          <w:color w:val="auto"/>
        </w:rPr>
        <w:t>On January 9, 2001, the Company issued under Rule 144A, $400 million of 6.40% unsecured senior notes due January 30, 2006, $500 million of 7.70% unsecured senior notes due July 30, 2010, and $750 million of 7.875% unsecured senior debentures due July 30, 2030; interest on the senior notes and debentures will be payable semi-annually. Proceeds from the debt issuance were used to repay bank debt, including commercial paper. During March and September 2001, these notes and debentures were exchanged for registered notes and debentures. The unsecured senior debentures and the unsecured senior notes due July 30, 2010, are redeemable at any time by the Company at their principal amount plus the applicable premium and accrued interest.</w:t>
      </w:r>
    </w:p>
    <w:p>
      <w:pPr>
        <w:spacing w:after="0" w:line="163" w:lineRule="exact"/>
        <w:rPr>
          <w:sz w:val="20"/>
          <w:szCs w:val="20"/>
          <w:color w:val="auto"/>
        </w:rPr>
      </w:pPr>
    </w:p>
    <w:p>
      <w:pPr>
        <w:ind w:right="4120"/>
        <w:spacing w:after="0" w:line="252" w:lineRule="auto"/>
        <w:rPr>
          <w:sz w:val="20"/>
          <w:szCs w:val="20"/>
          <w:color w:val="auto"/>
        </w:rPr>
      </w:pPr>
      <w:r>
        <w:rPr>
          <w:rFonts w:ascii="Courier New" w:cs="Courier New" w:eastAsia="Courier New" w:hAnsi="Courier New"/>
          <w:sz w:val="14"/>
          <w:szCs w:val="14"/>
          <w:color w:val="auto"/>
        </w:rPr>
        <w:t>On February 1, 2001, the Company redeemed all $60.3 million outstanding of Infinity's 9% senior subordinated notes due 2006 at a redemption price equal to 104.5% of the principal amount.</w:t>
      </w:r>
    </w:p>
    <w:p>
      <w:pPr>
        <w:spacing w:after="0" w:line="163" w:lineRule="exact"/>
        <w:rPr>
          <w:sz w:val="20"/>
          <w:szCs w:val="20"/>
          <w:color w:val="auto"/>
        </w:rPr>
      </w:pPr>
    </w:p>
    <w:p>
      <w:pPr>
        <w:ind w:right="4040"/>
        <w:spacing w:after="0" w:line="250" w:lineRule="auto"/>
        <w:rPr>
          <w:sz w:val="20"/>
          <w:szCs w:val="20"/>
          <w:color w:val="auto"/>
        </w:rPr>
      </w:pPr>
      <w:r>
        <w:rPr>
          <w:rFonts w:ascii="Courier New" w:cs="Courier New" w:eastAsia="Courier New" w:hAnsi="Courier New"/>
          <w:sz w:val="14"/>
          <w:szCs w:val="14"/>
          <w:color w:val="auto"/>
        </w:rPr>
        <w:t>In March 2001, the Company cancelled its credit agreements other than its Infinity $1.45 billion facility and the Blockbuster Credit Agreement, and entered into two new credit facilities. These two new facilities total $3.5 billion and are comprised of a $1.5 billion 5-year revolving credit facility and a $2.0 billion 364-day revolving credit facility. The Company also amended and restated the Infinity $1.45 billion facility; the terms and conditions were substantially conformed to the new $1.5 billion 5-year revolving credit facility and the Company was designated as the borrower. The primary purpose of the facilities is to support commercial paper borrowings. The Company, at its option, may borrow in certain foreign currencies up to specified limits under the new $1.5 billion 5-year revolving credit facility. Borrowing rates under the facilities are determined at the time of each borrowing and are based generally on LIBOR plus a margin based on the Company's senior unsecured debt rating. At September 30, 2001, LIBOR for borrowing periods of one month and two months were 2.63% and 2.59%, respectively.</w:t>
      </w:r>
    </w:p>
    <w:p>
      <w:pPr>
        <w:spacing w:after="0" w:line="172" w:lineRule="exact"/>
        <w:rPr>
          <w:sz w:val="20"/>
          <w:szCs w:val="20"/>
          <w:color w:val="auto"/>
        </w:rPr>
      </w:pPr>
    </w:p>
    <w:p>
      <w:pPr>
        <w:ind w:right="4120"/>
        <w:spacing w:after="0" w:line="252" w:lineRule="auto"/>
        <w:rPr>
          <w:sz w:val="20"/>
          <w:szCs w:val="20"/>
          <w:color w:val="auto"/>
        </w:rPr>
      </w:pPr>
      <w:r>
        <w:rPr>
          <w:rFonts w:ascii="Courier New" w:cs="Courier New" w:eastAsia="Courier New" w:hAnsi="Courier New"/>
          <w:sz w:val="14"/>
          <w:szCs w:val="14"/>
          <w:color w:val="auto"/>
        </w:rPr>
        <w:t>The new and amended facilities contain certain covenants which, among other things, require that the Company maintain a minimum interest coverage ratio. At September 30, 2001, the Company was in compliance with the financial covenants.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940"/>
          </w:cols>
          <w:pgMar w:left="220" w:top="616" w:right="739" w:bottom="1440" w:gutter="0" w:footer="0" w:header="0"/>
        </w:sectPr>
      </w:pPr>
    </w:p>
    <w:bookmarkStart w:id="11" w:name="page12"/>
    <w:bookmarkEnd w:id="11"/>
    <w:p>
      <w:pPr>
        <w:jc w:val="center"/>
        <w:ind w:right="3339"/>
        <w:spacing w:after="0"/>
        <w:rPr>
          <w:sz w:val="20"/>
          <w:szCs w:val="20"/>
          <w:color w:val="auto"/>
        </w:rPr>
      </w:pPr>
      <w:r>
        <w:rPr>
          <w:rFonts w:ascii="Courier New" w:cs="Courier New" w:eastAsia="Courier New" w:hAnsi="Courier New"/>
          <w:sz w:val="14"/>
          <w:szCs w:val="14"/>
          <w:color w:val="auto"/>
        </w:rPr>
        <w:t>VIACOM INC. AND SUBSIDIARIES</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(Tabular dollars in millions, except per share amounts)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May 17, 2001, the Company issued under Rule 144A an additional $400 million of 6.40% unsecured senior notes due January 30, 2006 and $1.0 billion of 6.625% senior notes due May 15, 2011; interest on the senior notes will be payable semi-annually. Proceeds from the sale of securities were used to repay existing short-term debt, including commercial paper. During September 2001, these notes were exchanged for registered notes. The notes due May 15, 2011 are redeemable at any time by the Company at their principal amount plus the applicable premium and accrued interest.</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June 29, 2001, the Company issued $335 million of 7.25% senior notes due June 30, 2051; interest on the senior notes will be payable quarterly. Proceeds from the debt issuance were used to repay existing short-term debt, including commercial paper. The senior notes are redeemable at any time by the Company after June 30, 2006 at their principal amount plus accrued interest.</w:t>
      </w:r>
    </w:p>
    <w:p>
      <w:pPr>
        <w:spacing w:after="0" w:line="165"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At September 30, 2001, the Company had borrowings under its commercial paper program of approximately $1.1 billion. Borrowings under the program have maturities of less than a year and are supported by unused committed bank facilities.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 STOCK REPURCHASE</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For the nine months ended September 30, 2001, the Company repurchased approximately 18.1 million shares of the Company's Class B Common Stock for approximately $779.2 million under its stock repurchase programs, of which $347 million was spent in the third quarter for 9.6 million shares.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 COMMITMENTS AND CONTINGENCIES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commitments of the Company for program license fees, estimated to aggregate approximately $15.1 billion, are not reflected in the balance sheet as of September 30, 2001. These commitments include approximately $10.6 billion for the acquisition of sports programming rights. A majority of such fees are payable over several years, as part of normal programming expenditures.</w:t>
      </w:r>
    </w:p>
    <w:p>
      <w:pPr>
        <w:spacing w:after="0" w:line="165"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Company, Blockbuster and Paramount Home Entertainment are among the defendants in a lawsuit filed on July 21, 1999 in the United States District Court for the Western District of Texas by one former and three present independent video retailers against the major motion picture studios and the Company. The plaintiffs, purporting to act as class representatives on behalf of themselves and all others similarly situated, alleged that the Company and the studios conspired among themselves and with Blockbuster to restrain competition in the nationwide market for distribution of videocassettes for rental to the public in violation of federal and California law. Plaintiffs sought injunctive relief under federal law as well as triple the amount of the alleged actual damages to themselves and those similarly situated under California statutes. In January 2001, plaintiffs moved to withdraw their California state law claims from the federal lawsuit in Texas and filed a substantially similar</w:t>
      </w:r>
    </w:p>
    <w:p>
      <w:pPr>
        <w:spacing w:after="0" w:line="6"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complaint with approximately 200 additional named plaintiffs in Superior Court for the County of Los</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16" w:right="1440" w:bottom="1440" w:gutter="0" w:footer="0" w:header="0"/>
        </w:sectPr>
      </w:pPr>
    </w:p>
    <w:bookmarkStart w:id="12" w:name="page13"/>
    <w:bookmarkEnd w:id="12"/>
    <w:p>
      <w:pPr>
        <w:jc w:val="center"/>
        <w:ind w:right="3339"/>
        <w:spacing w:after="0"/>
        <w:rPr>
          <w:sz w:val="20"/>
          <w:szCs w:val="20"/>
          <w:color w:val="auto"/>
        </w:rPr>
      </w:pPr>
      <w:r>
        <w:rPr>
          <w:rFonts w:ascii="Courier New" w:cs="Courier New" w:eastAsia="Courier New" w:hAnsi="Courier New"/>
          <w:sz w:val="14"/>
          <w:szCs w:val="14"/>
          <w:color w:val="auto"/>
        </w:rPr>
        <w:t>VIACOM INC. AND SUBSIDIARIES</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(Tabular dollars in millions, except per share amounts)</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Angeles. This complaint also sought certification of a nationwide class of similarly situated plaintiffs. In March 2001, the Texas court denied the plaintiffs' motion for class certification of both the federal and the California state law claims in the federal action and denied the plaintiffs' motion to withdraw their California state law claims from that action. The Company believes that the plaintiffs' position in these litigations is without merit and intends to defend itself vigorously in the litigations.</w:t>
      </w:r>
    </w:p>
    <w:p>
      <w:pPr>
        <w:spacing w:after="0" w:line="164"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Company is a defendant in numerous lawsuits claiming various asbestos-related personal injuries, which allegedly occurred from use or inclusion of asbestos in certain products supplied by previously divested industrial business, generally in the pre-1970 time period. Typically, these lawsuits are brought against multiple defendants in state and federal courts. The Company was neither a manufacturer nor a producer of asbestos. As of September 30, 2001, the Company had pending approximately 129,910 asbestos cases, excluding cases in various stages of settlement. The Company has brought suit against certain of its insurance carriers with respect to asbestos claims. Under the terms of a settlement agreement resulting from this suit, carriers that have agreed to the settlement are now reimbursing the Company for a substantial portion of its current costs and settlement associated with asbestos claims. The Company believes that it has meritorious defenses to asbestos matters, that where appropriate it has adequately provided for resolution of matters and that any ultimate liability resulting from asbestos matters is not likely to have a material adverse effect on its results of operations, financial position or cash flows.</w:t>
      </w:r>
    </w:p>
    <w:p>
      <w:pPr>
        <w:spacing w:after="0" w:line="33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from time to time receives claims from federal and state environmental regulatory agencies and other entities asserting that it is or may be liable for environmental cleanup costs and related damages, principally relating to discontinued operations conducted by companies acquired by the Company. The Company's liabilities reflect management's best estimate of its environmental exposure. Such liability was not discounted or reduced by potential insurance recoveries and reflects management's estimate of cost sharing at multiparty sites. The estimated liability was calculated based upon currently available facts, existing technology and presently enacted laws and regulations. On the basis of its experience and the information currently available to it, the Company believes that the claims it has received will not have a material adverse effect on its results of operations, financial position or cash flows.</w:t>
      </w:r>
    </w:p>
    <w:p>
      <w:pPr>
        <w:spacing w:after="0" w:line="329"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In addition to the above matters, the Company and various of its subsidiaries are parties to certain other legal proceedings. Litigation is inherently uncertain and always difficult to predict. However, based on its understanding and evaluation of the relevant facts and circumstances, the Company believes that these matters are not likely to have a material adverse effect on its results of operations, financial position or cash flows.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 PROVISION FOR INCOME TAXES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provision for income taxes represents federal, state and foreign income taxes on earnings before income taxes. The reported estimated annual effective tax rates of 97.8% for 2001, excluding the 2001 Blockbuster charges of $356 million, and 76.7% for 2000, excluding the 2000 merger-related charges of $698 million, were adversely affected by amortization of intangibles in excess of the amounts deductible for tax purposes. The third quarter and year to date income tax expense for 2001 includes a $135 million benefit recognized on the $356 million pretax Blockbuster charge. Income tax expense for the three months ending September 30, 2001 also includes a tax benefit of $59 million recognized to record the excess of tax bases over the historical financial statement value that is expected to be realized in the near-term. Excluding the non-deductible amortization of intangibles and the charges, the estimated annual effective tax rates would have been 39.1% for 2001 and 38.8% for 2000.</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16" w:right="1440" w:bottom="1440" w:gutter="0" w:footer="0" w:header="0"/>
        </w:sectPr>
      </w:pPr>
    </w:p>
    <w:bookmarkStart w:id="13" w:name="page14"/>
    <w:bookmarkEnd w:id="13"/>
    <w:p>
      <w:pPr>
        <w:jc w:val="center"/>
        <w:ind w:right="4220"/>
        <w:spacing w:after="0"/>
        <w:rPr>
          <w:sz w:val="20"/>
          <w:szCs w:val="20"/>
          <w:color w:val="auto"/>
        </w:rPr>
      </w:pPr>
      <w:r>
        <w:rPr>
          <w:rFonts w:ascii="Courier New" w:cs="Courier New" w:eastAsia="Courier New" w:hAnsi="Courier New"/>
          <w:sz w:val="14"/>
          <w:szCs w:val="14"/>
          <w:color w:val="auto"/>
        </w:rPr>
        <w:t>VIACOM INC. AND SUBSIDIARIES</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(Tabular dollars in millions, except per share amounts)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 REPORTABLE SEGMENTS</w:t>
      </w:r>
    </w:p>
    <w:p>
      <w:pPr>
        <w:spacing w:after="0" w:line="173" w:lineRule="exact"/>
        <w:rPr>
          <w:sz w:val="20"/>
          <w:szCs w:val="20"/>
          <w:color w:val="auto"/>
        </w:rPr>
      </w:pPr>
    </w:p>
    <w:p>
      <w:pPr>
        <w:ind w:right="4220"/>
        <w:spacing w:after="0" w:line="251" w:lineRule="auto"/>
        <w:rPr>
          <w:sz w:val="20"/>
          <w:szCs w:val="20"/>
          <w:color w:val="auto"/>
        </w:rPr>
      </w:pPr>
      <w:r>
        <w:rPr>
          <w:rFonts w:ascii="Courier New" w:cs="Courier New" w:eastAsia="Courier New" w:hAnsi="Courier New"/>
          <w:sz w:val="14"/>
          <w:szCs w:val="14"/>
          <w:color w:val="auto"/>
        </w:rPr>
        <w:t>The following tables set forth the Company's financial performance by reportable operating segment. Effective January 1, 2001, the Company operates its online business under the Cable Networks and Television segments and accordingly, now presents its online business as part of these respective segments. Prior period information has been reclassified to conform to the new structure. Intersegment revenues are recorded at fair market value as if the sales were to third parties and are eliminated in consolidation. Entertainment's revenues include intercompany revenues of $93.7 million and $84.5 million for the three months ended September 30, 2001 and September 30, 2000, respectively, and $300.8 million and $253.8 million for the nine months ended September 30, 2001 and September 30, 2000, respectively. Residual costs of discontinued businesses primarily include pension and postretirement benefit costs for benefit plans retained by CBS for previously divested industrial businesses.</w:t>
      </w:r>
    </w:p>
    <w:p>
      <w:pPr>
        <w:spacing w:after="0" w:line="163" w:lineRule="exact"/>
        <w:rPr>
          <w:sz w:val="20"/>
          <w:szCs w:val="20"/>
          <w:color w:val="auto"/>
        </w:rPr>
      </w:pPr>
    </w:p>
    <w:p>
      <w:pPr>
        <w:ind w:right="4300"/>
        <w:spacing w:after="0" w:line="251" w:lineRule="auto"/>
        <w:rPr>
          <w:sz w:val="20"/>
          <w:szCs w:val="20"/>
          <w:color w:val="auto"/>
        </w:rPr>
      </w:pPr>
      <w:r>
        <w:rPr>
          <w:rFonts w:ascii="Courier New" w:cs="Courier New" w:eastAsia="Courier New" w:hAnsi="Courier New"/>
          <w:sz w:val="14"/>
          <w:szCs w:val="14"/>
          <w:color w:val="auto"/>
        </w:rPr>
        <w:t>The Company evaluates performance based on many factors; one of the primary measures is EBITDA, defined as operating income before depreciation and amortization. The Company believes that EBITDA is an appropriate measure of evaluating the operating performance of its segments. However, EBITDA should be considered in addition to, not as a substitute for or superior to, operating income, net earnings, cash flows, and other measures of financial performance prepared in accordance with generally accepted accounting principles ("GAAP"). As EBITDA is not a measure of performance calculated in accordance with GAAP, this measure may not be comparable to similarly titled measures employed by other companies.</w:t>
      </w:r>
    </w:p>
    <w:p>
      <w:pPr>
        <w:spacing w:after="0" w:line="200" w:lineRule="exact"/>
        <w:rPr>
          <w:sz w:val="20"/>
          <w:szCs w:val="20"/>
          <w:color w:val="auto"/>
        </w:rPr>
      </w:pPr>
    </w:p>
    <w:p>
      <w:pPr>
        <w:spacing w:after="0" w:line="295" w:lineRule="exact"/>
        <w:rPr>
          <w:sz w:val="20"/>
          <w:szCs w:val="20"/>
          <w:color w:val="auto"/>
        </w:rPr>
      </w:pPr>
    </w:p>
    <w:p>
      <w:pPr>
        <w:jc w:val="right"/>
        <w:ind w:left="4480" w:right="340"/>
        <w:spacing w:after="0" w:line="250" w:lineRule="auto"/>
        <w:rPr>
          <w:sz w:val="20"/>
          <w:szCs w:val="20"/>
          <w:color w:val="auto"/>
        </w:rPr>
      </w:pPr>
      <w:r>
        <w:rPr>
          <w:rFonts w:ascii="Courier New" w:cs="Courier New" w:eastAsia="Courier New" w:hAnsi="Courier New"/>
          <w:sz w:val="14"/>
          <w:szCs w:val="14"/>
          <w:color w:val="auto"/>
        </w:rPr>
        <w:t>Three Months Ended September 30,          Nine Months Ended September 30, --------------------------------          ------------------------------- 2001                 2000                 2001                   2000</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Revenues:</w:t>
      </w:r>
    </w:p>
    <w:p>
      <w:pPr>
        <w:spacing w:after="0" w:line="173"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280" w:type="dxa"/>
            <w:vAlign w:val="bottom"/>
          </w:tcPr>
          <w:p>
            <w:pPr>
              <w:spacing w:after="0"/>
              <w:rPr>
                <w:sz w:val="20"/>
                <w:szCs w:val="20"/>
                <w:color w:val="auto"/>
              </w:rPr>
            </w:pPr>
            <w:r>
              <w:rPr>
                <w:rFonts w:ascii="Courier New" w:cs="Courier New" w:eastAsia="Courier New" w:hAnsi="Courier New"/>
                <w:sz w:val="14"/>
                <w:szCs w:val="14"/>
                <w:color w:val="auto"/>
              </w:rPr>
              <w:t>Cable Networks</w:t>
            </w:r>
          </w:p>
        </w:tc>
        <w:tc>
          <w:tcPr>
            <w:tcW w:w="2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1,096.6</w:t>
            </w:r>
          </w:p>
        </w:tc>
        <w:tc>
          <w:tcPr>
            <w:tcW w:w="16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$ 1,021.2</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3,141.0</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2,753.5</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Television</w:t>
            </w:r>
          </w:p>
        </w:tc>
        <w:tc>
          <w:tcPr>
            <w:tcW w:w="2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1,585.2</w:t>
            </w:r>
          </w:p>
        </w:tc>
        <w:tc>
          <w:tcPr>
            <w:tcW w:w="16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1,712.8</w:t>
            </w:r>
          </w:p>
        </w:tc>
        <w:tc>
          <w:tcPr>
            <w:tcW w:w="560" w:type="dxa"/>
            <w:vAlign w:val="bottom"/>
          </w:tcPr>
          <w:p>
            <w:pPr>
              <w:spacing w:after="0"/>
              <w:rPr>
                <w:sz w:val="14"/>
                <w:szCs w:val="14"/>
                <w:color w:val="auto"/>
              </w:rPr>
            </w:pP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5,242.4</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3,466.6</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Infinity</w:t>
            </w:r>
          </w:p>
        </w:tc>
        <w:tc>
          <w:tcPr>
            <w:tcW w:w="2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910.3</w:t>
            </w:r>
          </w:p>
        </w:tc>
        <w:tc>
          <w:tcPr>
            <w:tcW w:w="16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1,025.8</w:t>
            </w:r>
          </w:p>
        </w:tc>
        <w:tc>
          <w:tcPr>
            <w:tcW w:w="560" w:type="dxa"/>
            <w:vAlign w:val="bottom"/>
          </w:tcPr>
          <w:p>
            <w:pPr>
              <w:spacing w:after="0"/>
              <w:rPr>
                <w:sz w:val="14"/>
                <w:szCs w:val="14"/>
                <w:color w:val="auto"/>
              </w:rPr>
            </w:pP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2,731.3</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1,698.4</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Entertainment</w:t>
            </w:r>
          </w:p>
        </w:tc>
        <w:tc>
          <w:tcPr>
            <w:tcW w:w="2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796.8</w:t>
            </w:r>
          </w:p>
        </w:tc>
        <w:tc>
          <w:tcPr>
            <w:tcW w:w="16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786.3</w:t>
            </w:r>
          </w:p>
        </w:tc>
        <w:tc>
          <w:tcPr>
            <w:tcW w:w="560" w:type="dxa"/>
            <w:vAlign w:val="bottom"/>
          </w:tcPr>
          <w:p>
            <w:pPr>
              <w:spacing w:after="0"/>
              <w:rPr>
                <w:sz w:val="14"/>
                <w:szCs w:val="14"/>
                <w:color w:val="auto"/>
              </w:rPr>
            </w:pP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2,164.8</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2,057.6</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Video</w:t>
            </w:r>
          </w:p>
        </w:tc>
        <w:tc>
          <w:tcPr>
            <w:tcW w:w="2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1,264.7</w:t>
            </w:r>
          </w:p>
        </w:tc>
        <w:tc>
          <w:tcPr>
            <w:tcW w:w="16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1,193.8</w:t>
            </w:r>
          </w:p>
        </w:tc>
        <w:tc>
          <w:tcPr>
            <w:tcW w:w="560" w:type="dxa"/>
            <w:vAlign w:val="bottom"/>
          </w:tcPr>
          <w:p>
            <w:pPr>
              <w:spacing w:after="0"/>
              <w:rPr>
                <w:sz w:val="14"/>
                <w:szCs w:val="14"/>
                <w:color w:val="auto"/>
              </w:rPr>
            </w:pP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3,798.6</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3,619.3</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Publishing</w:t>
            </w:r>
          </w:p>
        </w:tc>
        <w:tc>
          <w:tcPr>
            <w:tcW w:w="2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183.6</w:t>
            </w:r>
          </w:p>
        </w:tc>
        <w:tc>
          <w:tcPr>
            <w:tcW w:w="16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167.0</w:t>
            </w:r>
          </w:p>
        </w:tc>
        <w:tc>
          <w:tcPr>
            <w:tcW w:w="560" w:type="dxa"/>
            <w:vAlign w:val="bottom"/>
          </w:tcPr>
          <w:p>
            <w:pPr>
              <w:spacing w:after="0"/>
              <w:rPr>
                <w:sz w:val="14"/>
                <w:szCs w:val="14"/>
                <w:color w:val="auto"/>
              </w:rPr>
            </w:pP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454.9</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413.0</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Intercompany eliminations</w:t>
            </w:r>
          </w:p>
        </w:tc>
        <w:tc>
          <w:tcPr>
            <w:tcW w:w="2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(123.4)</w:t>
            </w:r>
          </w:p>
        </w:tc>
        <w:tc>
          <w:tcPr>
            <w:tcW w:w="16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(96.1)</w:t>
            </w:r>
          </w:p>
        </w:tc>
        <w:tc>
          <w:tcPr>
            <w:tcW w:w="56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(350.1)</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(320.9)</w:t>
            </w:r>
          </w:p>
        </w:tc>
      </w:tr>
    </w:tbl>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Courier New" w:cs="Courier New" w:eastAsia="Courier New" w:hAnsi="Courier New"/>
                <w:sz w:val="14"/>
                <w:szCs w:val="14"/>
                <w:color w:val="auto"/>
              </w:rPr>
              <w:t>Total Revenues</w:t>
            </w:r>
          </w:p>
        </w:tc>
        <w:tc>
          <w:tcPr>
            <w:tcW w:w="27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5,713.8</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5,810.8</w:t>
            </w:r>
          </w:p>
        </w:tc>
        <w:tc>
          <w:tcPr>
            <w:tcW w:w="1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17,182.9</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$ 13,687.5</w:t>
            </w:r>
          </w:p>
        </w:tc>
      </w:tr>
    </w:tbl>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800" w:type="dxa"/>
            <w:vAlign w:val="bottom"/>
          </w:tcPr>
          <w:p>
            <w:pPr>
              <w:spacing w:after="0"/>
              <w:rPr>
                <w:sz w:val="20"/>
                <w:szCs w:val="20"/>
                <w:color w:val="auto"/>
              </w:rPr>
            </w:pPr>
            <w:r>
              <w:rPr>
                <w:rFonts w:ascii="Courier New" w:cs="Courier New" w:eastAsia="Courier New" w:hAnsi="Courier New"/>
                <w:sz w:val="14"/>
                <w:szCs w:val="14"/>
                <w:color w:val="auto"/>
              </w:rPr>
              <w:t>EBITDA:</w:t>
            </w:r>
          </w:p>
        </w:tc>
        <w:tc>
          <w:tcPr>
            <w:tcW w:w="1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Cable Networks</w:t>
            </w:r>
          </w:p>
        </w:tc>
        <w:tc>
          <w:tcPr>
            <w:tcW w:w="1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470.2</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400.8</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1,218.3</w:t>
            </w:r>
          </w:p>
        </w:tc>
        <w:tc>
          <w:tcPr>
            <w:tcW w:w="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922.5</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Television</w:t>
            </w:r>
          </w:p>
        </w:tc>
        <w:tc>
          <w:tcPr>
            <w:tcW w:w="1800" w:type="dxa"/>
            <w:vAlign w:val="bottom"/>
          </w:tcPr>
          <w:p>
            <w:pPr>
              <w:spacing w:after="0"/>
              <w:rPr>
                <w:sz w:val="14"/>
                <w:szCs w:val="14"/>
                <w:color w:val="auto"/>
              </w:rPr>
            </w:pP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282.6</w:t>
            </w:r>
          </w:p>
        </w:tc>
        <w:tc>
          <w:tcPr>
            <w:tcW w:w="70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341.1</w:t>
            </w:r>
          </w:p>
        </w:tc>
        <w:tc>
          <w:tcPr>
            <w:tcW w:w="620" w:type="dxa"/>
            <w:vAlign w:val="bottom"/>
          </w:tcPr>
          <w:p>
            <w:pPr>
              <w:spacing w:after="0"/>
              <w:rPr>
                <w:sz w:val="14"/>
                <w:szCs w:val="14"/>
                <w:color w:val="auto"/>
              </w:rPr>
            </w:pP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958.1</w:t>
            </w:r>
          </w:p>
        </w:tc>
        <w:tc>
          <w:tcPr>
            <w:tcW w:w="6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622.9</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Infinity</w:t>
            </w:r>
          </w:p>
        </w:tc>
        <w:tc>
          <w:tcPr>
            <w:tcW w:w="1800" w:type="dxa"/>
            <w:vAlign w:val="bottom"/>
          </w:tcPr>
          <w:p>
            <w:pPr>
              <w:spacing w:after="0"/>
              <w:rPr>
                <w:sz w:val="14"/>
                <w:szCs w:val="14"/>
                <w:color w:val="auto"/>
              </w:rPr>
            </w:pP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373.1</w:t>
            </w:r>
          </w:p>
        </w:tc>
        <w:tc>
          <w:tcPr>
            <w:tcW w:w="70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468.3</w:t>
            </w:r>
          </w:p>
        </w:tc>
        <w:tc>
          <w:tcPr>
            <w:tcW w:w="620" w:type="dxa"/>
            <w:vAlign w:val="bottom"/>
          </w:tcPr>
          <w:p>
            <w:pPr>
              <w:spacing w:after="0"/>
              <w:rPr>
                <w:sz w:val="14"/>
                <w:szCs w:val="14"/>
                <w:color w:val="auto"/>
              </w:rPr>
            </w:pP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1,132.6</w:t>
            </w:r>
          </w:p>
        </w:tc>
        <w:tc>
          <w:tcPr>
            <w:tcW w:w="6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792.4</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Entertainment</w:t>
            </w:r>
          </w:p>
        </w:tc>
        <w:tc>
          <w:tcPr>
            <w:tcW w:w="1800" w:type="dxa"/>
            <w:vAlign w:val="bottom"/>
          </w:tcPr>
          <w:p>
            <w:pPr>
              <w:spacing w:after="0"/>
              <w:rPr>
                <w:sz w:val="14"/>
                <w:szCs w:val="14"/>
                <w:color w:val="auto"/>
              </w:rPr>
            </w:pP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92.8</w:t>
            </w:r>
          </w:p>
        </w:tc>
        <w:tc>
          <w:tcPr>
            <w:tcW w:w="70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174.9</w:t>
            </w:r>
          </w:p>
        </w:tc>
        <w:tc>
          <w:tcPr>
            <w:tcW w:w="620" w:type="dxa"/>
            <w:vAlign w:val="bottom"/>
          </w:tcPr>
          <w:p>
            <w:pPr>
              <w:spacing w:after="0"/>
              <w:rPr>
                <w:sz w:val="14"/>
                <w:szCs w:val="14"/>
                <w:color w:val="auto"/>
              </w:rPr>
            </w:pP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288.6</w:t>
            </w:r>
          </w:p>
        </w:tc>
        <w:tc>
          <w:tcPr>
            <w:tcW w:w="6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344.0</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Video</w:t>
            </w:r>
          </w:p>
        </w:tc>
        <w:tc>
          <w:tcPr>
            <w:tcW w:w="1800" w:type="dxa"/>
            <w:vAlign w:val="bottom"/>
          </w:tcPr>
          <w:p>
            <w:pPr>
              <w:spacing w:after="0"/>
              <w:rPr>
                <w:sz w:val="14"/>
                <w:szCs w:val="14"/>
                <w:color w:val="auto"/>
              </w:rPr>
            </w:pP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(210.4)</w:t>
            </w:r>
          </w:p>
        </w:tc>
        <w:tc>
          <w:tcPr>
            <w:tcW w:w="70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119.1</w:t>
            </w:r>
          </w:p>
        </w:tc>
        <w:tc>
          <w:tcPr>
            <w:tcW w:w="620" w:type="dxa"/>
            <w:vAlign w:val="bottom"/>
          </w:tcPr>
          <w:p>
            <w:pPr>
              <w:spacing w:after="0"/>
              <w:rPr>
                <w:sz w:val="14"/>
                <w:szCs w:val="14"/>
                <w:color w:val="auto"/>
              </w:rPr>
            </w:pP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68.5</w:t>
            </w:r>
          </w:p>
        </w:tc>
        <w:tc>
          <w:tcPr>
            <w:tcW w:w="6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382.6</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Publishing</w:t>
            </w:r>
          </w:p>
        </w:tc>
        <w:tc>
          <w:tcPr>
            <w:tcW w:w="1800" w:type="dxa"/>
            <w:vAlign w:val="bottom"/>
          </w:tcPr>
          <w:p>
            <w:pPr>
              <w:spacing w:after="0"/>
              <w:rPr>
                <w:sz w:val="14"/>
                <w:szCs w:val="14"/>
                <w:color w:val="auto"/>
              </w:rPr>
            </w:pP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22.4</w:t>
            </w:r>
          </w:p>
        </w:tc>
        <w:tc>
          <w:tcPr>
            <w:tcW w:w="70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27.6</w:t>
            </w:r>
          </w:p>
        </w:tc>
        <w:tc>
          <w:tcPr>
            <w:tcW w:w="620" w:type="dxa"/>
            <w:vAlign w:val="bottom"/>
          </w:tcPr>
          <w:p>
            <w:pPr>
              <w:spacing w:after="0"/>
              <w:rPr>
                <w:sz w:val="14"/>
                <w:szCs w:val="14"/>
                <w:color w:val="auto"/>
              </w:rPr>
            </w:pP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33.8</w:t>
            </w:r>
          </w:p>
        </w:tc>
        <w:tc>
          <w:tcPr>
            <w:tcW w:w="6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34.4</w:t>
            </w:r>
          </w:p>
        </w:tc>
      </w:tr>
    </w:tbl>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880" w:type="dxa"/>
            <w:vAlign w:val="bottom"/>
          </w:tcPr>
          <w:p>
            <w:pPr>
              <w:ind w:left="340"/>
              <w:spacing w:after="0"/>
              <w:rPr>
                <w:sz w:val="20"/>
                <w:szCs w:val="20"/>
                <w:color w:val="auto"/>
              </w:rPr>
            </w:pPr>
            <w:r>
              <w:rPr>
                <w:rFonts w:ascii="Courier New" w:cs="Courier New" w:eastAsia="Courier New" w:hAnsi="Courier New"/>
                <w:sz w:val="14"/>
                <w:szCs w:val="14"/>
                <w:color w:val="auto"/>
              </w:rPr>
              <w:t>Segment total</w:t>
            </w:r>
          </w:p>
        </w:tc>
        <w:tc>
          <w:tcPr>
            <w:tcW w:w="20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1,030.7</w:t>
            </w:r>
          </w:p>
        </w:tc>
        <w:tc>
          <w:tcPr>
            <w:tcW w:w="17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1,531.8</w:t>
            </w:r>
          </w:p>
        </w:tc>
        <w:tc>
          <w:tcPr>
            <w:tcW w:w="16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3,699.9</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3,098.8</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Reconciliation to Operating Income :</w:t>
            </w:r>
          </w:p>
        </w:tc>
        <w:tc>
          <w:tcPr>
            <w:tcW w:w="20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3880" w:type="dxa"/>
            <w:vAlign w:val="bottom"/>
          </w:tcPr>
          <w:p>
            <w:pPr>
              <w:ind w:left="340"/>
              <w:spacing w:after="0"/>
              <w:rPr>
                <w:sz w:val="20"/>
                <w:szCs w:val="20"/>
                <w:color w:val="auto"/>
              </w:rPr>
            </w:pPr>
            <w:r>
              <w:rPr>
                <w:rFonts w:ascii="Courier New" w:cs="Courier New" w:eastAsia="Courier New" w:hAnsi="Courier New"/>
                <w:sz w:val="14"/>
                <w:szCs w:val="14"/>
                <w:color w:val="auto"/>
              </w:rPr>
              <w:t>Corporate expenses/eliminations</w:t>
            </w:r>
          </w:p>
        </w:tc>
        <w:tc>
          <w:tcPr>
            <w:tcW w:w="20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(32.8)</w:t>
            </w:r>
          </w:p>
        </w:tc>
        <w:tc>
          <w:tcPr>
            <w:tcW w:w="17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(62.6)</w:t>
            </w: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(149.6)</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(868.6)</w:t>
            </w:r>
          </w:p>
        </w:tc>
      </w:tr>
      <w:tr>
        <w:trPr>
          <w:trHeight w:val="166"/>
        </w:trPr>
        <w:tc>
          <w:tcPr>
            <w:tcW w:w="3880" w:type="dxa"/>
            <w:vAlign w:val="bottom"/>
          </w:tcPr>
          <w:p>
            <w:pPr>
              <w:ind w:left="340"/>
              <w:spacing w:after="0"/>
              <w:rPr>
                <w:sz w:val="20"/>
                <w:szCs w:val="20"/>
                <w:color w:val="auto"/>
              </w:rPr>
            </w:pPr>
            <w:r>
              <w:rPr>
                <w:rFonts w:ascii="Courier New" w:cs="Courier New" w:eastAsia="Courier New" w:hAnsi="Courier New"/>
                <w:sz w:val="14"/>
                <w:szCs w:val="14"/>
                <w:color w:val="auto"/>
              </w:rPr>
              <w:t>Residual costs of discontinued</w:t>
            </w:r>
          </w:p>
        </w:tc>
        <w:tc>
          <w:tcPr>
            <w:tcW w:w="20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(21.0)</w:t>
            </w:r>
          </w:p>
        </w:tc>
        <w:tc>
          <w:tcPr>
            <w:tcW w:w="17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(29.0)</w:t>
            </w: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(62.8)</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(47.6)</w:t>
            </w:r>
          </w:p>
        </w:tc>
      </w:tr>
      <w:tr>
        <w:trPr>
          <w:trHeight w:val="166"/>
        </w:trPr>
        <w:tc>
          <w:tcPr>
            <w:tcW w:w="3880" w:type="dxa"/>
            <w:vAlign w:val="bottom"/>
          </w:tcPr>
          <w:p>
            <w:pPr>
              <w:ind w:left="600"/>
              <w:spacing w:after="0"/>
              <w:rPr>
                <w:sz w:val="20"/>
                <w:szCs w:val="20"/>
                <w:color w:val="auto"/>
              </w:rPr>
            </w:pPr>
            <w:r>
              <w:rPr>
                <w:rFonts w:ascii="Courier New" w:cs="Courier New" w:eastAsia="Courier New" w:hAnsi="Courier New"/>
                <w:sz w:val="14"/>
                <w:szCs w:val="14"/>
                <w:color w:val="auto"/>
              </w:rPr>
              <w:t>operations</w:t>
            </w:r>
          </w:p>
        </w:tc>
        <w:tc>
          <w:tcPr>
            <w:tcW w:w="20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3880" w:type="dxa"/>
            <w:vAlign w:val="bottom"/>
          </w:tcPr>
          <w:p>
            <w:pPr>
              <w:ind w:left="340"/>
              <w:spacing w:after="0"/>
              <w:rPr>
                <w:sz w:val="20"/>
                <w:szCs w:val="20"/>
                <w:color w:val="auto"/>
              </w:rPr>
            </w:pPr>
            <w:r>
              <w:rPr>
                <w:rFonts w:ascii="Courier New" w:cs="Courier New" w:eastAsia="Courier New" w:hAnsi="Courier New"/>
                <w:sz w:val="14"/>
                <w:szCs w:val="14"/>
                <w:color w:val="auto"/>
              </w:rPr>
              <w:t>Depreciation and amortization</w:t>
            </w:r>
          </w:p>
        </w:tc>
        <w:tc>
          <w:tcPr>
            <w:tcW w:w="20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(783.2)</w:t>
            </w:r>
          </w:p>
        </w:tc>
        <w:tc>
          <w:tcPr>
            <w:tcW w:w="17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(680.3)</w:t>
            </w: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(2,304.3)</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(1,460.5)</w:t>
            </w:r>
          </w:p>
        </w:tc>
      </w:tr>
    </w:tbl>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80"/>
        <w:spacing w:after="0"/>
        <w:tabs>
          <w:tab w:leader="none" w:pos="4560" w:val="left"/>
          <w:tab w:leader="none" w:pos="4980" w:val="left"/>
          <w:tab w:leader="none" w:pos="6280" w:val="left"/>
          <w:tab w:leader="none" w:pos="6800" w:val="left"/>
          <w:tab w:leader="none" w:pos="7920" w:val="left"/>
          <w:tab w:leader="none" w:pos="8340" w:val="left"/>
          <w:tab w:leader="none" w:pos="9720" w:val="left"/>
          <w:tab w:leader="none" w:pos="10160" w:val="left"/>
        </w:tabs>
        <w:rPr>
          <w:sz w:val="20"/>
          <w:szCs w:val="20"/>
          <w:color w:val="auto"/>
        </w:rPr>
      </w:pPr>
      <w:r>
        <w:rPr>
          <w:rFonts w:ascii="Courier New" w:cs="Courier New" w:eastAsia="Courier New" w:hAnsi="Courier New"/>
          <w:sz w:val="14"/>
          <w:szCs w:val="14"/>
          <w:color w:val="auto"/>
        </w:rPr>
        <w:t>Total Operating Income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193.7</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759.9</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1,183.2</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722.1</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1120"/>
          </w:cols>
          <w:pgMar w:left="220" w:top="616" w:right="559" w:bottom="1440" w:gutter="0" w:footer="0" w:header="0"/>
        </w:sectPr>
      </w:pPr>
    </w:p>
    <w:bookmarkStart w:id="14" w:name="page15"/>
    <w:bookmarkEnd w:id="14"/>
    <w:p>
      <w:pPr>
        <w:jc w:val="center"/>
        <w:ind w:right="3779"/>
        <w:spacing w:after="0"/>
        <w:rPr>
          <w:sz w:val="20"/>
          <w:szCs w:val="20"/>
          <w:color w:val="auto"/>
        </w:rPr>
      </w:pPr>
      <w:r>
        <w:rPr>
          <w:rFonts w:ascii="Courier New" w:cs="Courier New" w:eastAsia="Courier New" w:hAnsi="Courier New"/>
          <w:sz w:val="14"/>
          <w:szCs w:val="14"/>
          <w:color w:val="auto"/>
        </w:rPr>
        <w:t>VIACOM INC. AND SUBSIDIARIES</w:t>
      </w:r>
    </w:p>
    <w:p>
      <w:pPr>
        <w:spacing w:after="0" w:line="173"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7"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color w:val="auto"/>
        </w:rPr>
        <w:t>(Tabular dollars in millions, except per share amounts)</w:t>
      </w:r>
    </w:p>
    <w:p>
      <w:pPr>
        <w:spacing w:after="0" w:line="200" w:lineRule="exact"/>
        <w:rPr>
          <w:sz w:val="20"/>
          <w:szCs w:val="20"/>
          <w:color w:val="auto"/>
        </w:rPr>
      </w:pPr>
    </w:p>
    <w:p>
      <w:pPr>
        <w:spacing w:after="0" w:line="304" w:lineRule="exact"/>
        <w:rPr>
          <w:sz w:val="20"/>
          <w:szCs w:val="20"/>
          <w:color w:val="auto"/>
        </w:rPr>
      </w:pPr>
    </w:p>
    <w:p>
      <w:pPr>
        <w:jc w:val="center"/>
        <w:ind w:left="3900"/>
        <w:spacing w:after="0"/>
        <w:tabs>
          <w:tab w:leader="none" w:pos="580" w:val="left"/>
        </w:tabs>
        <w:rPr>
          <w:sz w:val="20"/>
          <w:szCs w:val="20"/>
          <w:color w:val="auto"/>
        </w:rPr>
      </w:pPr>
      <w:r>
        <w:rPr>
          <w:rFonts w:ascii="Courier New" w:cs="Courier New" w:eastAsia="Courier New" w:hAnsi="Courier New"/>
          <w:sz w:val="14"/>
          <w:szCs w:val="14"/>
          <w:color w:val="auto"/>
        </w:rPr>
        <w:t>At September 30,</w:t>
      </w:r>
      <w:r>
        <w:rPr>
          <w:sz w:val="20"/>
          <w:szCs w:val="20"/>
          <w:color w:val="auto"/>
        </w:rPr>
        <w:tab/>
      </w:r>
      <w:r>
        <w:rPr>
          <w:rFonts w:ascii="Courier New" w:cs="Courier New" w:eastAsia="Courier New" w:hAnsi="Courier New"/>
          <w:sz w:val="14"/>
          <w:szCs w:val="14"/>
          <w:color w:val="auto"/>
        </w:rPr>
        <w:t>At December 31,</w:t>
      </w:r>
    </w:p>
    <w:p>
      <w:pPr>
        <w:spacing w:after="0" w:line="7" w:lineRule="exact"/>
        <w:rPr>
          <w:sz w:val="20"/>
          <w:szCs w:val="20"/>
          <w:color w:val="auto"/>
        </w:rPr>
      </w:pPr>
    </w:p>
    <w:p>
      <w:pPr>
        <w:jc w:val="center"/>
        <w:ind w:left="4660"/>
        <w:spacing w:after="0"/>
        <w:tabs>
          <w:tab w:leader="none" w:pos="1700" w:val="left"/>
        </w:tabs>
        <w:rPr>
          <w:sz w:val="20"/>
          <w:szCs w:val="20"/>
          <w:color w:val="auto"/>
        </w:rPr>
      </w:pPr>
      <w:r>
        <w:rPr>
          <w:rFonts w:ascii="Courier New" w:cs="Courier New" w:eastAsia="Courier New" w:hAnsi="Courier New"/>
          <w:sz w:val="14"/>
          <w:szCs w:val="14"/>
          <w:color w:val="auto"/>
        </w:rPr>
        <w:t>2001</w:t>
      </w:r>
      <w:r>
        <w:rPr>
          <w:sz w:val="20"/>
          <w:szCs w:val="20"/>
          <w:color w:val="auto"/>
        </w:rPr>
        <w:tab/>
      </w:r>
      <w:r>
        <w:rPr>
          <w:rFonts w:ascii="Courier New" w:cs="Courier New" w:eastAsia="Courier New" w:hAnsi="Courier New"/>
          <w:sz w:val="14"/>
          <w:szCs w:val="14"/>
          <w:color w:val="auto"/>
        </w:rPr>
        <w:t>2000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0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3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400" w:type="dxa"/>
            <w:vAlign w:val="bottom"/>
          </w:tcPr>
          <w:p>
            <w:pPr>
              <w:spacing w:after="0"/>
              <w:rPr>
                <w:sz w:val="20"/>
                <w:szCs w:val="20"/>
                <w:color w:val="auto"/>
              </w:rPr>
            </w:pPr>
            <w:r>
              <w:rPr>
                <w:rFonts w:ascii="Courier New" w:cs="Courier New" w:eastAsia="Courier New" w:hAnsi="Courier New"/>
                <w:sz w:val="14"/>
                <w:szCs w:val="14"/>
                <w:color w:val="auto"/>
              </w:rPr>
              <w:t>Cable Networks</w:t>
            </w:r>
          </w:p>
        </w:tc>
        <w:tc>
          <w:tcPr>
            <w:tcW w:w="36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11,302.2</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8,077.7</w:t>
            </w:r>
          </w:p>
        </w:tc>
      </w:tr>
      <w:tr>
        <w:trPr>
          <w:trHeight w:val="166"/>
        </w:trPr>
        <w:tc>
          <w:tcPr>
            <w:tcW w:w="3400" w:type="dxa"/>
            <w:vAlign w:val="bottom"/>
          </w:tcPr>
          <w:p>
            <w:pPr>
              <w:spacing w:after="0"/>
              <w:rPr>
                <w:sz w:val="20"/>
                <w:szCs w:val="20"/>
                <w:color w:val="auto"/>
              </w:rPr>
            </w:pPr>
            <w:r>
              <w:rPr>
                <w:rFonts w:ascii="Courier New" w:cs="Courier New" w:eastAsia="Courier New" w:hAnsi="Courier New"/>
                <w:sz w:val="14"/>
                <w:szCs w:val="14"/>
                <w:color w:val="auto"/>
              </w:rPr>
              <w:t>Television</w:t>
            </w:r>
          </w:p>
        </w:tc>
        <w:tc>
          <w:tcPr>
            <w:tcW w:w="36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25,544.4</w:t>
            </w:r>
          </w:p>
        </w:tc>
        <w:tc>
          <w:tcPr>
            <w:tcW w:w="7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25,417.9</w:t>
            </w:r>
          </w:p>
        </w:tc>
      </w:tr>
      <w:tr>
        <w:trPr>
          <w:trHeight w:val="166"/>
        </w:trPr>
        <w:tc>
          <w:tcPr>
            <w:tcW w:w="3400" w:type="dxa"/>
            <w:vAlign w:val="bottom"/>
          </w:tcPr>
          <w:p>
            <w:pPr>
              <w:spacing w:after="0"/>
              <w:rPr>
                <w:sz w:val="20"/>
                <w:szCs w:val="20"/>
                <w:color w:val="auto"/>
              </w:rPr>
            </w:pPr>
            <w:r>
              <w:rPr>
                <w:rFonts w:ascii="Courier New" w:cs="Courier New" w:eastAsia="Courier New" w:hAnsi="Courier New"/>
                <w:sz w:val="14"/>
                <w:szCs w:val="14"/>
                <w:color w:val="auto"/>
              </w:rPr>
              <w:t>Infinity</w:t>
            </w:r>
          </w:p>
        </w:tc>
        <w:tc>
          <w:tcPr>
            <w:tcW w:w="36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40,340.8</w:t>
            </w:r>
          </w:p>
        </w:tc>
        <w:tc>
          <w:tcPr>
            <w:tcW w:w="7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33,689.7</w:t>
            </w:r>
          </w:p>
        </w:tc>
      </w:tr>
      <w:tr>
        <w:trPr>
          <w:trHeight w:val="166"/>
        </w:trPr>
        <w:tc>
          <w:tcPr>
            <w:tcW w:w="3400" w:type="dxa"/>
            <w:vAlign w:val="bottom"/>
          </w:tcPr>
          <w:p>
            <w:pPr>
              <w:spacing w:after="0"/>
              <w:rPr>
                <w:sz w:val="20"/>
                <w:szCs w:val="20"/>
                <w:color w:val="auto"/>
              </w:rPr>
            </w:pPr>
            <w:r>
              <w:rPr>
                <w:rFonts w:ascii="Courier New" w:cs="Courier New" w:eastAsia="Courier New" w:hAnsi="Courier New"/>
                <w:sz w:val="14"/>
                <w:szCs w:val="14"/>
                <w:color w:val="auto"/>
              </w:rPr>
              <w:t>Entertainment</w:t>
            </w:r>
          </w:p>
        </w:tc>
        <w:tc>
          <w:tcPr>
            <w:tcW w:w="36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4,874.0</w:t>
            </w:r>
          </w:p>
        </w:tc>
        <w:tc>
          <w:tcPr>
            <w:tcW w:w="7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4,853.9</w:t>
            </w:r>
          </w:p>
        </w:tc>
      </w:tr>
      <w:tr>
        <w:trPr>
          <w:trHeight w:val="166"/>
        </w:trPr>
        <w:tc>
          <w:tcPr>
            <w:tcW w:w="3400" w:type="dxa"/>
            <w:vAlign w:val="bottom"/>
          </w:tcPr>
          <w:p>
            <w:pPr>
              <w:spacing w:after="0"/>
              <w:rPr>
                <w:sz w:val="20"/>
                <w:szCs w:val="20"/>
                <w:color w:val="auto"/>
              </w:rPr>
            </w:pPr>
            <w:r>
              <w:rPr>
                <w:rFonts w:ascii="Courier New" w:cs="Courier New" w:eastAsia="Courier New" w:hAnsi="Courier New"/>
                <w:sz w:val="14"/>
                <w:szCs w:val="14"/>
                <w:color w:val="auto"/>
              </w:rPr>
              <w:t>Video</w:t>
            </w:r>
          </w:p>
        </w:tc>
        <w:tc>
          <w:tcPr>
            <w:tcW w:w="36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7,588.4</w:t>
            </w:r>
          </w:p>
        </w:tc>
        <w:tc>
          <w:tcPr>
            <w:tcW w:w="7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8,385.1</w:t>
            </w:r>
          </w:p>
        </w:tc>
      </w:tr>
      <w:tr>
        <w:trPr>
          <w:trHeight w:val="166"/>
        </w:trPr>
        <w:tc>
          <w:tcPr>
            <w:tcW w:w="3400" w:type="dxa"/>
            <w:vAlign w:val="bottom"/>
          </w:tcPr>
          <w:p>
            <w:pPr>
              <w:spacing w:after="0"/>
              <w:rPr>
                <w:sz w:val="20"/>
                <w:szCs w:val="20"/>
                <w:color w:val="auto"/>
              </w:rPr>
            </w:pPr>
            <w:r>
              <w:rPr>
                <w:rFonts w:ascii="Courier New" w:cs="Courier New" w:eastAsia="Courier New" w:hAnsi="Courier New"/>
                <w:sz w:val="14"/>
                <w:szCs w:val="14"/>
                <w:color w:val="auto"/>
              </w:rPr>
              <w:t>Publishing</w:t>
            </w:r>
          </w:p>
        </w:tc>
        <w:tc>
          <w:tcPr>
            <w:tcW w:w="36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988.2</w:t>
            </w:r>
          </w:p>
        </w:tc>
        <w:tc>
          <w:tcPr>
            <w:tcW w:w="7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954.1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ind w:left="340"/>
              <w:spacing w:after="0"/>
              <w:rPr>
                <w:sz w:val="20"/>
                <w:szCs w:val="20"/>
                <w:color w:val="auto"/>
              </w:rPr>
            </w:pPr>
            <w:r>
              <w:rPr>
                <w:rFonts w:ascii="Courier New" w:cs="Courier New" w:eastAsia="Courier New" w:hAnsi="Courier New"/>
                <w:sz w:val="14"/>
                <w:szCs w:val="14"/>
                <w:color w:val="auto"/>
              </w:rPr>
              <w:t>Segment total</w:t>
            </w:r>
          </w:p>
        </w:tc>
        <w:tc>
          <w:tcPr>
            <w:tcW w:w="33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90,638.0</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81,378.4</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Corporate/eliminations</w:t>
            </w:r>
          </w:p>
        </w:tc>
        <w:tc>
          <w:tcPr>
            <w:tcW w:w="33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944.7</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1,267.7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0"/>
        <w:spacing w:after="0"/>
        <w:tabs>
          <w:tab w:leader="none" w:pos="5580" w:val="left"/>
          <w:tab w:leader="none" w:pos="5840" w:val="left"/>
          <w:tab w:leader="none" w:pos="7480" w:val="left"/>
          <w:tab w:leader="none" w:pos="7900" w:val="left"/>
        </w:tabs>
        <w:rPr>
          <w:sz w:val="20"/>
          <w:szCs w:val="20"/>
          <w:color w:val="auto"/>
        </w:rPr>
      </w:pPr>
      <w:r>
        <w:rPr>
          <w:rFonts w:ascii="Courier New" w:cs="Courier New" w:eastAsia="Courier New" w:hAnsi="Courier New"/>
          <w:sz w:val="14"/>
          <w:szCs w:val="14"/>
          <w:color w:val="auto"/>
        </w:rPr>
        <w:t>Total Assets</w:t>
      </w:r>
      <w:r>
        <w:rPr>
          <w:sz w:val="20"/>
          <w:szCs w:val="20"/>
          <w:color w:val="auto"/>
        </w:rPr>
        <w:tab/>
      </w:r>
      <w:r>
        <w:rPr>
          <w:rFonts w:ascii="Courier New" w:cs="Courier New" w:eastAsia="Courier New" w:hAnsi="Courier New"/>
          <w:sz w:val="14"/>
          <w:szCs w:val="14"/>
          <w:color w:val="auto"/>
        </w:rPr>
        <w:t>$</w:t>
        <w:tab/>
        <w:t>91,582.7</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82,646.1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9799"/>
          </w:cols>
          <w:pgMar w:left="660" w:top="616" w:right="1440" w:bottom="1440" w:gutter="0" w:footer="0" w:header="0"/>
        </w:sectPr>
      </w:pPr>
    </w:p>
    <w:bookmarkStart w:id="15" w:name="page16"/>
    <w:bookmarkEnd w:id="15"/>
    <w:p>
      <w:pPr>
        <w:jc w:val="center"/>
        <w:ind w:right="4560"/>
        <w:spacing w:after="0"/>
        <w:rPr>
          <w:sz w:val="20"/>
          <w:szCs w:val="20"/>
          <w:color w:val="auto"/>
        </w:rPr>
      </w:pPr>
      <w:r>
        <w:rPr>
          <w:rFonts w:ascii="Courier New" w:cs="Courier New" w:eastAsia="Courier New" w:hAnsi="Courier New"/>
          <w:sz w:val="14"/>
          <w:szCs w:val="14"/>
          <w:color w:val="auto"/>
        </w:rPr>
        <w:t>VIACOM INC. AND SUBSIDIARIES</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(Tabular dollars in millions, except per share amounts)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 CONDENSED CONSOLIDATING FINANCIAL STATEMENTS</w:t>
      </w:r>
    </w:p>
    <w:p>
      <w:pPr>
        <w:spacing w:after="0" w:line="173" w:lineRule="exact"/>
        <w:rPr>
          <w:sz w:val="20"/>
          <w:szCs w:val="20"/>
          <w:color w:val="auto"/>
        </w:rPr>
      </w:pPr>
    </w:p>
    <w:p>
      <w:pPr>
        <w:ind w:right="4640"/>
        <w:spacing w:after="0" w:line="251" w:lineRule="auto"/>
        <w:rPr>
          <w:sz w:val="20"/>
          <w:szCs w:val="20"/>
          <w:color w:val="auto"/>
        </w:rPr>
      </w:pPr>
      <w:r>
        <w:rPr>
          <w:rFonts w:ascii="Courier New" w:cs="Courier New" w:eastAsia="Courier New" w:hAnsi="Courier New"/>
          <w:sz w:val="14"/>
          <w:szCs w:val="14"/>
          <w:color w:val="auto"/>
        </w:rPr>
        <w:t>Viacom International Inc. ("Viacom International") is a wholly owned subsidiary of the Company. The Company has fully and unconditionally guaranteed Viacom International debt securities. The following condensed consolidating financial statements present the results of operations, financial position and cash flows of the Company, Viacom International, the direct and indirect Non-Guarantor Affiliates of the Company, and the eliminations necessary to arrive at the information for the Company on a consolidated basis.</w:t>
      </w:r>
    </w:p>
    <w:p>
      <w:pPr>
        <w:spacing w:after="0" w:line="200" w:lineRule="exact"/>
        <w:rPr>
          <w:sz w:val="20"/>
          <w:szCs w:val="20"/>
          <w:color w:val="auto"/>
        </w:rPr>
      </w:pPr>
    </w:p>
    <w:p>
      <w:pPr>
        <w:spacing w:after="0" w:line="295"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Three Months Ended September 30, 2001</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580"/>
        <w:spacing w:after="0"/>
        <w:tabs>
          <w:tab w:leader="none" w:pos="10320" w:val="left"/>
        </w:tabs>
        <w:rPr>
          <w:sz w:val="20"/>
          <w:szCs w:val="20"/>
          <w:color w:val="auto"/>
        </w:rPr>
      </w:pPr>
      <w:r>
        <w:rPr>
          <w:rFonts w:ascii="Courier New" w:cs="Courier New" w:eastAsia="Courier New" w:hAnsi="Courier New"/>
          <w:sz w:val="14"/>
          <w:szCs w:val="14"/>
          <w:color w:val="auto"/>
        </w:rPr>
        <w:t>Non-</w:t>
      </w:r>
      <w:r>
        <w:rPr>
          <w:sz w:val="20"/>
          <w:szCs w:val="20"/>
          <w:color w:val="auto"/>
        </w:rPr>
        <w:tab/>
      </w:r>
      <w:r>
        <w:rPr>
          <w:rFonts w:ascii="Courier New" w:cs="Courier New" w:eastAsia="Courier New" w:hAnsi="Courier New"/>
          <w:sz w:val="14"/>
          <w:szCs w:val="14"/>
          <w:color w:val="auto"/>
        </w:rPr>
        <w:t>Viacom</w:t>
      </w:r>
    </w:p>
    <w:p>
      <w:pPr>
        <w:spacing w:after="0" w:line="7" w:lineRule="exact"/>
        <w:rPr>
          <w:sz w:val="20"/>
          <w:szCs w:val="20"/>
          <w:color w:val="auto"/>
        </w:rPr>
      </w:pPr>
    </w:p>
    <w:p>
      <w:pPr>
        <w:ind w:left="4840"/>
        <w:spacing w:after="0"/>
        <w:tabs>
          <w:tab w:leader="none" w:pos="5940" w:val="left"/>
          <w:tab w:leader="none" w:pos="7300" w:val="left"/>
          <w:tab w:leader="none" w:pos="10420" w:val="left"/>
        </w:tabs>
        <w:rPr>
          <w:sz w:val="20"/>
          <w:szCs w:val="20"/>
          <w:color w:val="auto"/>
        </w:rPr>
      </w:pPr>
      <w:r>
        <w:rPr>
          <w:rFonts w:ascii="Courier New" w:cs="Courier New" w:eastAsia="Courier New" w:hAnsi="Courier New"/>
          <w:sz w:val="14"/>
          <w:szCs w:val="14"/>
          <w:color w:val="auto"/>
        </w:rPr>
        <w:t>Viacom</w:t>
      </w:r>
      <w:r>
        <w:rPr>
          <w:sz w:val="20"/>
          <w:szCs w:val="20"/>
          <w:color w:val="auto"/>
        </w:rPr>
        <w:tab/>
      </w:r>
      <w:r>
        <w:rPr>
          <w:rFonts w:ascii="Courier New" w:cs="Courier New" w:eastAsia="Courier New" w:hAnsi="Courier New"/>
          <w:sz w:val="14"/>
          <w:szCs w:val="14"/>
          <w:color w:val="auto"/>
        </w:rPr>
        <w:t>Viacom</w:t>
      </w:r>
      <w:r>
        <w:rPr>
          <w:sz w:val="20"/>
          <w:szCs w:val="20"/>
          <w:color w:val="auto"/>
        </w:rPr>
        <w:tab/>
      </w:r>
      <w:r>
        <w:rPr>
          <w:rFonts w:ascii="Courier New" w:cs="Courier New" w:eastAsia="Courier New" w:hAnsi="Courier New"/>
          <w:sz w:val="14"/>
          <w:szCs w:val="14"/>
          <w:color w:val="auto"/>
        </w:rPr>
        <w:t>Guarantor</w:t>
      </w:r>
      <w:r>
        <w:rPr>
          <w:sz w:val="20"/>
          <w:szCs w:val="20"/>
          <w:color w:val="auto"/>
        </w:rPr>
        <w:tab/>
      </w:r>
      <w:r>
        <w:rPr>
          <w:rFonts w:ascii="Courier New" w:cs="Courier New" w:eastAsia="Courier New" w:hAnsi="Courier New"/>
          <w:sz w:val="14"/>
          <w:szCs w:val="14"/>
          <w:color w:val="auto"/>
        </w:rPr>
        <w:t>Inc.</w:t>
      </w:r>
    </w:p>
    <w:p>
      <w:pPr>
        <w:spacing w:after="0" w:line="7" w:lineRule="exact"/>
        <w:rPr>
          <w:sz w:val="20"/>
          <w:szCs w:val="20"/>
          <w:color w:val="auto"/>
        </w:rPr>
      </w:pPr>
    </w:p>
    <w:p>
      <w:pPr>
        <w:ind w:left="4920"/>
        <w:spacing w:after="0"/>
        <w:tabs>
          <w:tab w:leader="none" w:pos="5680" w:val="left"/>
          <w:tab w:leader="none" w:pos="7300" w:val="left"/>
          <w:tab w:leader="none" w:pos="8600" w:val="left"/>
          <w:tab w:leader="none" w:pos="10060" w:val="left"/>
        </w:tabs>
        <w:rPr>
          <w:sz w:val="20"/>
          <w:szCs w:val="20"/>
          <w:color w:val="auto"/>
        </w:rPr>
      </w:pPr>
      <w:r>
        <w:rPr>
          <w:rFonts w:ascii="Courier New" w:cs="Courier New" w:eastAsia="Courier New" w:hAnsi="Courier New"/>
          <w:sz w:val="14"/>
          <w:szCs w:val="14"/>
          <w:color w:val="auto"/>
        </w:rPr>
        <w:t>Inc.</w:t>
      </w:r>
      <w:r>
        <w:rPr>
          <w:sz w:val="20"/>
          <w:szCs w:val="20"/>
          <w:color w:val="auto"/>
        </w:rPr>
        <w:tab/>
      </w:r>
      <w:r>
        <w:rPr>
          <w:rFonts w:ascii="Courier New" w:cs="Courier New" w:eastAsia="Courier New" w:hAnsi="Courier New"/>
          <w:sz w:val="14"/>
          <w:szCs w:val="14"/>
          <w:color w:val="auto"/>
        </w:rPr>
        <w:t>International</w:t>
      </w:r>
      <w:r>
        <w:rPr>
          <w:sz w:val="20"/>
          <w:szCs w:val="20"/>
          <w:color w:val="auto"/>
        </w:rPr>
        <w:tab/>
      </w:r>
      <w:r>
        <w:rPr>
          <w:rFonts w:ascii="Courier New" w:cs="Courier New" w:eastAsia="Courier New" w:hAnsi="Courier New"/>
          <w:sz w:val="14"/>
          <w:szCs w:val="14"/>
          <w:color w:val="auto"/>
        </w:rPr>
        <w:t>Affiliates</w:t>
      </w:r>
      <w:r>
        <w:rPr>
          <w:sz w:val="20"/>
          <w:szCs w:val="20"/>
          <w:color w:val="auto"/>
        </w:rPr>
        <w:tab/>
      </w:r>
      <w:r>
        <w:rPr>
          <w:rFonts w:ascii="Courier New" w:cs="Courier New" w:eastAsia="Courier New" w:hAnsi="Courier New"/>
          <w:sz w:val="14"/>
          <w:szCs w:val="14"/>
          <w:color w:val="auto"/>
        </w:rPr>
        <w:t>Eliminations</w:t>
      </w:r>
      <w:r>
        <w:rPr>
          <w:sz w:val="20"/>
          <w:szCs w:val="20"/>
          <w:color w:val="auto"/>
        </w:rPr>
        <w:tab/>
      </w:r>
      <w:r>
        <w:rPr>
          <w:rFonts w:ascii="Courier New" w:cs="Courier New" w:eastAsia="Courier New" w:hAnsi="Courier New"/>
          <w:sz w:val="14"/>
          <w:szCs w:val="14"/>
          <w:color w:val="auto"/>
        </w:rPr>
        <w:t>Consolidated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28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65.9</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652.9</w:t>
            </w: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   5,021.4</w:t>
            </w:r>
          </w:p>
        </w:tc>
        <w:tc>
          <w:tcPr>
            <w:tcW w:w="14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   (26.4)</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   5,713.8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80" w:type="dxa"/>
            <w:vAlign w:val="bottom"/>
          </w:tcPr>
          <w:p>
            <w:pPr>
              <w:spacing w:after="0"/>
              <w:rPr>
                <w:sz w:val="20"/>
                <w:szCs w:val="20"/>
                <w:color w:val="auto"/>
              </w:rPr>
            </w:pPr>
            <w:r>
              <w:rPr>
                <w:rFonts w:ascii="Courier New" w:cs="Courier New" w:eastAsia="Courier New" w:hAnsi="Courier New"/>
                <w:sz w:val="14"/>
                <w:szCs w:val="14"/>
                <w:color w:val="auto"/>
              </w:rPr>
              <w:t>Expenses:</w:t>
            </w:r>
          </w:p>
        </w:tc>
        <w:tc>
          <w:tcPr>
            <w:tcW w:w="23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1780" w:type="dxa"/>
            <w:vAlign w:val="bottom"/>
          </w:tcPr>
          <w:p>
            <w:pPr>
              <w:ind w:left="360"/>
              <w:spacing w:after="0"/>
              <w:rPr>
                <w:sz w:val="20"/>
                <w:szCs w:val="20"/>
                <w:color w:val="auto"/>
              </w:rPr>
            </w:pPr>
            <w:r>
              <w:rPr>
                <w:rFonts w:ascii="Courier New" w:cs="Courier New" w:eastAsia="Courier New" w:hAnsi="Courier New"/>
                <w:sz w:val="14"/>
                <w:szCs w:val="14"/>
                <w:color w:val="auto"/>
              </w:rPr>
              <w:t>Operating</w:t>
            </w:r>
          </w:p>
        </w:tc>
        <w:tc>
          <w:tcPr>
            <w:tcW w:w="2320" w:type="dxa"/>
            <w:vAlign w:val="bottom"/>
          </w:tcPr>
          <w:p>
            <w:pPr>
              <w:spacing w:after="0"/>
              <w:rPr>
                <w:sz w:val="14"/>
                <w:szCs w:val="14"/>
                <w:color w:val="auto"/>
              </w:rPr>
            </w:pP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33.6</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195.3</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3,375.1</w:t>
            </w:r>
          </w:p>
        </w:tc>
        <w:tc>
          <w:tcPr>
            <w:tcW w:w="1420" w:type="dxa"/>
            <w:vAlign w:val="bottom"/>
          </w:tcPr>
          <w:p>
            <w:pPr>
              <w:jc w:val="center"/>
              <w:spacing w:after="0"/>
              <w:rPr>
                <w:sz w:val="20"/>
                <w:szCs w:val="20"/>
                <w:color w:val="auto"/>
              </w:rPr>
            </w:pPr>
            <w:r>
              <w:rPr>
                <w:rFonts w:ascii="Courier New" w:cs="Courier New" w:eastAsia="Courier New" w:hAnsi="Courier New"/>
                <w:sz w:val="14"/>
                <w:szCs w:val="14"/>
                <w:color w:val="auto"/>
                <w:w w:val="99"/>
              </w:rPr>
              <w:t>(29.4)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3,574.6</w:t>
            </w:r>
          </w:p>
        </w:tc>
      </w:tr>
      <w:tr>
        <w:trPr>
          <w:trHeight w:val="166"/>
        </w:trPr>
        <w:tc>
          <w:tcPr>
            <w:tcW w:w="1780" w:type="dxa"/>
            <w:vAlign w:val="bottom"/>
          </w:tcPr>
          <w:p>
            <w:pPr>
              <w:ind w:left="360"/>
              <w:spacing w:after="0"/>
              <w:rPr>
                <w:sz w:val="20"/>
                <w:szCs w:val="20"/>
                <w:color w:val="auto"/>
              </w:rPr>
            </w:pPr>
            <w:r>
              <w:rPr>
                <w:rFonts w:ascii="Courier New" w:cs="Courier New" w:eastAsia="Courier New" w:hAnsi="Courier New"/>
                <w:sz w:val="14"/>
                <w:szCs w:val="14"/>
                <w:color w:val="auto"/>
              </w:rPr>
              <w:t>Selling, general</w:t>
            </w:r>
          </w:p>
        </w:tc>
        <w:tc>
          <w:tcPr>
            <w:tcW w:w="2320" w:type="dxa"/>
            <w:vAlign w:val="bottom"/>
          </w:tcPr>
          <w:p>
            <w:pPr>
              <w:ind w:left="40"/>
              <w:spacing w:after="0"/>
              <w:rPr>
                <w:sz w:val="20"/>
                <w:szCs w:val="20"/>
                <w:color w:val="auto"/>
              </w:rPr>
            </w:pPr>
            <w:r>
              <w:rPr>
                <w:rFonts w:ascii="Courier New" w:cs="Courier New" w:eastAsia="Courier New" w:hAnsi="Courier New"/>
                <w:sz w:val="14"/>
                <w:szCs w:val="14"/>
                <w:color w:val="auto"/>
              </w:rPr>
              <w:t>and administrative</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31.3</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172.8</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958.2</w:t>
            </w:r>
          </w:p>
        </w:tc>
        <w:tc>
          <w:tcPr>
            <w:tcW w:w="14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1,162.3</w:t>
            </w:r>
          </w:p>
        </w:tc>
      </w:tr>
      <w:tr>
        <w:trPr>
          <w:trHeight w:val="166"/>
        </w:trPr>
        <w:tc>
          <w:tcPr>
            <w:tcW w:w="1780" w:type="dxa"/>
            <w:vAlign w:val="bottom"/>
          </w:tcPr>
          <w:p>
            <w:pPr>
              <w:ind w:left="360"/>
              <w:spacing w:after="0"/>
              <w:rPr>
                <w:sz w:val="20"/>
                <w:szCs w:val="20"/>
                <w:color w:val="auto"/>
              </w:rPr>
            </w:pPr>
            <w:r>
              <w:rPr>
                <w:rFonts w:ascii="Courier New" w:cs="Courier New" w:eastAsia="Courier New" w:hAnsi="Courier New"/>
                <w:sz w:val="14"/>
                <w:szCs w:val="14"/>
                <w:color w:val="auto"/>
              </w:rPr>
              <w:t>Depreciation and</w:t>
            </w:r>
          </w:p>
        </w:tc>
        <w:tc>
          <w:tcPr>
            <w:tcW w:w="2320" w:type="dxa"/>
            <w:vAlign w:val="bottom"/>
          </w:tcPr>
          <w:p>
            <w:pPr>
              <w:ind w:left="40"/>
              <w:spacing w:after="0"/>
              <w:rPr>
                <w:sz w:val="20"/>
                <w:szCs w:val="20"/>
                <w:color w:val="auto"/>
              </w:rPr>
            </w:pPr>
            <w:r>
              <w:rPr>
                <w:rFonts w:ascii="Courier New" w:cs="Courier New" w:eastAsia="Courier New" w:hAnsi="Courier New"/>
                <w:sz w:val="14"/>
                <w:szCs w:val="14"/>
                <w:color w:val="auto"/>
              </w:rPr>
              <w:t>amortization</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4.2</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138.8</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640.2</w:t>
            </w:r>
          </w:p>
        </w:tc>
        <w:tc>
          <w:tcPr>
            <w:tcW w:w="14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783.2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2700" w:type="dxa"/>
            <w:vAlign w:val="bottom"/>
          </w:tcPr>
          <w:p>
            <w:pPr>
              <w:spacing w:after="0"/>
              <w:rPr>
                <w:sz w:val="20"/>
                <w:szCs w:val="20"/>
                <w:color w:val="auto"/>
              </w:rPr>
            </w:pPr>
            <w:r>
              <w:rPr>
                <w:rFonts w:ascii="Courier New" w:cs="Courier New" w:eastAsia="Courier New" w:hAnsi="Courier New"/>
                <w:sz w:val="14"/>
                <w:szCs w:val="14"/>
                <w:color w:val="auto"/>
              </w:rPr>
              <w:t>Total expenses</w:t>
            </w:r>
          </w:p>
        </w:tc>
        <w:tc>
          <w:tcPr>
            <w:tcW w:w="2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69.1</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506.9</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4,973.5</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(29.4)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5,520.1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Operating income</w:t>
            </w:r>
          </w:p>
        </w:tc>
        <w:tc>
          <w:tcPr>
            <w:tcW w:w="2380" w:type="dxa"/>
            <w:vAlign w:val="bottom"/>
          </w:tcPr>
          <w:p>
            <w:pPr>
              <w:jc w:val="right"/>
              <w:ind w:right="1748"/>
              <w:spacing w:after="0"/>
              <w:rPr>
                <w:sz w:val="20"/>
                <w:szCs w:val="20"/>
                <w:color w:val="auto"/>
              </w:rPr>
            </w:pPr>
            <w:r>
              <w:rPr>
                <w:rFonts w:ascii="Courier New" w:cs="Courier New" w:eastAsia="Courier New" w:hAnsi="Courier New"/>
                <w:sz w:val="14"/>
                <w:szCs w:val="14"/>
                <w:color w:val="auto"/>
              </w:rPr>
              <w:t>(loss)</w:t>
            </w:r>
          </w:p>
        </w:tc>
        <w:tc>
          <w:tcPr>
            <w:tcW w:w="1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(3.2)</w:t>
            </w:r>
          </w:p>
        </w:tc>
        <w:tc>
          <w:tcPr>
            <w:tcW w:w="15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146.0</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47.9</w:t>
            </w:r>
          </w:p>
        </w:tc>
        <w:tc>
          <w:tcPr>
            <w:tcW w:w="1280" w:type="dxa"/>
            <w:vAlign w:val="bottom"/>
          </w:tcPr>
          <w:p>
            <w:pPr>
              <w:ind w:left="460"/>
              <w:spacing w:after="0"/>
              <w:rPr>
                <w:sz w:val="20"/>
                <w:szCs w:val="20"/>
                <w:color w:val="auto"/>
              </w:rPr>
            </w:pPr>
            <w:r>
              <w:rPr>
                <w:rFonts w:ascii="Courier New" w:cs="Courier New" w:eastAsia="Courier New" w:hAnsi="Courier New"/>
                <w:sz w:val="14"/>
                <w:szCs w:val="14"/>
                <w:color w:val="auto"/>
              </w:rPr>
              <w:t>3.0</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193.7</w:t>
            </w:r>
          </w:p>
        </w:tc>
      </w:tr>
      <w:tr>
        <w:trPr>
          <w:trHeight w:val="331"/>
        </w:trPr>
        <w:tc>
          <w:tcPr>
            <w:tcW w:w="3800" w:type="dxa"/>
            <w:vAlign w:val="bottom"/>
            <w:gridSpan w:val="2"/>
          </w:tcPr>
          <w:p>
            <w:pPr>
              <w:jc w:val="right"/>
              <w:ind w:right="1748"/>
              <w:spacing w:after="0"/>
              <w:rPr>
                <w:sz w:val="20"/>
                <w:szCs w:val="20"/>
                <w:color w:val="auto"/>
              </w:rPr>
            </w:pPr>
            <w:r>
              <w:rPr>
                <w:rFonts w:ascii="Courier New" w:cs="Courier New" w:eastAsia="Courier New" w:hAnsi="Courier New"/>
                <w:sz w:val="14"/>
                <w:szCs w:val="14"/>
                <w:color w:val="auto"/>
              </w:rPr>
              <w:t>Other income (expense):</w:t>
            </w:r>
          </w:p>
        </w:tc>
        <w:tc>
          <w:tcPr>
            <w:tcW w:w="19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6"/>
        </w:trPr>
        <w:tc>
          <w:tcPr>
            <w:tcW w:w="380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Interest income (expense), net</w:t>
            </w:r>
          </w:p>
        </w:tc>
        <w:tc>
          <w:tcPr>
            <w:tcW w:w="1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(172.5)</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(1.4)</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(46.1)</w:t>
            </w:r>
          </w:p>
        </w:tc>
        <w:tc>
          <w:tcPr>
            <w:tcW w:w="1280" w:type="dxa"/>
            <w:vAlign w:val="bottom"/>
          </w:tcPr>
          <w:p>
            <w:pPr>
              <w:ind w:left="46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(220.0)</w:t>
            </w:r>
          </w:p>
        </w:tc>
      </w:tr>
      <w:tr>
        <w:trPr>
          <w:trHeight w:val="166"/>
        </w:trPr>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Other items,</w:t>
            </w:r>
          </w:p>
        </w:tc>
        <w:tc>
          <w:tcPr>
            <w:tcW w:w="2380" w:type="dxa"/>
            <w:vAlign w:val="bottom"/>
          </w:tcPr>
          <w:p>
            <w:pPr>
              <w:jc w:val="right"/>
              <w:ind w:right="1988"/>
              <w:spacing w:after="0"/>
              <w:rPr>
                <w:sz w:val="20"/>
                <w:szCs w:val="20"/>
                <w:color w:val="auto"/>
              </w:rPr>
            </w:pPr>
            <w:r>
              <w:rPr>
                <w:rFonts w:ascii="Courier New" w:cs="Courier New" w:eastAsia="Courier New" w:hAnsi="Courier New"/>
                <w:sz w:val="14"/>
                <w:szCs w:val="14"/>
                <w:color w:val="auto"/>
              </w:rPr>
              <w:t>net</w:t>
            </w:r>
          </w:p>
        </w:tc>
        <w:tc>
          <w:tcPr>
            <w:tcW w:w="1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(5.3)</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(13.6)</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(9.4)</w:t>
            </w:r>
          </w:p>
        </w:tc>
        <w:tc>
          <w:tcPr>
            <w:tcW w:w="1280" w:type="dxa"/>
            <w:vAlign w:val="bottom"/>
          </w:tcPr>
          <w:p>
            <w:pPr>
              <w:ind w:left="46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(28.3)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Earnings (loss) before</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income</w:t>
            </w:r>
          </w:p>
        </w:tc>
        <w:tc>
          <w:tcPr>
            <w:tcW w:w="1640" w:type="dxa"/>
            <w:vAlign w:val="bottom"/>
          </w:tcPr>
          <w:p>
            <w:pPr>
              <w:ind w:left="60"/>
              <w:spacing w:after="0"/>
              <w:rPr>
                <w:sz w:val="20"/>
                <w:szCs w:val="20"/>
                <w:color w:val="auto"/>
              </w:rPr>
            </w:pPr>
            <w:r>
              <w:rPr>
                <w:rFonts w:ascii="Courier New" w:cs="Courier New" w:eastAsia="Courier New" w:hAnsi="Courier New"/>
                <w:sz w:val="14"/>
                <w:szCs w:val="14"/>
                <w:color w:val="auto"/>
              </w:rPr>
              <w:t>taxes</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(181.0)</w:t>
            </w:r>
          </w:p>
        </w:tc>
        <w:tc>
          <w:tcPr>
            <w:tcW w:w="15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131.0</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(7.6)</w:t>
            </w:r>
          </w:p>
        </w:tc>
        <w:tc>
          <w:tcPr>
            <w:tcW w:w="1340" w:type="dxa"/>
            <w:vAlign w:val="bottom"/>
          </w:tcPr>
          <w:p>
            <w:pPr>
              <w:ind w:left="520"/>
              <w:spacing w:after="0"/>
              <w:rPr>
                <w:sz w:val="20"/>
                <w:szCs w:val="20"/>
                <w:color w:val="auto"/>
              </w:rPr>
            </w:pPr>
            <w:r>
              <w:rPr>
                <w:rFonts w:ascii="Courier New" w:cs="Courier New" w:eastAsia="Courier New" w:hAnsi="Courier New"/>
                <w:sz w:val="14"/>
                <w:szCs w:val="14"/>
                <w:color w:val="auto"/>
              </w:rPr>
              <w:t>3.0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(54.6)</w:t>
            </w:r>
          </w:p>
        </w:tc>
      </w:tr>
      <w:tr>
        <w:trPr>
          <w:trHeight w:val="331"/>
        </w:trPr>
        <w:tc>
          <w:tcPr>
            <w:tcW w:w="418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Benefit (provision) for income taxes</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(55.5)</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(59.1)</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(54.8)</w:t>
            </w:r>
          </w:p>
        </w:tc>
        <w:tc>
          <w:tcPr>
            <w:tcW w:w="134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(169.4)</w:t>
            </w:r>
          </w:p>
        </w:tc>
      </w:tr>
      <w:tr>
        <w:trPr>
          <w:trHeight w:val="166"/>
        </w:trPr>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Equity in earnings</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(loss)</w:t>
            </w:r>
          </w:p>
        </w:tc>
        <w:tc>
          <w:tcPr>
            <w:tcW w:w="1640" w:type="dxa"/>
            <w:vAlign w:val="bottom"/>
          </w:tcPr>
          <w:p>
            <w:pPr>
              <w:ind w:left="60"/>
              <w:spacing w:after="0"/>
              <w:rPr>
                <w:sz w:val="20"/>
                <w:szCs w:val="20"/>
                <w:color w:val="auto"/>
              </w:rPr>
            </w:pPr>
            <w:r>
              <w:rPr>
                <w:rFonts w:ascii="Courier New" w:cs="Courier New" w:eastAsia="Courier New" w:hAnsi="Courier New"/>
                <w:sz w:val="14"/>
                <w:szCs w:val="14"/>
                <w:color w:val="auto"/>
              </w:rPr>
              <w:t>of affiliated</w:t>
            </w:r>
          </w:p>
        </w:tc>
        <w:tc>
          <w:tcPr>
            <w:tcW w:w="1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254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companies, net of tax</w:t>
            </w:r>
          </w:p>
        </w:tc>
        <w:tc>
          <w:tcPr>
            <w:tcW w:w="1640" w:type="dxa"/>
            <w:vAlign w:val="bottom"/>
          </w:tcPr>
          <w:p>
            <w:pPr>
              <w:spacing w:after="0"/>
              <w:rPr>
                <w:sz w:val="14"/>
                <w:szCs w:val="14"/>
                <w:color w:val="auto"/>
              </w:rPr>
            </w:pP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46.1</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(95.4)</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61.6</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(7.7)</w:t>
            </w:r>
          </w:p>
        </w:tc>
      </w:tr>
      <w:tr>
        <w:trPr>
          <w:trHeight w:val="166"/>
        </w:trPr>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Minority interest,</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net of</w:t>
            </w:r>
          </w:p>
        </w:tc>
        <w:tc>
          <w:tcPr>
            <w:tcW w:w="1640" w:type="dxa"/>
            <w:vAlign w:val="bottom"/>
          </w:tcPr>
          <w:p>
            <w:pPr>
              <w:ind w:left="60"/>
              <w:spacing w:after="0"/>
              <w:rPr>
                <w:sz w:val="20"/>
                <w:szCs w:val="20"/>
                <w:color w:val="auto"/>
              </w:rPr>
            </w:pPr>
            <w:r>
              <w:rPr>
                <w:rFonts w:ascii="Courier New" w:cs="Courier New" w:eastAsia="Courier New" w:hAnsi="Courier New"/>
                <w:sz w:val="14"/>
                <w:szCs w:val="14"/>
                <w:color w:val="auto"/>
              </w:rPr>
              <w:t>tax</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2.2</w:t>
            </w:r>
          </w:p>
        </w:tc>
        <w:tc>
          <w:tcPr>
            <w:tcW w:w="15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39.1</w:t>
            </w:r>
          </w:p>
        </w:tc>
        <w:tc>
          <w:tcPr>
            <w:tcW w:w="134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380" w:val="left"/>
          <w:tab w:leader="none" w:pos="5840" w:val="left"/>
          <w:tab w:leader="none" w:pos="6100" w:val="left"/>
          <w:tab w:leader="none" w:pos="7220" w:val="left"/>
          <w:tab w:leader="none" w:pos="7740" w:val="left"/>
          <w:tab w:leader="none" w:pos="8680" w:val="left"/>
          <w:tab w:leader="none" w:pos="9120" w:val="left"/>
          <w:tab w:leader="none" w:pos="10160" w:val="left"/>
          <w:tab w:leader="none" w:pos="10580" w:val="left"/>
        </w:tabs>
        <w:rPr>
          <w:sz w:val="20"/>
          <w:szCs w:val="20"/>
          <w:color w:val="auto"/>
        </w:rPr>
      </w:pPr>
      <w:r>
        <w:rPr>
          <w:rFonts w:ascii="Courier New" w:cs="Courier New" w:eastAsia="Courier New" w:hAnsi="Courier New"/>
          <w:sz w:val="14"/>
          <w:szCs w:val="14"/>
          <w:color w:val="auto"/>
        </w:rPr>
        <w:t>Net loss</w:t>
      </w:r>
      <w:r>
        <w:rPr>
          <w:sz w:val="20"/>
          <w:szCs w:val="20"/>
          <w:color w:val="auto"/>
        </w:rPr>
        <w:tab/>
      </w:r>
      <w:r>
        <w:rPr>
          <w:rFonts w:ascii="Courier New" w:cs="Courier New" w:eastAsia="Courier New" w:hAnsi="Courier New"/>
          <w:sz w:val="14"/>
          <w:szCs w:val="14"/>
          <w:color w:val="auto"/>
        </w:rPr>
        <w:t>$ (190.4)</w:t>
      </w:r>
      <w:r>
        <w:rPr>
          <w:sz w:val="20"/>
          <w:szCs w:val="20"/>
          <w:color w:val="auto"/>
        </w:rPr>
        <w:tab/>
      </w:r>
      <w:r>
        <w:rPr>
          <w:rFonts w:ascii="Courier New" w:cs="Courier New" w:eastAsia="Courier New" w:hAnsi="Courier New"/>
          <w:sz w:val="14"/>
          <w:szCs w:val="14"/>
          <w:color w:val="auto"/>
        </w:rPr>
        <w:t>$</w:t>
        <w:tab/>
        <w:t>(21.3)</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(43.3)</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64.6</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(190.4)</w:t>
      </w:r>
    </w:p>
    <w:p>
      <w:pPr>
        <w:spacing w:after="0" w:line="7" w:lineRule="exact"/>
        <w:rPr>
          <w:sz w:val="20"/>
          <w:szCs w:val="20"/>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35" w:lineRule="exact"/>
        <w:rPr>
          <w:rFonts w:ascii="Courier New" w:cs="Courier New" w:eastAsia="Courier New" w:hAnsi="Courier New"/>
          <w:sz w:val="14"/>
          <w:szCs w:val="14"/>
          <w:color w:val="auto"/>
        </w:rPr>
      </w:pPr>
    </w:p>
    <w:p>
      <w:pPr>
        <w:ind w:left="3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-16-</w:t>
      </w:r>
    </w:p>
    <w:p>
      <w:pPr>
        <w:sectPr>
          <w:pgSz w:w="11900" w:h="16838" w:orient="portrait"/>
          <w:cols w:equalWidth="0" w:num="1">
            <w:col w:w="11460"/>
          </w:cols>
          <w:pgMar w:left="220" w:top="616" w:right="219" w:bottom="1440" w:gutter="0" w:footer="0" w:header="0"/>
        </w:sectPr>
      </w:pPr>
    </w:p>
    <w:bookmarkStart w:id="16" w:name="page17"/>
    <w:bookmarkEnd w:id="16"/>
    <w:p>
      <w:pPr>
        <w:jc w:val="center"/>
        <w:ind w:right="4560"/>
        <w:spacing w:after="0"/>
        <w:rPr>
          <w:sz w:val="20"/>
          <w:szCs w:val="20"/>
          <w:color w:val="auto"/>
        </w:rPr>
      </w:pPr>
      <w:r>
        <w:rPr>
          <w:rFonts w:ascii="Courier New" w:cs="Courier New" w:eastAsia="Courier New" w:hAnsi="Courier New"/>
          <w:sz w:val="14"/>
          <w:szCs w:val="14"/>
          <w:color w:val="auto"/>
        </w:rPr>
        <w:t>VIACOM INC. AND SUBSIDIARIES</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(Tabular dollars in millions, except per share amounts)</w:t>
      </w:r>
    </w:p>
    <w:p>
      <w:pPr>
        <w:spacing w:after="0" w:line="200" w:lineRule="exact"/>
        <w:rPr>
          <w:sz w:val="20"/>
          <w:szCs w:val="20"/>
          <w:color w:val="auto"/>
        </w:rPr>
      </w:pPr>
    </w:p>
    <w:p>
      <w:pPr>
        <w:spacing w:after="0" w:line="304"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Nine Months Ended September 30, 2001</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580"/>
        <w:spacing w:after="0"/>
        <w:tabs>
          <w:tab w:leader="none" w:pos="10320" w:val="left"/>
        </w:tabs>
        <w:rPr>
          <w:sz w:val="20"/>
          <w:szCs w:val="20"/>
          <w:color w:val="auto"/>
        </w:rPr>
      </w:pPr>
      <w:r>
        <w:rPr>
          <w:rFonts w:ascii="Courier New" w:cs="Courier New" w:eastAsia="Courier New" w:hAnsi="Courier New"/>
          <w:sz w:val="14"/>
          <w:szCs w:val="14"/>
          <w:color w:val="auto"/>
        </w:rPr>
        <w:t>Non-</w:t>
      </w:r>
      <w:r>
        <w:rPr>
          <w:sz w:val="20"/>
          <w:szCs w:val="20"/>
          <w:color w:val="auto"/>
        </w:rPr>
        <w:tab/>
      </w:r>
      <w:r>
        <w:rPr>
          <w:rFonts w:ascii="Courier New" w:cs="Courier New" w:eastAsia="Courier New" w:hAnsi="Courier New"/>
          <w:sz w:val="14"/>
          <w:szCs w:val="14"/>
          <w:color w:val="auto"/>
        </w:rPr>
        <w:t>Viacom</w:t>
      </w:r>
    </w:p>
    <w:p>
      <w:pPr>
        <w:spacing w:after="0" w:line="7" w:lineRule="exact"/>
        <w:rPr>
          <w:sz w:val="20"/>
          <w:szCs w:val="20"/>
          <w:color w:val="auto"/>
        </w:rPr>
      </w:pPr>
    </w:p>
    <w:p>
      <w:pPr>
        <w:ind w:left="4840"/>
        <w:spacing w:after="0"/>
        <w:tabs>
          <w:tab w:leader="none" w:pos="5940" w:val="left"/>
          <w:tab w:leader="none" w:pos="7300" w:val="left"/>
          <w:tab w:leader="none" w:pos="10420" w:val="left"/>
        </w:tabs>
        <w:rPr>
          <w:sz w:val="20"/>
          <w:szCs w:val="20"/>
          <w:color w:val="auto"/>
        </w:rPr>
      </w:pPr>
      <w:r>
        <w:rPr>
          <w:rFonts w:ascii="Courier New" w:cs="Courier New" w:eastAsia="Courier New" w:hAnsi="Courier New"/>
          <w:sz w:val="14"/>
          <w:szCs w:val="14"/>
          <w:color w:val="auto"/>
        </w:rPr>
        <w:t>Viacom</w:t>
      </w:r>
      <w:r>
        <w:rPr>
          <w:sz w:val="20"/>
          <w:szCs w:val="20"/>
          <w:color w:val="auto"/>
        </w:rPr>
        <w:tab/>
      </w:r>
      <w:r>
        <w:rPr>
          <w:rFonts w:ascii="Courier New" w:cs="Courier New" w:eastAsia="Courier New" w:hAnsi="Courier New"/>
          <w:sz w:val="14"/>
          <w:szCs w:val="14"/>
          <w:color w:val="auto"/>
        </w:rPr>
        <w:t>Viacom</w:t>
      </w:r>
      <w:r>
        <w:rPr>
          <w:sz w:val="20"/>
          <w:szCs w:val="20"/>
          <w:color w:val="auto"/>
        </w:rPr>
        <w:tab/>
      </w:r>
      <w:r>
        <w:rPr>
          <w:rFonts w:ascii="Courier New" w:cs="Courier New" w:eastAsia="Courier New" w:hAnsi="Courier New"/>
          <w:sz w:val="14"/>
          <w:szCs w:val="14"/>
          <w:color w:val="auto"/>
        </w:rPr>
        <w:t>Guarantor</w:t>
      </w:r>
      <w:r>
        <w:rPr>
          <w:sz w:val="20"/>
          <w:szCs w:val="20"/>
          <w:color w:val="auto"/>
        </w:rPr>
        <w:tab/>
      </w:r>
      <w:r>
        <w:rPr>
          <w:rFonts w:ascii="Courier New" w:cs="Courier New" w:eastAsia="Courier New" w:hAnsi="Courier New"/>
          <w:sz w:val="14"/>
          <w:szCs w:val="14"/>
          <w:color w:val="auto"/>
        </w:rPr>
        <w:t>Inc.</w:t>
      </w:r>
    </w:p>
    <w:p>
      <w:pPr>
        <w:spacing w:after="0" w:line="7" w:lineRule="exact"/>
        <w:rPr>
          <w:sz w:val="20"/>
          <w:szCs w:val="20"/>
          <w:color w:val="auto"/>
        </w:rPr>
      </w:pPr>
    </w:p>
    <w:p>
      <w:pPr>
        <w:ind w:left="4920"/>
        <w:spacing w:after="0"/>
        <w:tabs>
          <w:tab w:leader="none" w:pos="5680" w:val="left"/>
          <w:tab w:leader="none" w:pos="7300" w:val="left"/>
          <w:tab w:leader="none" w:pos="8600" w:val="left"/>
          <w:tab w:leader="none" w:pos="10060" w:val="left"/>
        </w:tabs>
        <w:rPr>
          <w:sz w:val="20"/>
          <w:szCs w:val="20"/>
          <w:color w:val="auto"/>
        </w:rPr>
      </w:pPr>
      <w:r>
        <w:rPr>
          <w:rFonts w:ascii="Courier New" w:cs="Courier New" w:eastAsia="Courier New" w:hAnsi="Courier New"/>
          <w:sz w:val="14"/>
          <w:szCs w:val="14"/>
          <w:color w:val="auto"/>
        </w:rPr>
        <w:t>Inc.</w:t>
      </w:r>
      <w:r>
        <w:rPr>
          <w:sz w:val="20"/>
          <w:szCs w:val="20"/>
          <w:color w:val="auto"/>
        </w:rPr>
        <w:tab/>
      </w:r>
      <w:r>
        <w:rPr>
          <w:rFonts w:ascii="Courier New" w:cs="Courier New" w:eastAsia="Courier New" w:hAnsi="Courier New"/>
          <w:sz w:val="14"/>
          <w:szCs w:val="14"/>
          <w:color w:val="auto"/>
        </w:rPr>
        <w:t>International</w:t>
      </w:r>
      <w:r>
        <w:rPr>
          <w:sz w:val="20"/>
          <w:szCs w:val="20"/>
          <w:color w:val="auto"/>
        </w:rPr>
        <w:tab/>
      </w:r>
      <w:r>
        <w:rPr>
          <w:rFonts w:ascii="Courier New" w:cs="Courier New" w:eastAsia="Courier New" w:hAnsi="Courier New"/>
          <w:sz w:val="14"/>
          <w:szCs w:val="14"/>
          <w:color w:val="auto"/>
        </w:rPr>
        <w:t>Affiliates</w:t>
      </w:r>
      <w:r>
        <w:rPr>
          <w:sz w:val="20"/>
          <w:szCs w:val="20"/>
          <w:color w:val="auto"/>
        </w:rPr>
        <w:tab/>
      </w:r>
      <w:r>
        <w:rPr>
          <w:rFonts w:ascii="Courier New" w:cs="Courier New" w:eastAsia="Courier New" w:hAnsi="Courier New"/>
          <w:sz w:val="14"/>
          <w:szCs w:val="14"/>
          <w:color w:val="auto"/>
        </w:rPr>
        <w:t>Eliminations</w:t>
      </w:r>
      <w:r>
        <w:rPr>
          <w:sz w:val="20"/>
          <w:szCs w:val="20"/>
          <w:color w:val="auto"/>
        </w:rPr>
        <w:tab/>
      </w:r>
      <w:r>
        <w:rPr>
          <w:rFonts w:ascii="Courier New" w:cs="Courier New" w:eastAsia="Courier New" w:hAnsi="Courier New"/>
          <w:sz w:val="14"/>
          <w:szCs w:val="14"/>
          <w:color w:val="auto"/>
        </w:rPr>
        <w:t>Consolidated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4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2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225.6</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$1,832.1</w:t>
            </w:r>
          </w:p>
        </w:tc>
        <w:tc>
          <w:tcPr>
            <w:tcW w:w="1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$ 15,167.9</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(42.7)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$17,182.9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80" w:type="dxa"/>
            <w:vAlign w:val="bottom"/>
          </w:tcPr>
          <w:p>
            <w:pPr>
              <w:spacing w:after="0"/>
              <w:rPr>
                <w:sz w:val="20"/>
                <w:szCs w:val="20"/>
                <w:color w:val="auto"/>
              </w:rPr>
            </w:pPr>
            <w:r>
              <w:rPr>
                <w:rFonts w:ascii="Courier New" w:cs="Courier New" w:eastAsia="Courier New" w:hAnsi="Courier New"/>
                <w:sz w:val="14"/>
                <w:szCs w:val="14"/>
                <w:color w:val="auto"/>
              </w:rPr>
              <w:t>Expenses:</w:t>
            </w:r>
          </w:p>
        </w:tc>
        <w:tc>
          <w:tcPr>
            <w:tcW w:w="2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6"/>
        </w:trPr>
        <w:tc>
          <w:tcPr>
            <w:tcW w:w="1780" w:type="dxa"/>
            <w:vAlign w:val="bottom"/>
          </w:tcPr>
          <w:p>
            <w:pPr>
              <w:ind w:left="360"/>
              <w:spacing w:after="0"/>
              <w:rPr>
                <w:sz w:val="20"/>
                <w:szCs w:val="20"/>
                <w:color w:val="auto"/>
              </w:rPr>
            </w:pPr>
            <w:r>
              <w:rPr>
                <w:rFonts w:ascii="Courier New" w:cs="Courier New" w:eastAsia="Courier New" w:hAnsi="Courier New"/>
                <w:sz w:val="14"/>
                <w:szCs w:val="14"/>
                <w:color w:val="auto"/>
              </w:rPr>
              <w:t>Operating</w:t>
            </w:r>
          </w:p>
        </w:tc>
        <w:tc>
          <w:tcPr>
            <w:tcW w:w="2320" w:type="dxa"/>
            <w:vAlign w:val="bottom"/>
          </w:tcPr>
          <w:p>
            <w:pPr>
              <w:spacing w:after="0"/>
              <w:rPr>
                <w:sz w:val="14"/>
                <w:szCs w:val="14"/>
                <w:color w:val="auto"/>
              </w:rPr>
            </w:pP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99.9</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592.9</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9,511.7</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(36.7)</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10,167.8</w:t>
            </w:r>
          </w:p>
        </w:tc>
      </w:tr>
      <w:tr>
        <w:trPr>
          <w:trHeight w:val="166"/>
        </w:trPr>
        <w:tc>
          <w:tcPr>
            <w:tcW w:w="1780" w:type="dxa"/>
            <w:vAlign w:val="bottom"/>
          </w:tcPr>
          <w:p>
            <w:pPr>
              <w:ind w:left="360"/>
              <w:spacing w:after="0"/>
              <w:rPr>
                <w:sz w:val="20"/>
                <w:szCs w:val="20"/>
                <w:color w:val="auto"/>
              </w:rPr>
            </w:pPr>
            <w:r>
              <w:rPr>
                <w:rFonts w:ascii="Courier New" w:cs="Courier New" w:eastAsia="Courier New" w:hAnsi="Courier New"/>
                <w:sz w:val="14"/>
                <w:szCs w:val="14"/>
                <w:color w:val="auto"/>
              </w:rPr>
              <w:t>Selling, general</w:t>
            </w:r>
          </w:p>
        </w:tc>
        <w:tc>
          <w:tcPr>
            <w:tcW w:w="2320" w:type="dxa"/>
            <w:vAlign w:val="bottom"/>
          </w:tcPr>
          <w:p>
            <w:pPr>
              <w:ind w:left="40"/>
              <w:spacing w:after="0"/>
              <w:rPr>
                <w:sz w:val="20"/>
                <w:szCs w:val="20"/>
                <w:color w:val="auto"/>
              </w:rPr>
            </w:pPr>
            <w:r>
              <w:rPr>
                <w:rFonts w:ascii="Courier New" w:cs="Courier New" w:eastAsia="Courier New" w:hAnsi="Courier New"/>
                <w:sz w:val="14"/>
                <w:szCs w:val="14"/>
                <w:color w:val="auto"/>
              </w:rPr>
              <w:t>and administrative</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98.3</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533.4</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2,895.9</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3,527.6</w:t>
            </w:r>
          </w:p>
        </w:tc>
      </w:tr>
      <w:tr>
        <w:trPr>
          <w:trHeight w:val="166"/>
        </w:trPr>
        <w:tc>
          <w:tcPr>
            <w:tcW w:w="1780" w:type="dxa"/>
            <w:vAlign w:val="bottom"/>
          </w:tcPr>
          <w:p>
            <w:pPr>
              <w:ind w:left="360"/>
              <w:spacing w:after="0"/>
              <w:rPr>
                <w:sz w:val="20"/>
                <w:szCs w:val="20"/>
                <w:color w:val="auto"/>
              </w:rPr>
            </w:pPr>
            <w:r>
              <w:rPr>
                <w:rFonts w:ascii="Courier New" w:cs="Courier New" w:eastAsia="Courier New" w:hAnsi="Courier New"/>
                <w:sz w:val="14"/>
                <w:szCs w:val="14"/>
                <w:color w:val="auto"/>
              </w:rPr>
              <w:t>Depreciation and</w:t>
            </w:r>
          </w:p>
        </w:tc>
        <w:tc>
          <w:tcPr>
            <w:tcW w:w="2320" w:type="dxa"/>
            <w:vAlign w:val="bottom"/>
          </w:tcPr>
          <w:p>
            <w:pPr>
              <w:ind w:left="40"/>
              <w:spacing w:after="0"/>
              <w:rPr>
                <w:sz w:val="20"/>
                <w:szCs w:val="20"/>
                <w:color w:val="auto"/>
              </w:rPr>
            </w:pPr>
            <w:r>
              <w:rPr>
                <w:rFonts w:ascii="Courier New" w:cs="Courier New" w:eastAsia="Courier New" w:hAnsi="Courier New"/>
                <w:sz w:val="14"/>
                <w:szCs w:val="14"/>
                <w:color w:val="auto"/>
              </w:rPr>
              <w:t>amortization</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12.2</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232.7</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2,059.4</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2,304.3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2660" w:type="dxa"/>
            <w:vAlign w:val="bottom"/>
          </w:tcPr>
          <w:p>
            <w:pPr>
              <w:spacing w:after="0"/>
              <w:rPr>
                <w:sz w:val="20"/>
                <w:szCs w:val="20"/>
                <w:color w:val="auto"/>
              </w:rPr>
            </w:pPr>
            <w:r>
              <w:rPr>
                <w:rFonts w:ascii="Courier New" w:cs="Courier New" w:eastAsia="Courier New" w:hAnsi="Courier New"/>
                <w:sz w:val="14"/>
                <w:szCs w:val="14"/>
                <w:color w:val="auto"/>
              </w:rPr>
              <w:t>Total expenses</w:t>
            </w:r>
          </w:p>
        </w:tc>
        <w:tc>
          <w:tcPr>
            <w:tcW w:w="2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210.4</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1,359.0</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14,467.0</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(36.7)</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15,999.7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15.2</w:t>
            </w:r>
          </w:p>
        </w:tc>
        <w:tc>
          <w:tcPr>
            <w:tcW w:w="13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473.1</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700.9</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(6.0)</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1,183.2</w:t>
            </w:r>
          </w:p>
        </w:tc>
      </w:tr>
      <w:tr>
        <w:trPr>
          <w:trHeight w:val="331"/>
        </w:trPr>
        <w:tc>
          <w:tcPr>
            <w:tcW w:w="380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1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3800" w:type="dxa"/>
            <w:vAlign w:val="bottom"/>
          </w:tcPr>
          <w:p>
            <w:pPr>
              <w:ind w:left="360"/>
              <w:spacing w:after="0"/>
              <w:rPr>
                <w:sz w:val="20"/>
                <w:szCs w:val="20"/>
                <w:color w:val="auto"/>
              </w:rPr>
            </w:pPr>
            <w:r>
              <w:rPr>
                <w:rFonts w:ascii="Courier New" w:cs="Courier New" w:eastAsia="Courier New" w:hAnsi="Courier New"/>
                <w:sz w:val="14"/>
                <w:szCs w:val="14"/>
                <w:color w:val="auto"/>
              </w:rPr>
              <w:t>Interest income (expense), net</w:t>
            </w:r>
          </w:p>
        </w:tc>
        <w:tc>
          <w:tcPr>
            <w:tcW w:w="18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(533.4)</w:t>
            </w:r>
          </w:p>
        </w:tc>
        <w:tc>
          <w:tcPr>
            <w:tcW w:w="13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(26.3)</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(161.0)</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(720.7)</w:t>
            </w:r>
          </w:p>
        </w:tc>
      </w:tr>
      <w:tr>
        <w:trPr>
          <w:trHeight w:val="166"/>
        </w:trPr>
        <w:tc>
          <w:tcPr>
            <w:tcW w:w="3800" w:type="dxa"/>
            <w:vAlign w:val="bottom"/>
          </w:tcPr>
          <w:p>
            <w:pPr>
              <w:ind w:left="360"/>
              <w:spacing w:after="0"/>
              <w:rPr>
                <w:sz w:val="20"/>
                <w:szCs w:val="20"/>
                <w:color w:val="auto"/>
              </w:rPr>
            </w:pPr>
            <w:r>
              <w:rPr>
                <w:rFonts w:ascii="Courier New" w:cs="Courier New" w:eastAsia="Courier New" w:hAnsi="Courier New"/>
                <w:sz w:val="14"/>
                <w:szCs w:val="14"/>
                <w:color w:val="auto"/>
              </w:rPr>
              <w:t>Other items, net</w:t>
            </w:r>
          </w:p>
        </w:tc>
        <w:tc>
          <w:tcPr>
            <w:tcW w:w="18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(10.6)</w:t>
            </w:r>
          </w:p>
        </w:tc>
        <w:tc>
          <w:tcPr>
            <w:tcW w:w="13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(2.6)</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(22.9)</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(36.1)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Earnings (loss) before</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income</w:t>
            </w:r>
          </w:p>
        </w:tc>
        <w:tc>
          <w:tcPr>
            <w:tcW w:w="1640" w:type="dxa"/>
            <w:vAlign w:val="bottom"/>
          </w:tcPr>
          <w:p>
            <w:pPr>
              <w:ind w:left="60"/>
              <w:spacing w:after="0"/>
              <w:rPr>
                <w:sz w:val="20"/>
                <w:szCs w:val="20"/>
                <w:color w:val="auto"/>
              </w:rPr>
            </w:pPr>
            <w:r>
              <w:rPr>
                <w:rFonts w:ascii="Courier New" w:cs="Courier New" w:eastAsia="Courier New" w:hAnsi="Courier New"/>
                <w:sz w:val="14"/>
                <w:szCs w:val="14"/>
                <w:color w:val="auto"/>
              </w:rPr>
              <w:t>taxes</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(528.8)</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444.2</w:t>
            </w:r>
          </w:p>
        </w:tc>
        <w:tc>
          <w:tcPr>
            <w:tcW w:w="1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517.0</w:t>
            </w:r>
          </w:p>
        </w:tc>
        <w:tc>
          <w:tcPr>
            <w:tcW w:w="14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(6.0)</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426.4</w:t>
            </w:r>
          </w:p>
        </w:tc>
      </w:tr>
      <w:tr>
        <w:trPr>
          <w:trHeight w:val="331"/>
        </w:trPr>
        <w:tc>
          <w:tcPr>
            <w:tcW w:w="418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Benefit (provision) for income taxes</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213.6</w:t>
            </w: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(198.1)</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(623.1)</w:t>
            </w:r>
          </w:p>
        </w:tc>
        <w:tc>
          <w:tcPr>
            <w:tcW w:w="14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(607.6)</w:t>
            </w:r>
          </w:p>
        </w:tc>
      </w:tr>
      <w:tr>
        <w:trPr>
          <w:trHeight w:val="166"/>
        </w:trPr>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Equity in earnings</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(loss)</w:t>
            </w:r>
          </w:p>
        </w:tc>
        <w:tc>
          <w:tcPr>
            <w:tcW w:w="1640" w:type="dxa"/>
            <w:vAlign w:val="bottom"/>
          </w:tcPr>
          <w:p>
            <w:pPr>
              <w:ind w:left="60"/>
              <w:spacing w:after="0"/>
              <w:rPr>
                <w:sz w:val="20"/>
                <w:szCs w:val="20"/>
                <w:color w:val="auto"/>
              </w:rPr>
            </w:pPr>
            <w:r>
              <w:rPr>
                <w:rFonts w:ascii="Courier New" w:cs="Courier New" w:eastAsia="Courier New" w:hAnsi="Courier New"/>
                <w:sz w:val="14"/>
                <w:szCs w:val="14"/>
                <w:color w:val="auto"/>
              </w:rPr>
              <w:t>of affiliated</w:t>
            </w: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54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companies, net of tax</w:t>
            </w:r>
          </w:p>
        </w:tc>
        <w:tc>
          <w:tcPr>
            <w:tcW w:w="1640" w:type="dxa"/>
            <w:vAlign w:val="bottom"/>
          </w:tcPr>
          <w:p>
            <w:pPr>
              <w:spacing w:after="0"/>
              <w:rPr>
                <w:sz w:val="14"/>
                <w:szCs w:val="14"/>
                <w:color w:val="auto"/>
              </w:rPr>
            </w:pP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134.2</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26.5</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(56.8)</w:t>
            </w:r>
          </w:p>
        </w:tc>
        <w:tc>
          <w:tcPr>
            <w:tcW w:w="14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(145.8)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(41.9)</w:t>
            </w:r>
          </w:p>
        </w:tc>
      </w:tr>
      <w:tr>
        <w:trPr>
          <w:trHeight w:val="166"/>
        </w:trPr>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Minority interest,</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net of</w:t>
            </w:r>
          </w:p>
        </w:tc>
        <w:tc>
          <w:tcPr>
            <w:tcW w:w="1640" w:type="dxa"/>
            <w:vAlign w:val="bottom"/>
          </w:tcPr>
          <w:p>
            <w:pPr>
              <w:ind w:left="60"/>
              <w:spacing w:after="0"/>
              <w:rPr>
                <w:sz w:val="20"/>
                <w:szCs w:val="20"/>
                <w:color w:val="auto"/>
              </w:rPr>
            </w:pPr>
            <w:r>
              <w:rPr>
                <w:rFonts w:ascii="Courier New" w:cs="Courier New" w:eastAsia="Courier New" w:hAnsi="Courier New"/>
                <w:sz w:val="14"/>
                <w:szCs w:val="14"/>
                <w:color w:val="auto"/>
              </w:rPr>
              <w:t>tax</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7.4</w:t>
            </w:r>
          </w:p>
        </w:tc>
        <w:tc>
          <w:tcPr>
            <w:tcW w:w="1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34.7</w:t>
            </w:r>
          </w:p>
        </w:tc>
        <w:tc>
          <w:tcPr>
            <w:tcW w:w="14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380" w:val="left"/>
          <w:tab w:leader="none" w:pos="4640" w:val="left"/>
          <w:tab w:leader="none" w:pos="5760" w:val="left"/>
          <w:tab w:leader="none" w:pos="6020" w:val="left"/>
          <w:tab w:leader="none" w:pos="7300" w:val="left"/>
          <w:tab w:leader="none" w:pos="8600" w:val="left"/>
          <w:tab w:leader="none" w:pos="8860" w:val="left"/>
          <w:tab w:leader="none" w:pos="10160" w:val="left"/>
          <w:tab w:leader="none" w:pos="10420" w:val="left"/>
        </w:tabs>
        <w:rPr>
          <w:sz w:val="20"/>
          <w:szCs w:val="20"/>
          <w:color w:val="auto"/>
        </w:rPr>
      </w:pPr>
      <w:r>
        <w:rPr>
          <w:rFonts w:ascii="Courier New" w:cs="Courier New" w:eastAsia="Courier New" w:hAnsi="Courier New"/>
          <w:sz w:val="14"/>
          <w:szCs w:val="14"/>
          <w:color w:val="auto"/>
        </w:rPr>
        <w:t>Net earnings (loss)</w:t>
      </w:r>
      <w:r>
        <w:rPr>
          <w:sz w:val="20"/>
          <w:szCs w:val="20"/>
          <w:color w:val="auto"/>
        </w:rPr>
        <w:tab/>
      </w:r>
      <w:r>
        <w:rPr>
          <w:rFonts w:ascii="Courier New" w:cs="Courier New" w:eastAsia="Courier New" w:hAnsi="Courier New"/>
          <w:sz w:val="14"/>
          <w:szCs w:val="14"/>
          <w:color w:val="auto"/>
        </w:rPr>
        <w:t>$</w:t>
        <w:tab/>
        <w:t>(181.0)</w:t>
      </w:r>
      <w:r>
        <w:rPr>
          <w:sz w:val="20"/>
          <w:szCs w:val="20"/>
          <w:color w:val="auto"/>
        </w:rPr>
        <w:tab/>
      </w:r>
      <w:r>
        <w:rPr>
          <w:rFonts w:ascii="Courier New" w:cs="Courier New" w:eastAsia="Courier New" w:hAnsi="Courier New"/>
          <w:sz w:val="14"/>
          <w:szCs w:val="14"/>
          <w:color w:val="auto"/>
        </w:rPr>
        <w:t>$</w:t>
        <w:tab/>
        <w:t>280.0</w:t>
      </w:r>
      <w:r>
        <w:rPr>
          <w:sz w:val="20"/>
          <w:szCs w:val="20"/>
          <w:color w:val="auto"/>
        </w:rPr>
        <w:tab/>
      </w:r>
      <w:r>
        <w:rPr>
          <w:rFonts w:ascii="Courier New" w:cs="Courier New" w:eastAsia="Courier New" w:hAnsi="Courier New"/>
          <w:sz w:val="14"/>
          <w:szCs w:val="14"/>
          <w:color w:val="auto"/>
        </w:rPr>
        <w:t>$ (128.2)</w:t>
      </w:r>
      <w:r>
        <w:rPr>
          <w:sz w:val="20"/>
          <w:szCs w:val="20"/>
          <w:color w:val="auto"/>
        </w:rPr>
        <w:tab/>
      </w:r>
      <w:r>
        <w:rPr>
          <w:rFonts w:ascii="Courier New" w:cs="Courier New" w:eastAsia="Courier New" w:hAnsi="Courier New"/>
          <w:sz w:val="14"/>
          <w:szCs w:val="14"/>
          <w:color w:val="auto"/>
        </w:rPr>
        <w:t>$</w:t>
        <w:tab/>
        <w:t>(151.8)</w:t>
      </w:r>
      <w:r>
        <w:rPr>
          <w:sz w:val="20"/>
          <w:szCs w:val="20"/>
          <w:color w:val="auto"/>
        </w:rPr>
        <w:tab/>
      </w:r>
      <w:r>
        <w:rPr>
          <w:rFonts w:ascii="Courier New" w:cs="Courier New" w:eastAsia="Courier New" w:hAnsi="Courier New"/>
          <w:sz w:val="14"/>
          <w:szCs w:val="14"/>
          <w:color w:val="auto"/>
        </w:rPr>
        <w:t>$</w:t>
        <w:tab/>
        <w:t>(181.0)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1460"/>
          </w:cols>
          <w:pgMar w:left="220" w:top="616" w:right="219" w:bottom="1440" w:gutter="0" w:footer="0" w:header="0"/>
        </w:sectPr>
      </w:pPr>
    </w:p>
    <w:bookmarkStart w:id="17" w:name="page18"/>
    <w:bookmarkEnd w:id="17"/>
    <w:p>
      <w:pPr>
        <w:jc w:val="center"/>
        <w:ind w:right="4560"/>
        <w:spacing w:after="0"/>
        <w:rPr>
          <w:sz w:val="20"/>
          <w:szCs w:val="20"/>
          <w:color w:val="auto"/>
        </w:rPr>
      </w:pPr>
      <w:r>
        <w:rPr>
          <w:rFonts w:ascii="Courier New" w:cs="Courier New" w:eastAsia="Courier New" w:hAnsi="Courier New"/>
          <w:sz w:val="14"/>
          <w:szCs w:val="14"/>
          <w:color w:val="auto"/>
        </w:rPr>
        <w:t>VIACOM INC. AND SUBSIDIARIES</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(Tabular dollars in millions, except per share amounts)</w:t>
      </w:r>
    </w:p>
    <w:p>
      <w:pPr>
        <w:spacing w:after="0" w:line="200" w:lineRule="exact"/>
        <w:rPr>
          <w:sz w:val="20"/>
          <w:szCs w:val="20"/>
          <w:color w:val="auto"/>
        </w:rPr>
      </w:pPr>
    </w:p>
    <w:p>
      <w:pPr>
        <w:spacing w:after="0" w:line="304"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Three Months Ended September 30, 2000</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580"/>
        <w:spacing w:after="0"/>
        <w:tabs>
          <w:tab w:leader="none" w:pos="10320" w:val="left"/>
        </w:tabs>
        <w:rPr>
          <w:sz w:val="20"/>
          <w:szCs w:val="20"/>
          <w:color w:val="auto"/>
        </w:rPr>
      </w:pPr>
      <w:r>
        <w:rPr>
          <w:rFonts w:ascii="Courier New" w:cs="Courier New" w:eastAsia="Courier New" w:hAnsi="Courier New"/>
          <w:sz w:val="14"/>
          <w:szCs w:val="14"/>
          <w:color w:val="auto"/>
        </w:rPr>
        <w:t>Non-</w:t>
      </w:r>
      <w:r>
        <w:rPr>
          <w:sz w:val="20"/>
          <w:szCs w:val="20"/>
          <w:color w:val="auto"/>
        </w:rPr>
        <w:tab/>
      </w:r>
      <w:r>
        <w:rPr>
          <w:rFonts w:ascii="Courier New" w:cs="Courier New" w:eastAsia="Courier New" w:hAnsi="Courier New"/>
          <w:sz w:val="14"/>
          <w:szCs w:val="14"/>
          <w:color w:val="auto"/>
        </w:rPr>
        <w:t>Viacom</w:t>
      </w:r>
    </w:p>
    <w:p>
      <w:pPr>
        <w:spacing w:after="0" w:line="7" w:lineRule="exact"/>
        <w:rPr>
          <w:sz w:val="20"/>
          <w:szCs w:val="20"/>
          <w:color w:val="auto"/>
        </w:rPr>
      </w:pPr>
    </w:p>
    <w:p>
      <w:pPr>
        <w:ind w:left="4840"/>
        <w:spacing w:after="0"/>
        <w:tabs>
          <w:tab w:leader="none" w:pos="5940" w:val="left"/>
          <w:tab w:leader="none" w:pos="7300" w:val="left"/>
          <w:tab w:leader="none" w:pos="10420" w:val="left"/>
        </w:tabs>
        <w:rPr>
          <w:sz w:val="20"/>
          <w:szCs w:val="20"/>
          <w:color w:val="auto"/>
        </w:rPr>
      </w:pPr>
      <w:r>
        <w:rPr>
          <w:rFonts w:ascii="Courier New" w:cs="Courier New" w:eastAsia="Courier New" w:hAnsi="Courier New"/>
          <w:sz w:val="14"/>
          <w:szCs w:val="14"/>
          <w:color w:val="auto"/>
        </w:rPr>
        <w:t>Viacom</w:t>
      </w:r>
      <w:r>
        <w:rPr>
          <w:sz w:val="20"/>
          <w:szCs w:val="20"/>
          <w:color w:val="auto"/>
        </w:rPr>
        <w:tab/>
      </w:r>
      <w:r>
        <w:rPr>
          <w:rFonts w:ascii="Courier New" w:cs="Courier New" w:eastAsia="Courier New" w:hAnsi="Courier New"/>
          <w:sz w:val="14"/>
          <w:szCs w:val="14"/>
          <w:color w:val="auto"/>
        </w:rPr>
        <w:t>Viacom</w:t>
      </w:r>
      <w:r>
        <w:rPr>
          <w:sz w:val="20"/>
          <w:szCs w:val="20"/>
          <w:color w:val="auto"/>
        </w:rPr>
        <w:tab/>
      </w:r>
      <w:r>
        <w:rPr>
          <w:rFonts w:ascii="Courier New" w:cs="Courier New" w:eastAsia="Courier New" w:hAnsi="Courier New"/>
          <w:sz w:val="14"/>
          <w:szCs w:val="14"/>
          <w:color w:val="auto"/>
        </w:rPr>
        <w:t>Guarantor</w:t>
      </w:r>
      <w:r>
        <w:rPr>
          <w:sz w:val="20"/>
          <w:szCs w:val="20"/>
          <w:color w:val="auto"/>
        </w:rPr>
        <w:tab/>
      </w:r>
      <w:r>
        <w:rPr>
          <w:rFonts w:ascii="Courier New" w:cs="Courier New" w:eastAsia="Courier New" w:hAnsi="Courier New"/>
          <w:sz w:val="14"/>
          <w:szCs w:val="14"/>
          <w:color w:val="auto"/>
        </w:rPr>
        <w:t>Inc.</w:t>
      </w:r>
    </w:p>
    <w:p>
      <w:pPr>
        <w:spacing w:after="0" w:line="7" w:lineRule="exact"/>
        <w:rPr>
          <w:sz w:val="20"/>
          <w:szCs w:val="20"/>
          <w:color w:val="auto"/>
        </w:rPr>
      </w:pPr>
    </w:p>
    <w:p>
      <w:pPr>
        <w:ind w:left="4920"/>
        <w:spacing w:after="0"/>
        <w:tabs>
          <w:tab w:leader="none" w:pos="5680" w:val="left"/>
          <w:tab w:leader="none" w:pos="7300" w:val="left"/>
          <w:tab w:leader="none" w:pos="8600" w:val="left"/>
          <w:tab w:leader="none" w:pos="10060" w:val="left"/>
        </w:tabs>
        <w:rPr>
          <w:sz w:val="20"/>
          <w:szCs w:val="20"/>
          <w:color w:val="auto"/>
        </w:rPr>
      </w:pPr>
      <w:r>
        <w:rPr>
          <w:rFonts w:ascii="Courier New" w:cs="Courier New" w:eastAsia="Courier New" w:hAnsi="Courier New"/>
          <w:sz w:val="14"/>
          <w:szCs w:val="14"/>
          <w:color w:val="auto"/>
        </w:rPr>
        <w:t>Inc.</w:t>
      </w:r>
      <w:r>
        <w:rPr>
          <w:sz w:val="20"/>
          <w:szCs w:val="20"/>
          <w:color w:val="auto"/>
        </w:rPr>
        <w:tab/>
      </w:r>
      <w:r>
        <w:rPr>
          <w:rFonts w:ascii="Courier New" w:cs="Courier New" w:eastAsia="Courier New" w:hAnsi="Courier New"/>
          <w:sz w:val="14"/>
          <w:szCs w:val="14"/>
          <w:color w:val="auto"/>
        </w:rPr>
        <w:t>International</w:t>
      </w:r>
      <w:r>
        <w:rPr>
          <w:sz w:val="20"/>
          <w:szCs w:val="20"/>
          <w:color w:val="auto"/>
        </w:rPr>
        <w:tab/>
      </w:r>
      <w:r>
        <w:rPr>
          <w:rFonts w:ascii="Courier New" w:cs="Courier New" w:eastAsia="Courier New" w:hAnsi="Courier New"/>
          <w:sz w:val="14"/>
          <w:szCs w:val="14"/>
          <w:color w:val="auto"/>
        </w:rPr>
        <w:t>Affiliates</w:t>
      </w:r>
      <w:r>
        <w:rPr>
          <w:sz w:val="20"/>
          <w:szCs w:val="20"/>
          <w:color w:val="auto"/>
        </w:rPr>
        <w:tab/>
      </w:r>
      <w:r>
        <w:rPr>
          <w:rFonts w:ascii="Courier New" w:cs="Courier New" w:eastAsia="Courier New" w:hAnsi="Courier New"/>
          <w:sz w:val="14"/>
          <w:szCs w:val="14"/>
          <w:color w:val="auto"/>
        </w:rPr>
        <w:t>Eliminations</w:t>
      </w:r>
      <w:r>
        <w:rPr>
          <w:sz w:val="20"/>
          <w:szCs w:val="20"/>
          <w:color w:val="auto"/>
        </w:rPr>
        <w:tab/>
      </w:r>
      <w:r>
        <w:rPr>
          <w:rFonts w:ascii="Courier New" w:cs="Courier New" w:eastAsia="Courier New" w:hAnsi="Courier New"/>
          <w:sz w:val="14"/>
          <w:szCs w:val="14"/>
          <w:color w:val="auto"/>
        </w:rPr>
        <w:t>Consolidated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tabs>
          <w:tab w:leader="none" w:pos="4460" w:val="left"/>
          <w:tab w:leader="none" w:pos="4820" w:val="left"/>
          <w:tab w:leader="none" w:pos="5760" w:val="left"/>
          <w:tab w:leader="none" w:pos="6020" w:val="left"/>
          <w:tab w:leader="none" w:pos="7300" w:val="left"/>
          <w:tab w:leader="none" w:pos="8600" w:val="left"/>
          <w:tab w:leader="none" w:pos="9120" w:val="left"/>
          <w:tab w:leader="none" w:pos="10160" w:val="left"/>
        </w:tabs>
        <w:rPr>
          <w:sz w:val="20"/>
          <w:szCs w:val="20"/>
          <w:color w:val="auto"/>
        </w:rPr>
      </w:pPr>
      <w:r>
        <w:rPr>
          <w:rFonts w:ascii="Courier New" w:cs="Courier New" w:eastAsia="Courier New" w:hAnsi="Courier New"/>
          <w:sz w:val="14"/>
          <w:szCs w:val="14"/>
          <w:color w:val="auto"/>
        </w:rPr>
        <w:t>Revenues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8.1</w:t>
      </w:r>
      <w:r>
        <w:rPr>
          <w:sz w:val="20"/>
          <w:szCs w:val="20"/>
          <w:color w:val="auto"/>
        </w:rPr>
        <w:tab/>
      </w:r>
      <w:r>
        <w:rPr>
          <w:rFonts w:ascii="Courier New" w:cs="Courier New" w:eastAsia="Courier New" w:hAnsi="Courier New"/>
          <w:sz w:val="14"/>
          <w:szCs w:val="14"/>
          <w:color w:val="auto"/>
        </w:rPr>
        <w:t>$</w:t>
        <w:tab/>
        <w:t>609.3</w:t>
      </w:r>
      <w:r>
        <w:rPr>
          <w:sz w:val="20"/>
          <w:szCs w:val="20"/>
          <w:color w:val="auto"/>
        </w:rPr>
        <w:tab/>
      </w:r>
      <w:r>
        <w:rPr>
          <w:rFonts w:ascii="Courier New" w:cs="Courier New" w:eastAsia="Courier New" w:hAnsi="Courier New"/>
          <w:sz w:val="14"/>
          <w:szCs w:val="14"/>
          <w:color w:val="auto"/>
        </w:rPr>
        <w:t>$5,198.0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(4.6)</w:t>
      </w:r>
      <w:r>
        <w:rPr>
          <w:sz w:val="20"/>
          <w:szCs w:val="20"/>
          <w:color w:val="auto"/>
        </w:rPr>
        <w:tab/>
      </w:r>
      <w:r>
        <w:rPr>
          <w:rFonts w:ascii="Courier New" w:cs="Courier New" w:eastAsia="Courier New" w:hAnsi="Courier New"/>
          <w:sz w:val="14"/>
          <w:szCs w:val="14"/>
          <w:color w:val="auto"/>
        </w:rPr>
        <w:t>$ 5,810.8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80" w:type="dxa"/>
            <w:vAlign w:val="bottom"/>
          </w:tcPr>
          <w:p>
            <w:pPr>
              <w:spacing w:after="0"/>
              <w:rPr>
                <w:sz w:val="20"/>
                <w:szCs w:val="20"/>
                <w:color w:val="auto"/>
              </w:rPr>
            </w:pPr>
            <w:r>
              <w:rPr>
                <w:rFonts w:ascii="Courier New" w:cs="Courier New" w:eastAsia="Courier New" w:hAnsi="Courier New"/>
                <w:sz w:val="14"/>
                <w:szCs w:val="14"/>
                <w:color w:val="auto"/>
              </w:rPr>
              <w:t>Expenses:</w:t>
            </w:r>
          </w:p>
        </w:tc>
        <w:tc>
          <w:tcPr>
            <w:tcW w:w="2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1780" w:type="dxa"/>
            <w:vAlign w:val="bottom"/>
          </w:tcPr>
          <w:p>
            <w:pPr>
              <w:ind w:left="360"/>
              <w:spacing w:after="0"/>
              <w:rPr>
                <w:sz w:val="20"/>
                <w:szCs w:val="20"/>
                <w:color w:val="auto"/>
              </w:rPr>
            </w:pPr>
            <w:r>
              <w:rPr>
                <w:rFonts w:ascii="Courier New" w:cs="Courier New" w:eastAsia="Courier New" w:hAnsi="Courier New"/>
                <w:sz w:val="14"/>
                <w:szCs w:val="14"/>
                <w:color w:val="auto"/>
              </w:rPr>
              <w:t>Operating</w:t>
            </w:r>
          </w:p>
        </w:tc>
        <w:tc>
          <w:tcPr>
            <w:tcW w:w="2320" w:type="dxa"/>
            <w:vAlign w:val="bottom"/>
          </w:tcPr>
          <w:p>
            <w:pPr>
              <w:spacing w:after="0"/>
              <w:rPr>
                <w:sz w:val="14"/>
                <w:szCs w:val="14"/>
                <w:color w:val="auto"/>
              </w:rPr>
            </w:pPr>
          </w:p>
        </w:tc>
        <w:tc>
          <w:tcPr>
            <w:tcW w:w="15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7.5</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184.0</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3,012.4</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(2.6)</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3,201.3</w:t>
            </w:r>
          </w:p>
        </w:tc>
      </w:tr>
      <w:tr>
        <w:trPr>
          <w:trHeight w:val="166"/>
        </w:trPr>
        <w:tc>
          <w:tcPr>
            <w:tcW w:w="1780" w:type="dxa"/>
            <w:vAlign w:val="bottom"/>
          </w:tcPr>
          <w:p>
            <w:pPr>
              <w:ind w:left="360"/>
              <w:spacing w:after="0"/>
              <w:rPr>
                <w:sz w:val="20"/>
                <w:szCs w:val="20"/>
                <w:color w:val="auto"/>
              </w:rPr>
            </w:pPr>
            <w:r>
              <w:rPr>
                <w:rFonts w:ascii="Courier New" w:cs="Courier New" w:eastAsia="Courier New" w:hAnsi="Courier New"/>
                <w:sz w:val="14"/>
                <w:szCs w:val="14"/>
                <w:color w:val="auto"/>
              </w:rPr>
              <w:t>Selling, general</w:t>
            </w:r>
          </w:p>
        </w:tc>
        <w:tc>
          <w:tcPr>
            <w:tcW w:w="2320" w:type="dxa"/>
            <w:vAlign w:val="bottom"/>
          </w:tcPr>
          <w:p>
            <w:pPr>
              <w:ind w:left="40"/>
              <w:spacing w:after="0"/>
              <w:rPr>
                <w:sz w:val="20"/>
                <w:szCs w:val="20"/>
                <w:color w:val="auto"/>
              </w:rPr>
            </w:pPr>
            <w:r>
              <w:rPr>
                <w:rFonts w:ascii="Courier New" w:cs="Courier New" w:eastAsia="Courier New" w:hAnsi="Courier New"/>
                <w:sz w:val="14"/>
                <w:szCs w:val="14"/>
                <w:color w:val="auto"/>
              </w:rPr>
              <w:t>and administrative</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192.8</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976.6</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1,169.3</w:t>
            </w:r>
          </w:p>
        </w:tc>
      </w:tr>
      <w:tr>
        <w:trPr>
          <w:trHeight w:val="166"/>
        </w:trPr>
        <w:tc>
          <w:tcPr>
            <w:tcW w:w="1780" w:type="dxa"/>
            <w:vAlign w:val="bottom"/>
          </w:tcPr>
          <w:p>
            <w:pPr>
              <w:ind w:left="360"/>
              <w:spacing w:after="0"/>
              <w:rPr>
                <w:sz w:val="20"/>
                <w:szCs w:val="20"/>
                <w:color w:val="auto"/>
              </w:rPr>
            </w:pPr>
            <w:r>
              <w:rPr>
                <w:rFonts w:ascii="Courier New" w:cs="Courier New" w:eastAsia="Courier New" w:hAnsi="Courier New"/>
                <w:sz w:val="14"/>
                <w:szCs w:val="14"/>
                <w:color w:val="auto"/>
              </w:rPr>
              <w:t>Depreciation and</w:t>
            </w:r>
          </w:p>
        </w:tc>
        <w:tc>
          <w:tcPr>
            <w:tcW w:w="2320" w:type="dxa"/>
            <w:vAlign w:val="bottom"/>
          </w:tcPr>
          <w:p>
            <w:pPr>
              <w:ind w:left="40"/>
              <w:spacing w:after="0"/>
              <w:rPr>
                <w:sz w:val="20"/>
                <w:szCs w:val="20"/>
                <w:color w:val="auto"/>
              </w:rPr>
            </w:pPr>
            <w:r>
              <w:rPr>
                <w:rFonts w:ascii="Courier New" w:cs="Courier New" w:eastAsia="Courier New" w:hAnsi="Courier New"/>
                <w:sz w:val="14"/>
                <w:szCs w:val="14"/>
                <w:color w:val="auto"/>
              </w:rPr>
              <w:t>amortization</w:t>
            </w:r>
          </w:p>
        </w:tc>
        <w:tc>
          <w:tcPr>
            <w:tcW w:w="15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.9</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31.1</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648.3</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680.3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2700" w:type="dxa"/>
            <w:vAlign w:val="bottom"/>
          </w:tcPr>
          <w:p>
            <w:pPr>
              <w:spacing w:after="0"/>
              <w:rPr>
                <w:sz w:val="20"/>
                <w:szCs w:val="20"/>
                <w:color w:val="auto"/>
              </w:rPr>
            </w:pPr>
            <w:r>
              <w:rPr>
                <w:rFonts w:ascii="Courier New" w:cs="Courier New" w:eastAsia="Courier New" w:hAnsi="Courier New"/>
                <w:sz w:val="14"/>
                <w:szCs w:val="14"/>
                <w:color w:val="auto"/>
              </w:rPr>
              <w:t>Total expenses</w:t>
            </w:r>
          </w:p>
        </w:tc>
        <w:tc>
          <w:tcPr>
            <w:tcW w:w="2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8.3</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407.9</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4,637.3</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(2.6)</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5,050.9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Operating income</w:t>
            </w:r>
          </w:p>
        </w:tc>
        <w:tc>
          <w:tcPr>
            <w:tcW w:w="2340" w:type="dxa"/>
            <w:vAlign w:val="bottom"/>
          </w:tcPr>
          <w:p>
            <w:pPr>
              <w:jc w:val="right"/>
              <w:ind w:right="1708"/>
              <w:spacing w:after="0"/>
              <w:rPr>
                <w:sz w:val="20"/>
                <w:szCs w:val="20"/>
                <w:color w:val="auto"/>
              </w:rPr>
            </w:pPr>
            <w:r>
              <w:rPr>
                <w:rFonts w:ascii="Courier New" w:cs="Courier New" w:eastAsia="Courier New" w:hAnsi="Courier New"/>
                <w:sz w:val="14"/>
                <w:szCs w:val="14"/>
                <w:color w:val="auto"/>
              </w:rPr>
              <w:t>(loss)</w:t>
            </w:r>
          </w:p>
        </w:tc>
        <w:tc>
          <w:tcPr>
            <w:tcW w:w="1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201.4</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560.7</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759.9</w:t>
            </w:r>
          </w:p>
        </w:tc>
      </w:tr>
      <w:tr>
        <w:trPr>
          <w:trHeight w:val="331"/>
        </w:trPr>
        <w:tc>
          <w:tcPr>
            <w:tcW w:w="3760" w:type="dxa"/>
            <w:vAlign w:val="bottom"/>
            <w:gridSpan w:val="2"/>
          </w:tcPr>
          <w:p>
            <w:pPr>
              <w:jc w:val="right"/>
              <w:ind w:right="1708"/>
              <w:spacing w:after="0"/>
              <w:rPr>
                <w:sz w:val="20"/>
                <w:szCs w:val="20"/>
                <w:color w:val="auto"/>
              </w:rPr>
            </w:pPr>
            <w:r>
              <w:rPr>
                <w:rFonts w:ascii="Courier New" w:cs="Courier New" w:eastAsia="Courier New" w:hAnsi="Courier New"/>
                <w:sz w:val="14"/>
                <w:szCs w:val="14"/>
                <w:color w:val="auto"/>
              </w:rPr>
              <w:t>Other income (expense):</w:t>
            </w:r>
          </w:p>
        </w:tc>
        <w:tc>
          <w:tcPr>
            <w:tcW w:w="18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6"/>
        </w:trPr>
        <w:tc>
          <w:tcPr>
            <w:tcW w:w="376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Interest income (expense), net</w:t>
            </w:r>
          </w:p>
        </w:tc>
        <w:tc>
          <w:tcPr>
            <w:tcW w:w="1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(146.4)</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16.9</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(102.2)</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(231.7)</w:t>
            </w:r>
          </w:p>
        </w:tc>
      </w:tr>
      <w:tr>
        <w:trPr>
          <w:trHeight w:val="166"/>
        </w:trPr>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Other items,</w:t>
            </w:r>
          </w:p>
        </w:tc>
        <w:tc>
          <w:tcPr>
            <w:tcW w:w="2340" w:type="dxa"/>
            <w:vAlign w:val="bottom"/>
          </w:tcPr>
          <w:p>
            <w:pPr>
              <w:jc w:val="right"/>
              <w:ind w:right="1948"/>
              <w:spacing w:after="0"/>
              <w:rPr>
                <w:sz w:val="20"/>
                <w:szCs w:val="20"/>
                <w:color w:val="auto"/>
              </w:rPr>
            </w:pPr>
            <w:r>
              <w:rPr>
                <w:rFonts w:ascii="Courier New" w:cs="Courier New" w:eastAsia="Courier New" w:hAnsi="Courier New"/>
                <w:sz w:val="14"/>
                <w:szCs w:val="14"/>
                <w:color w:val="auto"/>
              </w:rPr>
              <w:t>net</w:t>
            </w:r>
          </w:p>
        </w:tc>
        <w:tc>
          <w:tcPr>
            <w:tcW w:w="1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(6.3)</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13.9</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(7.1)</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Earnings (loss) before</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income</w:t>
            </w:r>
          </w:p>
        </w:tc>
        <w:tc>
          <w:tcPr>
            <w:tcW w:w="1600" w:type="dxa"/>
            <w:vAlign w:val="bottom"/>
          </w:tcPr>
          <w:p>
            <w:pPr>
              <w:ind w:left="60"/>
              <w:spacing w:after="0"/>
              <w:rPr>
                <w:sz w:val="20"/>
                <w:szCs w:val="20"/>
                <w:color w:val="auto"/>
              </w:rPr>
            </w:pPr>
            <w:r>
              <w:rPr>
                <w:rFonts w:ascii="Courier New" w:cs="Courier New" w:eastAsia="Courier New" w:hAnsi="Courier New"/>
                <w:sz w:val="14"/>
                <w:szCs w:val="14"/>
                <w:color w:val="auto"/>
              </w:rPr>
              <w:t>taxes</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(152.9)</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232.2</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451.4</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528.7</w:t>
            </w:r>
          </w:p>
        </w:tc>
      </w:tr>
      <w:tr>
        <w:trPr>
          <w:trHeight w:val="331"/>
        </w:trPr>
        <w:tc>
          <w:tcPr>
            <w:tcW w:w="414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Benefit (provision) for income taxes</w:t>
            </w: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61.2</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10.5</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(495.9)</w:t>
            </w:r>
          </w:p>
        </w:tc>
        <w:tc>
          <w:tcPr>
            <w:tcW w:w="134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(424.2)</w:t>
            </w:r>
          </w:p>
        </w:tc>
      </w:tr>
      <w:tr>
        <w:trPr>
          <w:trHeight w:val="166"/>
        </w:trPr>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Equity in earnings</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(loss)</w:t>
            </w:r>
          </w:p>
        </w:tc>
        <w:tc>
          <w:tcPr>
            <w:tcW w:w="1600" w:type="dxa"/>
            <w:vAlign w:val="bottom"/>
          </w:tcPr>
          <w:p>
            <w:pPr>
              <w:ind w:left="60"/>
              <w:spacing w:after="0"/>
              <w:rPr>
                <w:sz w:val="20"/>
                <w:szCs w:val="20"/>
                <w:color w:val="auto"/>
              </w:rPr>
            </w:pPr>
            <w:r>
              <w:rPr>
                <w:rFonts w:ascii="Courier New" w:cs="Courier New" w:eastAsia="Courier New" w:hAnsi="Courier New"/>
                <w:sz w:val="14"/>
                <w:szCs w:val="14"/>
                <w:color w:val="auto"/>
              </w:rPr>
              <w:t>of affiliated</w:t>
            </w:r>
          </w:p>
        </w:tc>
        <w:tc>
          <w:tcPr>
            <w:tcW w:w="14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254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companies, net of tax</w:t>
            </w:r>
          </w:p>
        </w:tc>
        <w:tc>
          <w:tcPr>
            <w:tcW w:w="1600" w:type="dxa"/>
            <w:vAlign w:val="bottom"/>
          </w:tcPr>
          <w:p>
            <w:pPr>
              <w:spacing w:after="0"/>
              <w:rPr>
                <w:sz w:val="14"/>
                <w:szCs w:val="14"/>
                <w:color w:val="auto"/>
              </w:rPr>
            </w:pP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125.1</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(120.0)</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(52.3)</w:t>
            </w:r>
          </w:p>
        </w:tc>
        <w:tc>
          <w:tcPr>
            <w:tcW w:w="1340" w:type="dxa"/>
            <w:vAlign w:val="bottom"/>
          </w:tcPr>
          <w:p>
            <w:pPr>
              <w:ind w:left="600"/>
              <w:spacing w:after="0"/>
              <w:rPr>
                <w:sz w:val="20"/>
                <w:szCs w:val="20"/>
                <w:color w:val="auto"/>
              </w:rPr>
            </w:pPr>
            <w:r>
              <w:rPr>
                <w:rFonts w:ascii="Courier New" w:cs="Courier New" w:eastAsia="Courier New" w:hAnsi="Courier New"/>
                <w:sz w:val="14"/>
                <w:szCs w:val="14"/>
                <w:color w:val="auto"/>
              </w:rPr>
              <w:t>3.2</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(44.0)</w:t>
            </w:r>
          </w:p>
        </w:tc>
      </w:tr>
      <w:tr>
        <w:trPr>
          <w:trHeight w:val="166"/>
        </w:trPr>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Minority interest,</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net of</w:t>
            </w:r>
          </w:p>
        </w:tc>
        <w:tc>
          <w:tcPr>
            <w:tcW w:w="1600" w:type="dxa"/>
            <w:vAlign w:val="bottom"/>
          </w:tcPr>
          <w:p>
            <w:pPr>
              <w:ind w:left="60"/>
              <w:spacing w:after="0"/>
              <w:rPr>
                <w:sz w:val="20"/>
                <w:szCs w:val="20"/>
                <w:color w:val="auto"/>
              </w:rPr>
            </w:pPr>
            <w:r>
              <w:rPr>
                <w:rFonts w:ascii="Courier New" w:cs="Courier New" w:eastAsia="Courier New" w:hAnsi="Courier New"/>
                <w:sz w:val="14"/>
                <w:szCs w:val="14"/>
                <w:color w:val="auto"/>
              </w:rPr>
              <w:t>tax</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2.4</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(29.5)</w:t>
            </w:r>
          </w:p>
        </w:tc>
        <w:tc>
          <w:tcPr>
            <w:tcW w:w="134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(27.1)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380" w:val="left"/>
          <w:tab w:leader="none" w:pos="4720" w:val="left"/>
          <w:tab w:leader="none" w:pos="5760" w:val="left"/>
          <w:tab w:leader="none" w:pos="6020" w:val="left"/>
          <w:tab w:leader="none" w:pos="7300" w:val="left"/>
          <w:tab w:leader="none" w:pos="8600" w:val="left"/>
          <w:tab w:leader="none" w:pos="9200" w:val="left"/>
          <w:tab w:leader="none" w:pos="10160" w:val="left"/>
          <w:tab w:leader="none" w:pos="10500" w:val="left"/>
        </w:tabs>
        <w:rPr>
          <w:sz w:val="20"/>
          <w:szCs w:val="20"/>
          <w:color w:val="auto"/>
        </w:rPr>
      </w:pPr>
      <w:r>
        <w:rPr>
          <w:rFonts w:ascii="Courier New" w:cs="Courier New" w:eastAsia="Courier New" w:hAnsi="Courier New"/>
          <w:sz w:val="14"/>
          <w:szCs w:val="14"/>
          <w:color w:val="auto"/>
        </w:rPr>
        <w:t>Net earnings (loss)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33.4</w:t>
      </w:r>
      <w:r>
        <w:rPr>
          <w:sz w:val="20"/>
          <w:szCs w:val="20"/>
          <w:color w:val="auto"/>
        </w:rPr>
        <w:tab/>
      </w:r>
      <w:r>
        <w:rPr>
          <w:rFonts w:ascii="Courier New" w:cs="Courier New" w:eastAsia="Courier New" w:hAnsi="Courier New"/>
          <w:sz w:val="14"/>
          <w:szCs w:val="14"/>
          <w:color w:val="auto"/>
        </w:rPr>
        <w:t>$</w:t>
        <w:tab/>
        <w:t>125.1</w:t>
      </w:r>
      <w:r>
        <w:rPr>
          <w:sz w:val="20"/>
          <w:szCs w:val="20"/>
          <w:color w:val="auto"/>
        </w:rPr>
        <w:tab/>
      </w:r>
      <w:r>
        <w:rPr>
          <w:rFonts w:ascii="Courier New" w:cs="Courier New" w:eastAsia="Courier New" w:hAnsi="Courier New"/>
          <w:sz w:val="14"/>
          <w:szCs w:val="14"/>
          <w:color w:val="auto"/>
        </w:rPr>
        <w:t>$ (126.3)</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1.2</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33.4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1460"/>
          </w:cols>
          <w:pgMar w:left="220" w:top="616" w:right="219" w:bottom="1440" w:gutter="0" w:footer="0" w:header="0"/>
        </w:sectPr>
      </w:pPr>
    </w:p>
    <w:bookmarkStart w:id="18" w:name="page19"/>
    <w:bookmarkEnd w:id="18"/>
    <w:p>
      <w:pPr>
        <w:jc w:val="center"/>
        <w:ind w:right="4560"/>
        <w:spacing w:after="0"/>
        <w:rPr>
          <w:sz w:val="20"/>
          <w:szCs w:val="20"/>
          <w:color w:val="auto"/>
        </w:rPr>
      </w:pPr>
      <w:r>
        <w:rPr>
          <w:rFonts w:ascii="Courier New" w:cs="Courier New" w:eastAsia="Courier New" w:hAnsi="Courier New"/>
          <w:sz w:val="14"/>
          <w:szCs w:val="14"/>
          <w:color w:val="auto"/>
        </w:rPr>
        <w:t>VIACOM INC. AND SUBSIDIARIES</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(Tabular dollars in millions, except per share amounts)</w:t>
      </w:r>
    </w:p>
    <w:p>
      <w:pPr>
        <w:spacing w:after="0" w:line="200" w:lineRule="exact"/>
        <w:rPr>
          <w:sz w:val="20"/>
          <w:szCs w:val="20"/>
          <w:color w:val="auto"/>
        </w:rPr>
      </w:pPr>
    </w:p>
    <w:p>
      <w:pPr>
        <w:spacing w:after="0" w:line="304" w:lineRule="exact"/>
        <w:rPr>
          <w:sz w:val="20"/>
          <w:szCs w:val="20"/>
          <w:color w:val="auto"/>
        </w:rPr>
      </w:pPr>
    </w:p>
    <w:p>
      <w:pPr>
        <w:ind w:left="5960"/>
        <w:spacing w:after="0"/>
        <w:rPr>
          <w:sz w:val="20"/>
          <w:szCs w:val="20"/>
          <w:color w:val="auto"/>
        </w:rPr>
      </w:pPr>
      <w:r>
        <w:rPr>
          <w:rFonts w:ascii="Courier New" w:cs="Courier New" w:eastAsia="Courier New" w:hAnsi="Courier New"/>
          <w:sz w:val="14"/>
          <w:szCs w:val="14"/>
          <w:color w:val="auto"/>
        </w:rPr>
        <w:t>Nine Months Ended September 30, 2000</w:t>
      </w:r>
    </w:p>
    <w:p>
      <w:pPr>
        <w:spacing w:after="0" w:line="7"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580"/>
        <w:spacing w:after="0"/>
        <w:tabs>
          <w:tab w:leader="none" w:pos="10320" w:val="left"/>
        </w:tabs>
        <w:rPr>
          <w:sz w:val="20"/>
          <w:szCs w:val="20"/>
          <w:color w:val="auto"/>
        </w:rPr>
      </w:pPr>
      <w:r>
        <w:rPr>
          <w:rFonts w:ascii="Courier New" w:cs="Courier New" w:eastAsia="Courier New" w:hAnsi="Courier New"/>
          <w:sz w:val="14"/>
          <w:szCs w:val="14"/>
          <w:color w:val="auto"/>
        </w:rPr>
        <w:t>Non-</w:t>
      </w:r>
      <w:r>
        <w:rPr>
          <w:sz w:val="20"/>
          <w:szCs w:val="20"/>
          <w:color w:val="auto"/>
        </w:rPr>
        <w:tab/>
      </w:r>
      <w:r>
        <w:rPr>
          <w:rFonts w:ascii="Courier New" w:cs="Courier New" w:eastAsia="Courier New" w:hAnsi="Courier New"/>
          <w:sz w:val="14"/>
          <w:szCs w:val="14"/>
          <w:color w:val="auto"/>
        </w:rPr>
        <w:t>Viacom</w:t>
      </w:r>
    </w:p>
    <w:p>
      <w:pPr>
        <w:spacing w:after="0" w:line="7" w:lineRule="exact"/>
        <w:rPr>
          <w:sz w:val="20"/>
          <w:szCs w:val="20"/>
          <w:color w:val="auto"/>
        </w:rPr>
      </w:pPr>
    </w:p>
    <w:p>
      <w:pPr>
        <w:ind w:left="4840"/>
        <w:spacing w:after="0"/>
        <w:tabs>
          <w:tab w:leader="none" w:pos="5940" w:val="left"/>
          <w:tab w:leader="none" w:pos="7300" w:val="left"/>
          <w:tab w:leader="none" w:pos="10500" w:val="left"/>
        </w:tabs>
        <w:rPr>
          <w:sz w:val="20"/>
          <w:szCs w:val="20"/>
          <w:color w:val="auto"/>
        </w:rPr>
      </w:pPr>
      <w:r>
        <w:rPr>
          <w:rFonts w:ascii="Courier New" w:cs="Courier New" w:eastAsia="Courier New" w:hAnsi="Courier New"/>
          <w:sz w:val="14"/>
          <w:szCs w:val="14"/>
          <w:color w:val="auto"/>
        </w:rPr>
        <w:t>Viacom</w:t>
      </w:r>
      <w:r>
        <w:rPr>
          <w:sz w:val="20"/>
          <w:szCs w:val="20"/>
          <w:color w:val="auto"/>
        </w:rPr>
        <w:tab/>
      </w:r>
      <w:r>
        <w:rPr>
          <w:rFonts w:ascii="Courier New" w:cs="Courier New" w:eastAsia="Courier New" w:hAnsi="Courier New"/>
          <w:sz w:val="14"/>
          <w:szCs w:val="14"/>
          <w:color w:val="auto"/>
        </w:rPr>
        <w:t>Viacom</w:t>
      </w:r>
      <w:r>
        <w:rPr>
          <w:sz w:val="20"/>
          <w:szCs w:val="20"/>
          <w:color w:val="auto"/>
        </w:rPr>
        <w:tab/>
      </w:r>
      <w:r>
        <w:rPr>
          <w:rFonts w:ascii="Courier New" w:cs="Courier New" w:eastAsia="Courier New" w:hAnsi="Courier New"/>
          <w:sz w:val="14"/>
          <w:szCs w:val="14"/>
          <w:color w:val="auto"/>
        </w:rPr>
        <w:t>Guarantor</w:t>
      </w:r>
      <w:r>
        <w:rPr>
          <w:sz w:val="20"/>
          <w:szCs w:val="20"/>
          <w:color w:val="auto"/>
        </w:rPr>
        <w:tab/>
      </w:r>
      <w:r>
        <w:rPr>
          <w:rFonts w:ascii="Courier New" w:cs="Courier New" w:eastAsia="Courier New" w:hAnsi="Courier New"/>
          <w:sz w:val="14"/>
          <w:szCs w:val="14"/>
          <w:color w:val="auto"/>
        </w:rPr>
        <w:t>Inc.</w:t>
      </w:r>
    </w:p>
    <w:p>
      <w:pPr>
        <w:spacing w:after="0" w:line="7" w:lineRule="exact"/>
        <w:rPr>
          <w:sz w:val="20"/>
          <w:szCs w:val="20"/>
          <w:color w:val="auto"/>
        </w:rPr>
      </w:pPr>
    </w:p>
    <w:p>
      <w:pPr>
        <w:ind w:left="4920"/>
        <w:spacing w:after="0"/>
        <w:tabs>
          <w:tab w:leader="none" w:pos="5680" w:val="left"/>
          <w:tab w:leader="none" w:pos="7300" w:val="left"/>
          <w:tab w:leader="none" w:pos="8600" w:val="left"/>
          <w:tab w:leader="none" w:pos="10060" w:val="left"/>
        </w:tabs>
        <w:rPr>
          <w:sz w:val="20"/>
          <w:szCs w:val="20"/>
          <w:color w:val="auto"/>
        </w:rPr>
      </w:pPr>
      <w:r>
        <w:rPr>
          <w:rFonts w:ascii="Courier New" w:cs="Courier New" w:eastAsia="Courier New" w:hAnsi="Courier New"/>
          <w:sz w:val="14"/>
          <w:szCs w:val="14"/>
          <w:color w:val="auto"/>
        </w:rPr>
        <w:t>Inc.</w:t>
      </w:r>
      <w:r>
        <w:rPr>
          <w:sz w:val="20"/>
          <w:szCs w:val="20"/>
          <w:color w:val="auto"/>
        </w:rPr>
        <w:tab/>
      </w:r>
      <w:r>
        <w:rPr>
          <w:rFonts w:ascii="Courier New" w:cs="Courier New" w:eastAsia="Courier New" w:hAnsi="Courier New"/>
          <w:sz w:val="14"/>
          <w:szCs w:val="14"/>
          <w:color w:val="auto"/>
        </w:rPr>
        <w:t>International</w:t>
      </w:r>
      <w:r>
        <w:rPr>
          <w:sz w:val="20"/>
          <w:szCs w:val="20"/>
          <w:color w:val="auto"/>
        </w:rPr>
        <w:tab/>
      </w:r>
      <w:r>
        <w:rPr>
          <w:rFonts w:ascii="Courier New" w:cs="Courier New" w:eastAsia="Courier New" w:hAnsi="Courier New"/>
          <w:sz w:val="14"/>
          <w:szCs w:val="14"/>
          <w:color w:val="auto"/>
        </w:rPr>
        <w:t>Affiliates</w:t>
      </w:r>
      <w:r>
        <w:rPr>
          <w:sz w:val="20"/>
          <w:szCs w:val="20"/>
          <w:color w:val="auto"/>
        </w:rPr>
        <w:tab/>
      </w:r>
      <w:r>
        <w:rPr>
          <w:rFonts w:ascii="Courier New" w:cs="Courier New" w:eastAsia="Courier New" w:hAnsi="Courier New"/>
          <w:sz w:val="14"/>
          <w:szCs w:val="14"/>
          <w:color w:val="auto"/>
        </w:rPr>
        <w:t>Eliminations</w:t>
      </w:r>
      <w:r>
        <w:rPr>
          <w:sz w:val="20"/>
          <w:szCs w:val="20"/>
          <w:color w:val="auto"/>
        </w:rPr>
        <w:tab/>
      </w:r>
      <w:r>
        <w:rPr>
          <w:rFonts w:ascii="Courier New" w:cs="Courier New" w:eastAsia="Courier New" w:hAnsi="Courier New"/>
          <w:sz w:val="14"/>
          <w:szCs w:val="14"/>
          <w:color w:val="auto"/>
        </w:rPr>
        <w:t>Consolidated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tabs>
          <w:tab w:leader="none" w:pos="4460" w:val="left"/>
          <w:tab w:leader="none" w:pos="4900" w:val="left"/>
          <w:tab w:leader="none" w:pos="5760" w:val="left"/>
          <w:tab w:leader="none" w:pos="7300" w:val="left"/>
          <w:tab w:leader="none" w:pos="8600" w:val="left"/>
          <w:tab w:leader="none" w:pos="8940" w:val="left"/>
          <w:tab w:leader="none" w:pos="10160" w:val="left"/>
        </w:tabs>
        <w:rPr>
          <w:sz w:val="20"/>
          <w:szCs w:val="20"/>
          <w:color w:val="auto"/>
        </w:rPr>
      </w:pPr>
      <w:r>
        <w:rPr>
          <w:rFonts w:ascii="Courier New" w:cs="Courier New" w:eastAsia="Courier New" w:hAnsi="Courier New"/>
          <w:sz w:val="14"/>
          <w:szCs w:val="14"/>
          <w:color w:val="auto"/>
        </w:rPr>
        <w:t>Revenues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28.0</w:t>
      </w:r>
      <w:r>
        <w:rPr>
          <w:sz w:val="20"/>
          <w:szCs w:val="20"/>
          <w:color w:val="auto"/>
        </w:rPr>
        <w:tab/>
      </w:r>
      <w:r>
        <w:rPr>
          <w:rFonts w:ascii="Courier New" w:cs="Courier New" w:eastAsia="Courier New" w:hAnsi="Courier New"/>
          <w:sz w:val="14"/>
          <w:szCs w:val="14"/>
          <w:color w:val="auto"/>
        </w:rPr>
        <w:t>$1,745.4</w:t>
      </w:r>
      <w:r>
        <w:rPr>
          <w:sz w:val="20"/>
          <w:szCs w:val="20"/>
          <w:color w:val="auto"/>
        </w:rPr>
        <w:tab/>
      </w:r>
      <w:r>
        <w:rPr>
          <w:rFonts w:ascii="Courier New" w:cs="Courier New" w:eastAsia="Courier New" w:hAnsi="Courier New"/>
          <w:sz w:val="14"/>
          <w:szCs w:val="14"/>
          <w:color w:val="auto"/>
        </w:rPr>
        <w:t>$11,984.3</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(70.2)</w:t>
      </w:r>
      <w:r>
        <w:rPr>
          <w:sz w:val="20"/>
          <w:szCs w:val="20"/>
          <w:color w:val="auto"/>
        </w:rPr>
        <w:tab/>
      </w:r>
      <w:r>
        <w:rPr>
          <w:rFonts w:ascii="Courier New" w:cs="Courier New" w:eastAsia="Courier New" w:hAnsi="Courier New"/>
          <w:sz w:val="14"/>
          <w:szCs w:val="14"/>
          <w:color w:val="auto"/>
        </w:rPr>
        <w:t>$13,687.5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80" w:type="dxa"/>
            <w:vAlign w:val="bottom"/>
          </w:tcPr>
          <w:p>
            <w:pPr>
              <w:spacing w:after="0"/>
              <w:rPr>
                <w:sz w:val="20"/>
                <w:szCs w:val="20"/>
                <w:color w:val="auto"/>
              </w:rPr>
            </w:pPr>
            <w:r>
              <w:rPr>
                <w:rFonts w:ascii="Courier New" w:cs="Courier New" w:eastAsia="Courier New" w:hAnsi="Courier New"/>
                <w:sz w:val="14"/>
                <w:szCs w:val="14"/>
                <w:color w:val="auto"/>
              </w:rPr>
              <w:t>Expenses:</w:t>
            </w:r>
          </w:p>
        </w:tc>
        <w:tc>
          <w:tcPr>
            <w:tcW w:w="2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1780" w:type="dxa"/>
            <w:vAlign w:val="bottom"/>
          </w:tcPr>
          <w:p>
            <w:pPr>
              <w:ind w:left="360"/>
              <w:spacing w:after="0"/>
              <w:rPr>
                <w:sz w:val="20"/>
                <w:szCs w:val="20"/>
                <w:color w:val="auto"/>
              </w:rPr>
            </w:pPr>
            <w:r>
              <w:rPr>
                <w:rFonts w:ascii="Courier New" w:cs="Courier New" w:eastAsia="Courier New" w:hAnsi="Courier New"/>
                <w:sz w:val="14"/>
                <w:szCs w:val="14"/>
                <w:color w:val="auto"/>
              </w:rPr>
              <w:t>Operating</w:t>
            </w:r>
          </w:p>
        </w:tc>
        <w:tc>
          <w:tcPr>
            <w:tcW w:w="2360" w:type="dxa"/>
            <w:vAlign w:val="bottom"/>
          </w:tcPr>
          <w:p>
            <w:pPr>
              <w:spacing w:after="0"/>
              <w:rPr>
                <w:sz w:val="14"/>
                <w:szCs w:val="14"/>
                <w:color w:val="auto"/>
              </w:rPr>
            </w:pP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25.7</w:t>
            </w:r>
          </w:p>
        </w:tc>
        <w:tc>
          <w:tcPr>
            <w:tcW w:w="12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571.1</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7,459.5</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(33.9)</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8,022.4</w:t>
            </w:r>
          </w:p>
        </w:tc>
      </w:tr>
      <w:tr>
        <w:trPr>
          <w:trHeight w:val="166"/>
        </w:trPr>
        <w:tc>
          <w:tcPr>
            <w:tcW w:w="1780" w:type="dxa"/>
            <w:vAlign w:val="bottom"/>
          </w:tcPr>
          <w:p>
            <w:pPr>
              <w:ind w:left="360"/>
              <w:spacing w:after="0"/>
              <w:rPr>
                <w:sz w:val="20"/>
                <w:szCs w:val="20"/>
                <w:color w:val="auto"/>
              </w:rPr>
            </w:pPr>
            <w:r>
              <w:rPr>
                <w:rFonts w:ascii="Courier New" w:cs="Courier New" w:eastAsia="Courier New" w:hAnsi="Courier New"/>
                <w:sz w:val="14"/>
                <w:szCs w:val="14"/>
                <w:color w:val="auto"/>
              </w:rPr>
              <w:t>Selling, general</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and administrative</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w:t>
            </w:r>
          </w:p>
        </w:tc>
        <w:tc>
          <w:tcPr>
            <w:tcW w:w="12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636.3</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2,145.8</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2,784.0</w:t>
            </w:r>
          </w:p>
        </w:tc>
      </w:tr>
      <w:tr>
        <w:trPr>
          <w:trHeight w:val="166"/>
        </w:trPr>
        <w:tc>
          <w:tcPr>
            <w:tcW w:w="414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Merger-related charges</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650.0</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48.5</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698.5</w:t>
            </w:r>
          </w:p>
        </w:tc>
      </w:tr>
      <w:tr>
        <w:trPr>
          <w:trHeight w:val="166"/>
        </w:trPr>
        <w:tc>
          <w:tcPr>
            <w:tcW w:w="1780" w:type="dxa"/>
            <w:vAlign w:val="bottom"/>
          </w:tcPr>
          <w:p>
            <w:pPr>
              <w:ind w:left="360"/>
              <w:spacing w:after="0"/>
              <w:rPr>
                <w:sz w:val="20"/>
                <w:szCs w:val="20"/>
                <w:color w:val="auto"/>
              </w:rPr>
            </w:pPr>
            <w:r>
              <w:rPr>
                <w:rFonts w:ascii="Courier New" w:cs="Courier New" w:eastAsia="Courier New" w:hAnsi="Courier New"/>
                <w:sz w:val="14"/>
                <w:szCs w:val="14"/>
                <w:color w:val="auto"/>
              </w:rPr>
              <w:t>Depreciation and</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amortization</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2.5</w:t>
            </w:r>
          </w:p>
        </w:tc>
        <w:tc>
          <w:tcPr>
            <w:tcW w:w="12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101.6</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1,356.4</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1,460.5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2740" w:type="dxa"/>
            <w:vAlign w:val="bottom"/>
          </w:tcPr>
          <w:p>
            <w:pPr>
              <w:spacing w:after="0"/>
              <w:rPr>
                <w:sz w:val="20"/>
                <w:szCs w:val="20"/>
                <w:color w:val="auto"/>
              </w:rPr>
            </w:pPr>
            <w:r>
              <w:rPr>
                <w:rFonts w:ascii="Courier New" w:cs="Courier New" w:eastAsia="Courier New" w:hAnsi="Courier New"/>
                <w:sz w:val="14"/>
                <w:szCs w:val="14"/>
                <w:color w:val="auto"/>
              </w:rPr>
              <w:t>Total expenses</w:t>
            </w:r>
          </w:p>
        </w:tc>
        <w:tc>
          <w:tcPr>
            <w:tcW w:w="2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30.1</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1,959.0</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11,010.2</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(33.9)</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12,965.4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Operating income</w:t>
            </w:r>
          </w:p>
        </w:tc>
        <w:tc>
          <w:tcPr>
            <w:tcW w:w="2420" w:type="dxa"/>
            <w:vAlign w:val="bottom"/>
          </w:tcPr>
          <w:p>
            <w:pPr>
              <w:jc w:val="right"/>
              <w:ind w:right="1788"/>
              <w:spacing w:after="0"/>
              <w:rPr>
                <w:sz w:val="20"/>
                <w:szCs w:val="20"/>
                <w:color w:val="auto"/>
              </w:rPr>
            </w:pPr>
            <w:r>
              <w:rPr>
                <w:rFonts w:ascii="Courier New" w:cs="Courier New" w:eastAsia="Courier New" w:hAnsi="Courier New"/>
                <w:sz w:val="14"/>
                <w:szCs w:val="14"/>
                <w:color w:val="auto"/>
              </w:rPr>
              <w:t>(loss)</w:t>
            </w:r>
          </w:p>
        </w:tc>
        <w:tc>
          <w:tcPr>
            <w:tcW w:w="18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(2.1)</w:t>
            </w:r>
          </w:p>
        </w:tc>
        <w:tc>
          <w:tcPr>
            <w:tcW w:w="13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(213.6)</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974.1</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(36.3)</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722.1</w:t>
            </w:r>
          </w:p>
        </w:tc>
      </w:tr>
      <w:tr>
        <w:trPr>
          <w:trHeight w:val="331"/>
        </w:trPr>
        <w:tc>
          <w:tcPr>
            <w:tcW w:w="3840" w:type="dxa"/>
            <w:vAlign w:val="bottom"/>
            <w:gridSpan w:val="2"/>
          </w:tcPr>
          <w:p>
            <w:pPr>
              <w:jc w:val="right"/>
              <w:ind w:right="1788"/>
              <w:spacing w:after="0"/>
              <w:rPr>
                <w:sz w:val="20"/>
                <w:szCs w:val="20"/>
                <w:color w:val="auto"/>
              </w:rPr>
            </w:pPr>
            <w:r>
              <w:rPr>
                <w:rFonts w:ascii="Courier New" w:cs="Courier New" w:eastAsia="Courier New" w:hAnsi="Courier New"/>
                <w:sz w:val="14"/>
                <w:szCs w:val="14"/>
                <w:color w:val="auto"/>
              </w:rPr>
              <w:t>Other income (expense):</w:t>
            </w:r>
          </w:p>
        </w:tc>
        <w:tc>
          <w:tcPr>
            <w:tcW w:w="18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6"/>
        </w:trPr>
        <w:tc>
          <w:tcPr>
            <w:tcW w:w="3840" w:type="dxa"/>
            <w:vAlign w:val="bottom"/>
            <w:gridSpan w:val="2"/>
          </w:tcPr>
          <w:p>
            <w:pPr>
              <w:jc w:val="right"/>
              <w:ind w:right="828"/>
              <w:spacing w:after="0"/>
              <w:rPr>
                <w:sz w:val="20"/>
                <w:szCs w:val="20"/>
                <w:color w:val="auto"/>
              </w:rPr>
            </w:pPr>
            <w:r>
              <w:rPr>
                <w:rFonts w:ascii="Courier New" w:cs="Courier New" w:eastAsia="Courier New" w:hAnsi="Courier New"/>
                <w:sz w:val="14"/>
                <w:szCs w:val="14"/>
                <w:color w:val="auto"/>
              </w:rPr>
              <w:t>Interest income (expense), net</w:t>
            </w:r>
          </w:p>
        </w:tc>
        <w:tc>
          <w:tcPr>
            <w:tcW w:w="18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(354.5)</w:t>
            </w:r>
          </w:p>
        </w:tc>
        <w:tc>
          <w:tcPr>
            <w:tcW w:w="13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45.1</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(214.8)</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(524.2)</w:t>
            </w:r>
          </w:p>
        </w:tc>
      </w:tr>
      <w:tr>
        <w:trPr>
          <w:trHeight w:val="166"/>
        </w:trPr>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Other items,</w:t>
            </w:r>
          </w:p>
        </w:tc>
        <w:tc>
          <w:tcPr>
            <w:tcW w:w="2420" w:type="dxa"/>
            <w:vAlign w:val="bottom"/>
          </w:tcPr>
          <w:p>
            <w:pPr>
              <w:jc w:val="right"/>
              <w:ind w:right="2028"/>
              <w:spacing w:after="0"/>
              <w:rPr>
                <w:sz w:val="20"/>
                <w:szCs w:val="20"/>
                <w:color w:val="auto"/>
              </w:rPr>
            </w:pPr>
            <w:r>
              <w:rPr>
                <w:rFonts w:ascii="Courier New" w:cs="Courier New" w:eastAsia="Courier New" w:hAnsi="Courier New"/>
                <w:sz w:val="14"/>
                <w:szCs w:val="14"/>
                <w:color w:val="auto"/>
              </w:rPr>
              <w:t>net</w:t>
            </w:r>
          </w:p>
        </w:tc>
        <w:tc>
          <w:tcPr>
            <w:tcW w:w="18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(21.9)</w:t>
            </w:r>
          </w:p>
        </w:tc>
        <w:tc>
          <w:tcPr>
            <w:tcW w:w="13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23.2</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(15.8)</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(14.5)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80" w:type="dxa"/>
            <w:vAlign w:val="bottom"/>
          </w:tcPr>
          <w:p>
            <w:pPr>
              <w:spacing w:after="0"/>
              <w:rPr>
                <w:sz w:val="20"/>
                <w:szCs w:val="20"/>
                <w:color w:val="auto"/>
              </w:rPr>
            </w:pPr>
            <w:r>
              <w:rPr>
                <w:rFonts w:ascii="Courier New" w:cs="Courier New" w:eastAsia="Courier New" w:hAnsi="Courier New"/>
                <w:sz w:val="14"/>
                <w:szCs w:val="14"/>
                <w:color w:val="auto"/>
              </w:rPr>
              <w:t>Earnings (loss) before</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1560" w:type="dxa"/>
            <w:vAlign w:val="bottom"/>
          </w:tcPr>
          <w:p>
            <w:pPr>
              <w:ind w:left="60"/>
              <w:spacing w:after="0"/>
              <w:rPr>
                <w:sz w:val="20"/>
                <w:szCs w:val="20"/>
                <w:color w:val="auto"/>
              </w:rPr>
            </w:pPr>
            <w:r>
              <w:rPr>
                <w:rFonts w:ascii="Courier New" w:cs="Courier New" w:eastAsia="Courier New" w:hAnsi="Courier New"/>
                <w:sz w:val="14"/>
                <w:szCs w:val="14"/>
                <w:color w:val="auto"/>
              </w:rPr>
              <w:t>taxes</w:t>
            </w:r>
          </w:p>
        </w:tc>
        <w:tc>
          <w:tcPr>
            <w:tcW w:w="15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(378.5)</w:t>
            </w:r>
          </w:p>
        </w:tc>
        <w:tc>
          <w:tcPr>
            <w:tcW w:w="13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(145.3)</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743.5</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(36.3)</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183.4</w:t>
            </w:r>
          </w:p>
        </w:tc>
      </w:tr>
      <w:tr>
        <w:trPr>
          <w:trHeight w:val="331"/>
        </w:trPr>
        <w:tc>
          <w:tcPr>
            <w:tcW w:w="1980" w:type="dxa"/>
            <w:vAlign w:val="bottom"/>
          </w:tcPr>
          <w:p>
            <w:pPr>
              <w:ind w:left="360"/>
              <w:spacing w:after="0"/>
              <w:rPr>
                <w:sz w:val="20"/>
                <w:szCs w:val="20"/>
                <w:color w:val="auto"/>
              </w:rPr>
            </w:pPr>
            <w:r>
              <w:rPr>
                <w:rFonts w:ascii="Courier New" w:cs="Courier New" w:eastAsia="Courier New" w:hAnsi="Courier New"/>
                <w:sz w:val="14"/>
                <w:szCs w:val="14"/>
                <w:color w:val="auto"/>
              </w:rPr>
              <w:t>Benefit (provision)</w:t>
            </w:r>
          </w:p>
        </w:tc>
        <w:tc>
          <w:tcPr>
            <w:tcW w:w="21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for income taxes</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151.5</w:t>
            </w:r>
          </w:p>
        </w:tc>
        <w:tc>
          <w:tcPr>
            <w:tcW w:w="13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63.1</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(684.8)</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(470.2)</w:t>
            </w:r>
          </w:p>
        </w:tc>
      </w:tr>
      <w:tr>
        <w:trPr>
          <w:trHeight w:val="166"/>
        </w:trPr>
        <w:tc>
          <w:tcPr>
            <w:tcW w:w="410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Equity in loss of affiliated</w:t>
            </w:r>
          </w:p>
        </w:tc>
        <w:tc>
          <w:tcPr>
            <w:tcW w:w="1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1980" w:type="dxa"/>
            <w:vAlign w:val="bottom"/>
          </w:tcPr>
          <w:p>
            <w:pPr>
              <w:ind w:left="520"/>
              <w:spacing w:after="0"/>
              <w:rPr>
                <w:sz w:val="20"/>
                <w:szCs w:val="20"/>
                <w:color w:val="auto"/>
              </w:rPr>
            </w:pPr>
            <w:r>
              <w:rPr>
                <w:rFonts w:ascii="Courier New" w:cs="Courier New" w:eastAsia="Courier New" w:hAnsi="Courier New"/>
                <w:sz w:val="14"/>
                <w:szCs w:val="14"/>
                <w:color w:val="auto"/>
              </w:rPr>
              <w:t>companies, net of</w:t>
            </w:r>
          </w:p>
        </w:tc>
        <w:tc>
          <w:tcPr>
            <w:tcW w:w="560" w:type="dxa"/>
            <w:vAlign w:val="bottom"/>
          </w:tcPr>
          <w:p>
            <w:pPr>
              <w:ind w:left="100"/>
              <w:spacing w:after="0"/>
              <w:rPr>
                <w:sz w:val="20"/>
                <w:szCs w:val="20"/>
                <w:color w:val="auto"/>
              </w:rPr>
            </w:pPr>
            <w:r>
              <w:rPr>
                <w:rFonts w:ascii="Courier New" w:cs="Courier New" w:eastAsia="Courier New" w:hAnsi="Courier New"/>
                <w:sz w:val="14"/>
                <w:szCs w:val="14"/>
                <w:color w:val="auto"/>
              </w:rPr>
              <w:t>tax</w:t>
            </w:r>
          </w:p>
        </w:tc>
        <w:tc>
          <w:tcPr>
            <w:tcW w:w="1560" w:type="dxa"/>
            <w:vAlign w:val="bottom"/>
          </w:tcPr>
          <w:p>
            <w:pPr>
              <w:spacing w:after="0"/>
              <w:rPr>
                <w:sz w:val="14"/>
                <w:szCs w:val="14"/>
                <w:color w:val="auto"/>
              </w:rPr>
            </w:pPr>
          </w:p>
        </w:tc>
        <w:tc>
          <w:tcPr>
            <w:tcW w:w="15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(619.5)</w:t>
            </w:r>
          </w:p>
        </w:tc>
        <w:tc>
          <w:tcPr>
            <w:tcW w:w="13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(545.4)</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(99.1)</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1,192.6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(71.4)</w:t>
            </w:r>
          </w:p>
        </w:tc>
      </w:tr>
      <w:tr>
        <w:trPr>
          <w:trHeight w:val="166"/>
        </w:trPr>
        <w:tc>
          <w:tcPr>
            <w:tcW w:w="1980" w:type="dxa"/>
            <w:vAlign w:val="bottom"/>
          </w:tcPr>
          <w:p>
            <w:pPr>
              <w:ind w:left="360"/>
              <w:spacing w:after="0"/>
              <w:rPr>
                <w:sz w:val="20"/>
                <w:szCs w:val="20"/>
                <w:color w:val="auto"/>
              </w:rPr>
            </w:pPr>
            <w:r>
              <w:rPr>
                <w:rFonts w:ascii="Courier New" w:cs="Courier New" w:eastAsia="Courier New" w:hAnsi="Courier New"/>
                <w:sz w:val="14"/>
                <w:szCs w:val="14"/>
                <w:color w:val="auto"/>
              </w:rPr>
              <w:t>Minority interest,</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net of</w:t>
            </w:r>
          </w:p>
        </w:tc>
        <w:tc>
          <w:tcPr>
            <w:tcW w:w="1560" w:type="dxa"/>
            <w:vAlign w:val="bottom"/>
          </w:tcPr>
          <w:p>
            <w:pPr>
              <w:ind w:left="60"/>
              <w:spacing w:after="0"/>
              <w:rPr>
                <w:sz w:val="20"/>
                <w:szCs w:val="20"/>
                <w:color w:val="auto"/>
              </w:rPr>
            </w:pPr>
            <w:r>
              <w:rPr>
                <w:rFonts w:ascii="Courier New" w:cs="Courier New" w:eastAsia="Courier New" w:hAnsi="Courier New"/>
                <w:sz w:val="14"/>
                <w:szCs w:val="14"/>
                <w:color w:val="auto"/>
              </w:rPr>
              <w:t>tax</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8.1</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(44.1)</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(36.0)</w:t>
            </w:r>
          </w:p>
        </w:tc>
      </w:tr>
    </w:tbl>
    <w:p>
      <w:pPr>
        <w:spacing w:after="0" w:line="4" w:lineRule="exact"/>
        <w:rPr>
          <w:sz w:val="20"/>
          <w:szCs w:val="20"/>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loss before cumulative effect of change in</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1060" w:type="dxa"/>
            <w:vAlign w:val="bottom"/>
          </w:tcPr>
          <w:p>
            <w:pPr>
              <w:ind w:left="160"/>
              <w:spacing w:after="0"/>
              <w:rPr>
                <w:sz w:val="20"/>
                <w:szCs w:val="20"/>
                <w:color w:val="auto"/>
              </w:rPr>
            </w:pPr>
            <w:r>
              <w:rPr>
                <w:rFonts w:ascii="Courier New" w:cs="Courier New" w:eastAsia="Courier New" w:hAnsi="Courier New"/>
                <w:sz w:val="14"/>
                <w:szCs w:val="14"/>
                <w:color w:val="auto"/>
              </w:rPr>
              <w:t>accounting</w:t>
            </w:r>
          </w:p>
        </w:tc>
        <w:tc>
          <w:tcPr>
            <w:tcW w:w="2900" w:type="dxa"/>
            <w:vAlign w:val="bottom"/>
          </w:tcPr>
          <w:p>
            <w:pPr>
              <w:ind w:left="60"/>
              <w:spacing w:after="0"/>
              <w:rPr>
                <w:sz w:val="20"/>
                <w:szCs w:val="20"/>
                <w:color w:val="auto"/>
              </w:rPr>
            </w:pPr>
            <w:r>
              <w:rPr>
                <w:rFonts w:ascii="Courier New" w:cs="Courier New" w:eastAsia="Courier New" w:hAnsi="Courier New"/>
                <w:sz w:val="14"/>
                <w:szCs w:val="14"/>
                <w:color w:val="auto"/>
              </w:rPr>
              <w:t>principle</w:t>
            </w:r>
          </w:p>
        </w:tc>
        <w:tc>
          <w:tcPr>
            <w:tcW w:w="13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(846.5)</w:t>
            </w:r>
          </w:p>
        </w:tc>
        <w:tc>
          <w:tcPr>
            <w:tcW w:w="13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(619.5)</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(84.5)</w:t>
            </w: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1,156.3</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(394.2)</w:t>
            </w:r>
          </w:p>
        </w:tc>
      </w:tr>
      <w:tr>
        <w:trPr>
          <w:trHeight w:val="166"/>
        </w:trPr>
        <w:tc>
          <w:tcPr>
            <w:tcW w:w="3960" w:type="dxa"/>
            <w:vAlign w:val="bottom"/>
            <w:gridSpan w:val="2"/>
          </w:tcPr>
          <w:p>
            <w:pPr>
              <w:spacing w:after="0"/>
              <w:rPr>
                <w:sz w:val="20"/>
                <w:szCs w:val="20"/>
                <w:color w:val="auto"/>
              </w:rPr>
            </w:pPr>
            <w:r>
              <w:rPr>
                <w:rFonts w:ascii="Courier New" w:cs="Courier New" w:eastAsia="Courier New" w:hAnsi="Courier New"/>
                <w:sz w:val="14"/>
                <w:szCs w:val="14"/>
                <w:color w:val="auto"/>
              </w:rPr>
              <w:t>Cumulative effect of change in accounting</w:t>
            </w: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6"/>
        </w:trPr>
        <w:tc>
          <w:tcPr>
            <w:tcW w:w="1060" w:type="dxa"/>
            <w:vAlign w:val="bottom"/>
          </w:tcPr>
          <w:p>
            <w:pPr>
              <w:ind w:left="160"/>
              <w:spacing w:after="0"/>
              <w:rPr>
                <w:sz w:val="20"/>
                <w:szCs w:val="20"/>
                <w:color w:val="auto"/>
              </w:rPr>
            </w:pPr>
            <w:r>
              <w:rPr>
                <w:rFonts w:ascii="Courier New" w:cs="Courier New" w:eastAsia="Courier New" w:hAnsi="Courier New"/>
                <w:sz w:val="14"/>
                <w:szCs w:val="14"/>
                <w:color w:val="auto"/>
              </w:rPr>
              <w:t>principle,</w:t>
            </w:r>
          </w:p>
        </w:tc>
        <w:tc>
          <w:tcPr>
            <w:tcW w:w="2900" w:type="dxa"/>
            <w:vAlign w:val="bottom"/>
          </w:tcPr>
          <w:p>
            <w:pPr>
              <w:ind w:left="60"/>
              <w:spacing w:after="0"/>
              <w:rPr>
                <w:sz w:val="20"/>
                <w:szCs w:val="20"/>
                <w:color w:val="auto"/>
              </w:rPr>
            </w:pPr>
            <w:r>
              <w:rPr>
                <w:rFonts w:ascii="Courier New" w:cs="Courier New" w:eastAsia="Courier New" w:hAnsi="Courier New"/>
                <w:sz w:val="14"/>
                <w:szCs w:val="14"/>
                <w:color w:val="auto"/>
              </w:rPr>
              <w:t>net of tax</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(452.3)</w:t>
            </w: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(452.3)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460" w:val="left"/>
          <w:tab w:leader="none" w:pos="4720" w:val="left"/>
          <w:tab w:leader="none" w:pos="5760" w:val="left"/>
          <w:tab w:leader="none" w:pos="7300" w:val="left"/>
          <w:tab w:leader="none" w:pos="8600" w:val="left"/>
          <w:tab w:leader="none" w:pos="10160" w:val="left"/>
        </w:tabs>
        <w:rPr>
          <w:sz w:val="20"/>
          <w:szCs w:val="20"/>
          <w:color w:val="auto"/>
        </w:rPr>
      </w:pPr>
      <w:r>
        <w:rPr>
          <w:rFonts w:ascii="Courier New" w:cs="Courier New" w:eastAsia="Courier New" w:hAnsi="Courier New"/>
          <w:sz w:val="14"/>
          <w:szCs w:val="14"/>
          <w:color w:val="auto"/>
        </w:rPr>
        <w:t>Net loss</w:t>
      </w:r>
      <w:r>
        <w:rPr>
          <w:sz w:val="20"/>
          <w:szCs w:val="20"/>
          <w:color w:val="auto"/>
        </w:rPr>
        <w:tab/>
      </w:r>
      <w:r>
        <w:rPr>
          <w:rFonts w:ascii="Courier New" w:cs="Courier New" w:eastAsia="Courier New" w:hAnsi="Courier New"/>
          <w:sz w:val="14"/>
          <w:szCs w:val="14"/>
          <w:color w:val="auto"/>
        </w:rPr>
        <w:t>$</w:t>
        <w:tab/>
        <w:t>(846.5)</w:t>
      </w:r>
      <w:r>
        <w:rPr>
          <w:sz w:val="20"/>
          <w:szCs w:val="20"/>
          <w:color w:val="auto"/>
        </w:rPr>
        <w:tab/>
      </w:r>
      <w:r>
        <w:rPr>
          <w:rFonts w:ascii="Courier New" w:cs="Courier New" w:eastAsia="Courier New" w:hAnsi="Courier New"/>
          <w:sz w:val="14"/>
          <w:szCs w:val="14"/>
          <w:color w:val="auto"/>
        </w:rPr>
        <w:t>$ (619.5)</w:t>
      </w:r>
      <w:r>
        <w:rPr>
          <w:sz w:val="20"/>
          <w:szCs w:val="20"/>
          <w:color w:val="auto"/>
        </w:rPr>
        <w:tab/>
      </w:r>
      <w:r>
        <w:rPr>
          <w:rFonts w:ascii="Courier New" w:cs="Courier New" w:eastAsia="Courier New" w:hAnsi="Courier New"/>
          <w:sz w:val="14"/>
          <w:szCs w:val="14"/>
          <w:color w:val="auto"/>
        </w:rPr>
        <w:t>$ (536.8)</w:t>
      </w:r>
      <w:r>
        <w:rPr>
          <w:sz w:val="20"/>
          <w:szCs w:val="20"/>
          <w:color w:val="auto"/>
        </w:rPr>
        <w:tab/>
      </w:r>
      <w:r>
        <w:rPr>
          <w:rFonts w:ascii="Courier New" w:cs="Courier New" w:eastAsia="Courier New" w:hAnsi="Courier New"/>
          <w:sz w:val="14"/>
          <w:szCs w:val="14"/>
          <w:color w:val="auto"/>
        </w:rPr>
        <w:t>$ 1,156.3</w:t>
      </w:r>
      <w:r>
        <w:rPr>
          <w:sz w:val="20"/>
          <w:szCs w:val="20"/>
          <w:color w:val="auto"/>
        </w:rPr>
        <w:tab/>
      </w:r>
      <w:r>
        <w:rPr>
          <w:rFonts w:ascii="Courier New" w:cs="Courier New" w:eastAsia="Courier New" w:hAnsi="Courier New"/>
          <w:sz w:val="14"/>
          <w:szCs w:val="14"/>
          <w:color w:val="auto"/>
        </w:rPr>
        <w:t>$ (846.5)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1460"/>
          </w:cols>
          <w:pgMar w:left="220" w:top="616" w:right="219" w:bottom="1440" w:gutter="0" w:footer="0" w:header="0"/>
        </w:sectPr>
      </w:pPr>
    </w:p>
    <w:bookmarkStart w:id="19" w:name="page20"/>
    <w:bookmarkEnd w:id="19"/>
    <w:p>
      <w:pPr>
        <w:jc w:val="center"/>
        <w:ind w:right="4480"/>
        <w:spacing w:after="0"/>
        <w:rPr>
          <w:sz w:val="20"/>
          <w:szCs w:val="20"/>
          <w:color w:val="auto"/>
        </w:rPr>
      </w:pPr>
      <w:r>
        <w:rPr>
          <w:rFonts w:ascii="Courier New" w:cs="Courier New" w:eastAsia="Courier New" w:hAnsi="Courier New"/>
          <w:sz w:val="14"/>
          <w:szCs w:val="14"/>
          <w:color w:val="auto"/>
        </w:rPr>
        <w:t>VIACOM INC. AND SUBSIDIARIES</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(Tabular dollars in millions, except per share amounts)</w:t>
      </w:r>
    </w:p>
    <w:p>
      <w:pPr>
        <w:spacing w:after="0" w:line="200" w:lineRule="exact"/>
        <w:rPr>
          <w:sz w:val="20"/>
          <w:szCs w:val="20"/>
          <w:color w:val="auto"/>
        </w:rPr>
      </w:pPr>
    </w:p>
    <w:p>
      <w:pPr>
        <w:spacing w:after="0" w:line="304" w:lineRule="exact"/>
        <w:rPr>
          <w:sz w:val="20"/>
          <w:szCs w:val="20"/>
          <w:color w:val="auto"/>
        </w:rPr>
      </w:pPr>
    </w:p>
    <w:p>
      <w:pPr>
        <w:jc w:val="center"/>
        <w:ind w:left="3640"/>
        <w:spacing w:after="0"/>
        <w:rPr>
          <w:sz w:val="20"/>
          <w:szCs w:val="20"/>
          <w:color w:val="auto"/>
        </w:rPr>
      </w:pPr>
      <w:r>
        <w:rPr>
          <w:rFonts w:ascii="Courier New" w:cs="Courier New" w:eastAsia="Courier New" w:hAnsi="Courier New"/>
          <w:sz w:val="14"/>
          <w:szCs w:val="14"/>
          <w:color w:val="auto"/>
        </w:rPr>
        <w:t>At September 30, 2001</w:t>
      </w:r>
    </w:p>
    <w:p>
      <w:pPr>
        <w:spacing w:after="0" w:line="7" w:lineRule="exact"/>
        <w:rPr>
          <w:sz w:val="20"/>
          <w:szCs w:val="20"/>
          <w:color w:val="auto"/>
        </w:rPr>
      </w:pPr>
    </w:p>
    <w:p>
      <w:pPr>
        <w:jc w:val="center"/>
        <w:ind w:left="35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left="3540"/>
        <w:spacing w:after="0"/>
        <w:rPr>
          <w:sz w:val="20"/>
          <w:szCs w:val="20"/>
          <w:color w:val="auto"/>
        </w:rPr>
      </w:pPr>
      <w:r>
        <w:rPr>
          <w:rFonts w:ascii="Courier New" w:cs="Courier New" w:eastAsia="Courier New" w:hAnsi="Courier New"/>
          <w:sz w:val="14"/>
          <w:szCs w:val="14"/>
          <w:color w:val="auto"/>
        </w:rPr>
        <w:t>Non-</w:t>
      </w:r>
    </w:p>
    <w:p>
      <w:pPr>
        <w:spacing w:after="0" w:line="7" w:lineRule="exact"/>
        <w:rPr>
          <w:sz w:val="20"/>
          <w:szCs w:val="20"/>
          <w:color w:val="auto"/>
        </w:rPr>
      </w:pPr>
    </w:p>
    <w:p>
      <w:pPr>
        <w:jc w:val="center"/>
        <w:ind w:left="3800"/>
        <w:spacing w:after="0"/>
        <w:tabs>
          <w:tab w:leader="none" w:pos="1020" w:val="left"/>
          <w:tab w:leader="none" w:pos="920" w:val="left"/>
          <w:tab w:leader="none" w:pos="2220" w:val="left"/>
        </w:tabs>
        <w:rPr>
          <w:sz w:val="20"/>
          <w:szCs w:val="20"/>
          <w:color w:val="auto"/>
        </w:rPr>
      </w:pPr>
      <w:r>
        <w:rPr>
          <w:rFonts w:ascii="Courier New" w:cs="Courier New" w:eastAsia="Courier New" w:hAnsi="Courier New"/>
          <w:sz w:val="14"/>
          <w:szCs w:val="14"/>
          <w:color w:val="auto"/>
        </w:rPr>
        <w:t>Viacom</w:t>
      </w:r>
      <w:r>
        <w:rPr>
          <w:sz w:val="20"/>
          <w:szCs w:val="20"/>
          <w:color w:val="auto"/>
        </w:rPr>
        <w:tab/>
      </w:r>
      <w:r>
        <w:rPr>
          <w:rFonts w:ascii="Courier New" w:cs="Courier New" w:eastAsia="Courier New" w:hAnsi="Courier New"/>
          <w:sz w:val="14"/>
          <w:szCs w:val="14"/>
          <w:color w:val="auto"/>
        </w:rPr>
        <w:t>Viacom</w:t>
      </w:r>
      <w:r>
        <w:rPr>
          <w:sz w:val="20"/>
          <w:szCs w:val="20"/>
          <w:color w:val="auto"/>
        </w:rPr>
        <w:tab/>
      </w:r>
      <w:r>
        <w:rPr>
          <w:rFonts w:ascii="Courier New" w:cs="Courier New" w:eastAsia="Courier New" w:hAnsi="Courier New"/>
          <w:sz w:val="14"/>
          <w:szCs w:val="14"/>
          <w:color w:val="auto"/>
        </w:rPr>
        <w:t>Guarantor</w:t>
      </w:r>
      <w:r>
        <w:rPr>
          <w:sz w:val="20"/>
          <w:szCs w:val="20"/>
          <w:color w:val="auto"/>
        </w:rPr>
        <w:tab/>
      </w:r>
      <w:r>
        <w:rPr>
          <w:rFonts w:ascii="Courier New" w:cs="Courier New" w:eastAsia="Courier New" w:hAnsi="Courier New"/>
          <w:sz w:val="14"/>
          <w:szCs w:val="14"/>
          <w:color w:val="auto"/>
        </w:rPr>
        <w:t>Viacom Inc.</w:t>
      </w:r>
    </w:p>
    <w:p>
      <w:pPr>
        <w:spacing w:after="0" w:line="7" w:lineRule="exact"/>
        <w:rPr>
          <w:sz w:val="20"/>
          <w:szCs w:val="20"/>
          <w:color w:val="auto"/>
        </w:rPr>
      </w:pPr>
    </w:p>
    <w:p>
      <w:pPr>
        <w:jc w:val="center"/>
        <w:ind w:left="3880"/>
        <w:spacing w:after="0"/>
        <w:tabs>
          <w:tab w:leader="none" w:pos="840" w:val="left"/>
          <w:tab w:leader="none" w:pos="500" w:val="left"/>
          <w:tab w:leader="none" w:pos="660" w:val="left"/>
          <w:tab w:leader="none" w:pos="400" w:val="left"/>
        </w:tabs>
        <w:rPr>
          <w:sz w:val="20"/>
          <w:szCs w:val="20"/>
          <w:color w:val="auto"/>
        </w:rPr>
      </w:pPr>
      <w:r>
        <w:rPr>
          <w:rFonts w:ascii="Courier New" w:cs="Courier New" w:eastAsia="Courier New" w:hAnsi="Courier New"/>
          <w:sz w:val="14"/>
          <w:szCs w:val="14"/>
          <w:color w:val="auto"/>
        </w:rPr>
        <w:t>Inc.</w:t>
      </w:r>
      <w:r>
        <w:rPr>
          <w:sz w:val="20"/>
          <w:szCs w:val="20"/>
          <w:color w:val="auto"/>
        </w:rPr>
        <w:tab/>
      </w:r>
      <w:r>
        <w:rPr>
          <w:rFonts w:ascii="Courier New" w:cs="Courier New" w:eastAsia="Courier New" w:hAnsi="Courier New"/>
          <w:sz w:val="14"/>
          <w:szCs w:val="14"/>
          <w:color w:val="auto"/>
        </w:rPr>
        <w:t>International</w:t>
      </w:r>
      <w:r>
        <w:rPr>
          <w:sz w:val="20"/>
          <w:szCs w:val="20"/>
          <w:color w:val="auto"/>
        </w:rPr>
        <w:tab/>
      </w:r>
      <w:r>
        <w:rPr>
          <w:rFonts w:ascii="Courier New" w:cs="Courier New" w:eastAsia="Courier New" w:hAnsi="Courier New"/>
          <w:sz w:val="14"/>
          <w:szCs w:val="14"/>
          <w:color w:val="auto"/>
        </w:rPr>
        <w:t>Affiliates</w:t>
      </w:r>
      <w:r>
        <w:rPr>
          <w:sz w:val="20"/>
          <w:szCs w:val="20"/>
          <w:color w:val="auto"/>
        </w:rPr>
        <w:tab/>
      </w:r>
      <w:r>
        <w:rPr>
          <w:rFonts w:ascii="Courier New" w:cs="Courier New" w:eastAsia="Courier New" w:hAnsi="Courier New"/>
          <w:sz w:val="14"/>
          <w:szCs w:val="14"/>
          <w:color w:val="auto"/>
        </w:rPr>
        <w:t>Eliminations</w:t>
      </w:r>
      <w:r>
        <w:rPr>
          <w:sz w:val="20"/>
          <w:szCs w:val="20"/>
          <w:color w:val="auto"/>
        </w:rPr>
        <w:tab/>
      </w:r>
      <w:r>
        <w:rPr>
          <w:rFonts w:ascii="Courier New" w:cs="Courier New" w:eastAsia="Courier New" w:hAnsi="Courier New"/>
          <w:sz w:val="14"/>
          <w:szCs w:val="14"/>
          <w:color w:val="auto"/>
        </w:rPr>
        <w:t>Consolidated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Cash and cash</w:t>
            </w:r>
          </w:p>
        </w:tc>
        <w:tc>
          <w:tcPr>
            <w:tcW w:w="1880" w:type="dxa"/>
            <w:vAlign w:val="bottom"/>
          </w:tcPr>
          <w:p>
            <w:pPr>
              <w:ind w:left="40"/>
              <w:spacing w:after="0"/>
              <w:rPr>
                <w:sz w:val="20"/>
                <w:szCs w:val="20"/>
                <w:color w:val="auto"/>
              </w:rPr>
            </w:pPr>
            <w:r>
              <w:rPr>
                <w:rFonts w:ascii="Courier New" w:cs="Courier New" w:eastAsia="Courier New" w:hAnsi="Courier New"/>
                <w:sz w:val="14"/>
                <w:szCs w:val="14"/>
                <w:color w:val="auto"/>
              </w:rPr>
              <w:t>equivalents</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123.9</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124.2</w:t>
            </w:r>
          </w:p>
        </w:tc>
        <w:tc>
          <w:tcPr>
            <w:tcW w:w="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277.2</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525.3</w:t>
            </w:r>
          </w:p>
        </w:tc>
      </w:tr>
      <w:tr>
        <w:trPr>
          <w:trHeight w:val="166"/>
        </w:trPr>
        <w:tc>
          <w:tcPr>
            <w:tcW w:w="3060" w:type="dxa"/>
            <w:vAlign w:val="bottom"/>
            <w:gridSpan w:val="2"/>
          </w:tcPr>
          <w:p>
            <w:pPr>
              <w:spacing w:after="0"/>
              <w:rPr>
                <w:sz w:val="20"/>
                <w:szCs w:val="20"/>
                <w:color w:val="auto"/>
              </w:rPr>
            </w:pPr>
            <w:r>
              <w:rPr>
                <w:rFonts w:ascii="Courier New" w:cs="Courier New" w:eastAsia="Courier New" w:hAnsi="Courier New"/>
                <w:sz w:val="14"/>
                <w:szCs w:val="14"/>
                <w:color w:val="auto"/>
              </w:rPr>
              <w:t>Receivables, net</w:t>
            </w:r>
          </w:p>
        </w:tc>
        <w:tc>
          <w:tcPr>
            <w:tcW w:w="122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61.3</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431.4</w:t>
            </w:r>
          </w:p>
        </w:tc>
        <w:tc>
          <w:tcPr>
            <w:tcW w:w="62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3,597.8</w:t>
            </w:r>
          </w:p>
        </w:tc>
        <w:tc>
          <w:tcPr>
            <w:tcW w:w="5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(247.2)</w:t>
            </w:r>
          </w:p>
        </w:tc>
        <w:tc>
          <w:tcPr>
            <w:tcW w:w="4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3,843.3</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Inventory</w:t>
            </w:r>
          </w:p>
        </w:tc>
        <w:tc>
          <w:tcPr>
            <w:tcW w:w="1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14.1</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263.6</w:t>
            </w:r>
          </w:p>
        </w:tc>
        <w:tc>
          <w:tcPr>
            <w:tcW w:w="62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1,222.5</w:t>
            </w:r>
          </w:p>
        </w:tc>
        <w:tc>
          <w:tcPr>
            <w:tcW w:w="52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1,500.2</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Other current</w:t>
            </w:r>
          </w:p>
        </w:tc>
        <w:tc>
          <w:tcPr>
            <w:tcW w:w="1880" w:type="dxa"/>
            <w:vAlign w:val="bottom"/>
          </w:tcPr>
          <w:p>
            <w:pPr>
              <w:ind w:left="40"/>
              <w:spacing w:after="0"/>
              <w:rPr>
                <w:sz w:val="20"/>
                <w:szCs w:val="20"/>
                <w:color w:val="auto"/>
              </w:rPr>
            </w:pPr>
            <w:r>
              <w:rPr>
                <w:rFonts w:ascii="Courier New" w:cs="Courier New" w:eastAsia="Courier New" w:hAnsi="Courier New"/>
                <w:sz w:val="14"/>
                <w:szCs w:val="14"/>
                <w:color w:val="auto"/>
              </w:rPr>
              <w:t>assets</w:t>
            </w:r>
          </w:p>
        </w:tc>
        <w:tc>
          <w:tcPr>
            <w:tcW w:w="122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56.7</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432.2</w:t>
            </w:r>
          </w:p>
        </w:tc>
        <w:tc>
          <w:tcPr>
            <w:tcW w:w="62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771.8</w:t>
            </w:r>
          </w:p>
        </w:tc>
        <w:tc>
          <w:tcPr>
            <w:tcW w:w="5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(53.8)</w:t>
            </w:r>
          </w:p>
        </w:tc>
        <w:tc>
          <w:tcPr>
            <w:tcW w:w="4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1,206.9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2720" w:type="dxa"/>
            <w:vAlign w:val="bottom"/>
          </w:tcPr>
          <w:p>
            <w:pPr>
              <w:spacing w:after="0"/>
              <w:rPr>
                <w:sz w:val="20"/>
                <w:szCs w:val="20"/>
                <w:color w:val="auto"/>
              </w:rPr>
            </w:pPr>
            <w:r>
              <w:rPr>
                <w:rFonts w:ascii="Courier New" w:cs="Courier New" w:eastAsia="Courier New" w:hAnsi="Courier New"/>
                <w:sz w:val="14"/>
                <w:szCs w:val="14"/>
                <w:color w:val="auto"/>
              </w:rPr>
              <w:t>Total current assets</w:t>
            </w:r>
          </w:p>
        </w:tc>
        <w:tc>
          <w:tcPr>
            <w:tcW w:w="1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256.0</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1,251.4</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5,869.3</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(301.0)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7,075.7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Property and equipment</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114.9</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997.4</w:t>
            </w:r>
          </w:p>
        </w:tc>
        <w:tc>
          <w:tcPr>
            <w:tcW w:w="17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8,191.0</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9,303.3</w:t>
            </w:r>
          </w:p>
        </w:tc>
      </w:tr>
      <w:tr>
        <w:trPr>
          <w:trHeight w:val="166"/>
        </w:trPr>
        <w:tc>
          <w:tcPr>
            <w:tcW w:w="3920" w:type="dxa"/>
            <w:vAlign w:val="bottom"/>
          </w:tcPr>
          <w:p>
            <w:pPr>
              <w:ind w:left="520"/>
              <w:spacing w:after="0"/>
              <w:rPr>
                <w:sz w:val="20"/>
                <w:szCs w:val="20"/>
                <w:color w:val="auto"/>
              </w:rPr>
            </w:pPr>
            <w:r>
              <w:rPr>
                <w:rFonts w:ascii="Courier New" w:cs="Courier New" w:eastAsia="Courier New" w:hAnsi="Courier New"/>
                <w:sz w:val="14"/>
                <w:szCs w:val="14"/>
                <w:color w:val="auto"/>
              </w:rPr>
              <w:t>Less accumulated depreciation and</w:t>
            </w:r>
          </w:p>
        </w:tc>
        <w:tc>
          <w:tcPr>
            <w:tcW w:w="1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920" w:type="dxa"/>
            <w:vAlign w:val="bottom"/>
          </w:tcPr>
          <w:p>
            <w:pPr>
              <w:ind w:left="780"/>
              <w:spacing w:after="0"/>
              <w:rPr>
                <w:sz w:val="20"/>
                <w:szCs w:val="20"/>
                <w:color w:val="auto"/>
              </w:rPr>
            </w:pPr>
            <w:r>
              <w:rPr>
                <w:rFonts w:ascii="Courier New" w:cs="Courier New" w:eastAsia="Courier New" w:hAnsi="Courier New"/>
                <w:sz w:val="14"/>
                <w:szCs w:val="14"/>
                <w:color w:val="auto"/>
              </w:rPr>
              <w:t>amortization</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32.1</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321.1</w:t>
            </w:r>
          </w:p>
        </w:tc>
        <w:tc>
          <w:tcPr>
            <w:tcW w:w="17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2,504.4</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2,857.6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700"/>
        <w:spacing w:after="0"/>
        <w:tabs>
          <w:tab w:leader="none" w:pos="4560" w:val="left"/>
          <w:tab w:leader="none" w:pos="5940" w:val="left"/>
          <w:tab w:leader="none" w:pos="7480" w:val="left"/>
          <w:tab w:leader="none" w:pos="9200" w:val="left"/>
          <w:tab w:leader="none" w:pos="10500" w:val="left"/>
        </w:tabs>
        <w:rPr>
          <w:sz w:val="20"/>
          <w:szCs w:val="20"/>
          <w:color w:val="auto"/>
        </w:rPr>
      </w:pPr>
      <w:r>
        <w:rPr>
          <w:rFonts w:ascii="Courier New" w:cs="Courier New" w:eastAsia="Courier New" w:hAnsi="Courier New"/>
          <w:sz w:val="14"/>
          <w:szCs w:val="14"/>
          <w:color w:val="auto"/>
        </w:rPr>
        <w:t>Net property and equipment</w:t>
      </w:r>
      <w:r>
        <w:rPr>
          <w:sz w:val="20"/>
          <w:szCs w:val="20"/>
          <w:color w:val="auto"/>
        </w:rPr>
        <w:tab/>
      </w:r>
      <w:r>
        <w:rPr>
          <w:rFonts w:ascii="Courier New" w:cs="Courier New" w:eastAsia="Courier New" w:hAnsi="Courier New"/>
          <w:sz w:val="14"/>
          <w:szCs w:val="14"/>
          <w:color w:val="auto"/>
        </w:rPr>
        <w:t>82.8</w:t>
      </w:r>
      <w:r>
        <w:rPr>
          <w:sz w:val="20"/>
          <w:szCs w:val="20"/>
          <w:color w:val="auto"/>
        </w:rPr>
        <w:tab/>
      </w:r>
      <w:r>
        <w:rPr>
          <w:rFonts w:ascii="Courier New" w:cs="Courier New" w:eastAsia="Courier New" w:hAnsi="Courier New"/>
          <w:sz w:val="14"/>
          <w:szCs w:val="14"/>
          <w:color w:val="auto"/>
        </w:rPr>
        <w:t>676.3</w:t>
      </w:r>
      <w:r>
        <w:rPr>
          <w:sz w:val="20"/>
          <w:szCs w:val="20"/>
          <w:color w:val="auto"/>
        </w:rPr>
        <w:tab/>
      </w:r>
      <w:r>
        <w:rPr>
          <w:rFonts w:ascii="Courier New" w:cs="Courier New" w:eastAsia="Courier New" w:hAnsi="Courier New"/>
          <w:sz w:val="14"/>
          <w:szCs w:val="14"/>
          <w:color w:val="auto"/>
        </w:rPr>
        <w:t>5,686.6</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6,445.7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tcPr>
          <w:p>
            <w:pPr>
              <w:spacing w:after="0"/>
              <w:rPr>
                <w:sz w:val="20"/>
                <w:szCs w:val="20"/>
                <w:color w:val="auto"/>
              </w:rPr>
            </w:pPr>
            <w:r>
              <w:rPr>
                <w:rFonts w:ascii="Courier New" w:cs="Courier New" w:eastAsia="Courier New" w:hAnsi="Courier New"/>
                <w:sz w:val="14"/>
                <w:szCs w:val="14"/>
                <w:color w:val="auto"/>
              </w:rPr>
              <w:t>Inventory</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11.1</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547.0</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3,111.7</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(28.2)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3,641.6</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Intangibles, at amortized cost</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259.7</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106.2</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70,947.9</w:t>
            </w:r>
          </w:p>
        </w:tc>
        <w:tc>
          <w:tcPr>
            <w:tcW w:w="16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71,313.8</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Investments in consolidated subsidiaries</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65,695.1</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14,690.9</w:t>
            </w:r>
          </w:p>
        </w:tc>
        <w:tc>
          <w:tcPr>
            <w:tcW w:w="15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(80,386.0)</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207.7</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1,068.9</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1,953.9</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(124.6)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3,105.9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2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66,512.4</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$18,340.7</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87,569.4</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(80,839.8)</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  91,582.7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gridSpan w:val="2"/>
          </w:tcPr>
          <w:p>
            <w:pPr>
              <w:spacing w:after="0"/>
              <w:rPr>
                <w:sz w:val="20"/>
                <w:szCs w:val="20"/>
                <w:color w:val="auto"/>
              </w:rPr>
            </w:pPr>
            <w:r>
              <w:rPr>
                <w:rFonts w:ascii="Courier New" w:cs="Courier New" w:eastAsia="Courier New" w:hAnsi="Courier New"/>
                <w:sz w:val="14"/>
                <w:szCs w:val="14"/>
                <w:color w:val="auto"/>
              </w:rPr>
              <w:t>Liabilities and Stockholders' Equity</w:t>
            </w: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3540" w:type="dxa"/>
            <w:vAlign w:val="bottom"/>
            <w:gridSpan w:val="2"/>
          </w:tcPr>
          <w:p>
            <w:pPr>
              <w:spacing w:after="0"/>
              <w:rPr>
                <w:sz w:val="20"/>
                <w:szCs w:val="20"/>
                <w:color w:val="auto"/>
              </w:rPr>
            </w:pPr>
            <w:r>
              <w:rPr>
                <w:rFonts w:ascii="Courier New" w:cs="Courier New" w:eastAsia="Courier New" w:hAnsi="Courier New"/>
                <w:sz w:val="14"/>
                <w:szCs w:val="14"/>
                <w:color w:val="auto"/>
              </w:rPr>
              <w:t>Accounts payable</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29.9</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1,009.6</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(58.9)</w:t>
            </w:r>
          </w:p>
        </w:tc>
        <w:tc>
          <w:tcPr>
            <w:tcW w:w="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980.6</w:t>
            </w:r>
          </w:p>
        </w:tc>
      </w:tr>
      <w:tr>
        <w:trPr>
          <w:trHeight w:val="166"/>
        </w:trPr>
        <w:tc>
          <w:tcPr>
            <w:tcW w:w="3540" w:type="dxa"/>
            <w:vAlign w:val="bottom"/>
            <w:gridSpan w:val="2"/>
          </w:tcPr>
          <w:p>
            <w:pPr>
              <w:spacing w:after="0"/>
              <w:rPr>
                <w:sz w:val="20"/>
                <w:szCs w:val="20"/>
                <w:color w:val="auto"/>
              </w:rPr>
            </w:pPr>
            <w:r>
              <w:rPr>
                <w:rFonts w:ascii="Courier New" w:cs="Courier New" w:eastAsia="Courier New" w:hAnsi="Courier New"/>
                <w:sz w:val="14"/>
                <w:szCs w:val="14"/>
                <w:color w:val="auto"/>
              </w:rPr>
              <w:t>Accrued expenses and other</w:t>
            </w:r>
          </w:p>
        </w:tc>
        <w:tc>
          <w:tcPr>
            <w:tcW w:w="74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238.3</w:t>
            </w:r>
          </w:p>
        </w:tc>
        <w:tc>
          <w:tcPr>
            <w:tcW w:w="480" w:type="dxa"/>
            <w:vAlign w:val="bottom"/>
          </w:tcPr>
          <w:p>
            <w:pPr>
              <w:spacing w:after="0"/>
              <w:rPr>
                <w:sz w:val="14"/>
                <w:szCs w:val="1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1,272.4</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3,787.1</w:t>
            </w:r>
          </w:p>
        </w:tc>
        <w:tc>
          <w:tcPr>
            <w:tcW w:w="5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(246.4)</w:t>
            </w:r>
          </w:p>
        </w:tc>
        <w:tc>
          <w:tcPr>
            <w:tcW w:w="4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5,051.4</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Accrued</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participations</w:t>
            </w:r>
          </w:p>
        </w:tc>
        <w:tc>
          <w:tcPr>
            <w:tcW w:w="740" w:type="dxa"/>
            <w:vAlign w:val="bottom"/>
          </w:tcPr>
          <w:p>
            <w:pPr>
              <w:spacing w:after="0"/>
              <w:rPr>
                <w:sz w:val="14"/>
                <w:szCs w:val="14"/>
                <w:color w:val="auto"/>
              </w:rPr>
            </w:pPr>
          </w:p>
        </w:tc>
        <w:tc>
          <w:tcPr>
            <w:tcW w:w="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0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1,375.9</w:t>
            </w:r>
          </w:p>
        </w:tc>
        <w:tc>
          <w:tcPr>
            <w:tcW w:w="5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(31.5)</w:t>
            </w:r>
          </w:p>
        </w:tc>
        <w:tc>
          <w:tcPr>
            <w:tcW w:w="4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1,344.4</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portion of long-term debt</w:t>
            </w:r>
          </w:p>
        </w:tc>
        <w:tc>
          <w:tcPr>
            <w:tcW w:w="740" w:type="dxa"/>
            <w:vAlign w:val="bottom"/>
          </w:tcPr>
          <w:p>
            <w:pPr>
              <w:spacing w:after="0"/>
              <w:rPr>
                <w:sz w:val="14"/>
                <w:szCs w:val="14"/>
                <w:color w:val="auto"/>
              </w:rPr>
            </w:pPr>
          </w:p>
        </w:tc>
        <w:tc>
          <w:tcPr>
            <w:tcW w:w="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12.7</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253.7</w:t>
            </w:r>
          </w:p>
        </w:tc>
        <w:tc>
          <w:tcPr>
            <w:tcW w:w="52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266.4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3000" w:type="dxa"/>
            <w:vAlign w:val="bottom"/>
          </w:tcPr>
          <w:p>
            <w:pPr>
              <w:spacing w:after="0"/>
              <w:rPr>
                <w:sz w:val="20"/>
                <w:szCs w:val="20"/>
                <w:color w:val="auto"/>
              </w:rPr>
            </w:pPr>
            <w:r>
              <w:rPr>
                <w:rFonts w:ascii="Courier New" w:cs="Courier New" w:eastAsia="Courier New" w:hAnsi="Courier New"/>
                <w:sz w:val="14"/>
                <w:szCs w:val="14"/>
                <w:color w:val="auto"/>
              </w:rPr>
              <w:t>Total current liabilities</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238.3</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1,315.0</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6,426.3</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(336.8)</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7,642.8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17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9,464.4</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718.3</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1,914.0</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(371.7)</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11,725.0</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Other liabilities</w:t>
            </w:r>
          </w:p>
        </w:tc>
        <w:tc>
          <w:tcPr>
            <w:tcW w:w="1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(10,301.1)</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4,066.1</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10,125.0</w:t>
            </w:r>
          </w:p>
        </w:tc>
        <w:tc>
          <w:tcPr>
            <w:tcW w:w="1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4,292.9</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8,182.9</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17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153.6</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1,054.9</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1,208.5</w:t>
            </w:r>
          </w:p>
        </w:tc>
      </w:tr>
      <w:tr>
        <w:trPr>
          <w:trHeight w:val="331"/>
        </w:trPr>
        <w:tc>
          <w:tcPr>
            <w:tcW w:w="362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1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6"/>
        </w:trPr>
        <w:tc>
          <w:tcPr>
            <w:tcW w:w="3620" w:type="dxa"/>
            <w:vAlign w:val="bottom"/>
          </w:tcPr>
          <w:p>
            <w:pPr>
              <w:ind w:left="440"/>
              <w:spacing w:after="0"/>
              <w:rPr>
                <w:sz w:val="20"/>
                <w:szCs w:val="20"/>
                <w:color w:val="auto"/>
              </w:rPr>
            </w:pPr>
            <w:r>
              <w:rPr>
                <w:rFonts w:ascii="Courier New" w:cs="Courier New" w:eastAsia="Courier New" w:hAnsi="Courier New"/>
                <w:sz w:val="14"/>
                <w:szCs w:val="14"/>
                <w:color w:val="auto"/>
              </w:rPr>
              <w:t>Preferred Stock</w:t>
            </w:r>
          </w:p>
        </w:tc>
        <w:tc>
          <w:tcPr>
            <w:tcW w:w="17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106.1</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20.4</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(126.5)</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ind w:left="440"/>
              <w:spacing w:after="0"/>
              <w:rPr>
                <w:sz w:val="20"/>
                <w:szCs w:val="20"/>
                <w:color w:val="auto"/>
              </w:rPr>
            </w:pPr>
            <w:r>
              <w:rPr>
                <w:rFonts w:ascii="Courier New" w:cs="Courier New" w:eastAsia="Courier New" w:hAnsi="Courier New"/>
                <w:sz w:val="14"/>
                <w:szCs w:val="14"/>
                <w:color w:val="auto"/>
              </w:rPr>
              <w:t>Common Stock</w:t>
            </w:r>
          </w:p>
        </w:tc>
        <w:tc>
          <w:tcPr>
            <w:tcW w:w="17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18.4</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188.5</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725.3</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(913.8)</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18.4</w:t>
            </w:r>
          </w:p>
        </w:tc>
      </w:tr>
      <w:tr>
        <w:trPr>
          <w:trHeight w:val="166"/>
        </w:trPr>
        <w:tc>
          <w:tcPr>
            <w:tcW w:w="3620" w:type="dxa"/>
            <w:vAlign w:val="bottom"/>
          </w:tcPr>
          <w:p>
            <w:pPr>
              <w:ind w:left="440"/>
              <w:spacing w:after="0"/>
              <w:rPr>
                <w:sz w:val="20"/>
                <w:szCs w:val="20"/>
                <w:color w:val="auto"/>
              </w:rPr>
            </w:pPr>
            <w:r>
              <w:rPr>
                <w:rFonts w:ascii="Courier New" w:cs="Courier New" w:eastAsia="Courier New" w:hAnsi="Courier New"/>
                <w:sz w:val="14"/>
                <w:szCs w:val="14"/>
                <w:color w:val="auto"/>
              </w:rPr>
              <w:t>Additional paid-in capital</w:t>
            </w:r>
          </w:p>
        </w:tc>
        <w:tc>
          <w:tcPr>
            <w:tcW w:w="17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64,817.2</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6,538.9</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68,168.3</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(74,707.2)</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64,817.2</w:t>
            </w:r>
          </w:p>
        </w:tc>
      </w:tr>
      <w:tr>
        <w:trPr>
          <w:trHeight w:val="166"/>
        </w:trPr>
        <w:tc>
          <w:tcPr>
            <w:tcW w:w="3620" w:type="dxa"/>
            <w:vAlign w:val="bottom"/>
          </w:tcPr>
          <w:p>
            <w:pPr>
              <w:ind w:left="440"/>
              <w:spacing w:after="0"/>
              <w:rPr>
                <w:sz w:val="20"/>
                <w:szCs w:val="20"/>
                <w:color w:val="auto"/>
              </w:rPr>
            </w:pPr>
            <w:r>
              <w:rPr>
                <w:rFonts w:ascii="Courier New" w:cs="Courier New" w:eastAsia="Courier New" w:hAnsi="Courier New"/>
                <w:sz w:val="14"/>
                <w:szCs w:val="14"/>
                <w:color w:val="auto"/>
              </w:rPr>
              <w:t>Retained earnings</w:t>
            </w:r>
          </w:p>
        </w:tc>
        <w:tc>
          <w:tcPr>
            <w:tcW w:w="17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5,342.0</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5,211.1</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(624.9)</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(8,677.4)</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1,250.8</w:t>
            </w:r>
          </w:p>
        </w:tc>
      </w:tr>
      <w:tr>
        <w:trPr>
          <w:trHeight w:val="166"/>
        </w:trPr>
        <w:tc>
          <w:tcPr>
            <w:tcW w:w="3620" w:type="dxa"/>
            <w:vAlign w:val="bottom"/>
          </w:tcPr>
          <w:p>
            <w:pPr>
              <w:ind w:left="440"/>
              <w:spacing w:after="0"/>
              <w:rPr>
                <w:sz w:val="20"/>
                <w:szCs w:val="20"/>
                <w:color w:val="auto"/>
              </w:rPr>
            </w:pPr>
            <w:r>
              <w:rPr>
                <w:rFonts w:ascii="Courier New" w:cs="Courier New" w:eastAsia="Courier New" w:hAnsi="Courier New"/>
                <w:sz w:val="14"/>
                <w:szCs w:val="14"/>
                <w:color w:val="auto"/>
              </w:rPr>
              <w:t>Accumulated other comprehensive</w:t>
            </w:r>
          </w:p>
        </w:tc>
        <w:tc>
          <w:tcPr>
            <w:tcW w:w="17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620" w:type="dxa"/>
            <w:vAlign w:val="bottom"/>
          </w:tcPr>
          <w:p>
            <w:pPr>
              <w:ind w:left="620"/>
              <w:spacing w:after="0"/>
              <w:rPr>
                <w:sz w:val="20"/>
                <w:szCs w:val="20"/>
                <w:color w:val="auto"/>
              </w:rPr>
            </w:pPr>
            <w:r>
              <w:rPr>
                <w:rFonts w:ascii="Courier New" w:cs="Courier New" w:eastAsia="Courier New" w:hAnsi="Courier New"/>
                <w:sz w:val="14"/>
                <w:szCs w:val="14"/>
                <w:color w:val="auto"/>
              </w:rPr>
              <w:t>income (loss)</w:t>
            </w:r>
          </w:p>
        </w:tc>
        <w:tc>
          <w:tcPr>
            <w:tcW w:w="17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3.1</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43.1</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(239.9)</w:t>
            </w:r>
          </w:p>
        </w:tc>
        <w:tc>
          <w:tcPr>
            <w:tcW w:w="1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(193.0)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70,180.7</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12,087.7</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68,049.2</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(84,424.2)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65,893.4</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Less treasury stock, at cost</w:t>
            </w:r>
          </w:p>
        </w:tc>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3,069.9</w:t>
            </w:r>
          </w:p>
        </w:tc>
        <w:tc>
          <w:tcPr>
            <w:tcW w:w="16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3,069.9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620"/>
        <w:spacing w:after="0"/>
        <w:tabs>
          <w:tab w:leader="none" w:pos="4200" w:val="left"/>
          <w:tab w:leader="none" w:pos="5680" w:val="left"/>
          <w:tab w:leader="none" w:pos="7400" w:val="left"/>
          <w:tab w:leader="none" w:pos="8780" w:val="left"/>
          <w:tab w:leader="none" w:pos="10420" w:val="left"/>
        </w:tabs>
        <w:rPr>
          <w:sz w:val="20"/>
          <w:szCs w:val="20"/>
          <w:color w:val="auto"/>
        </w:rPr>
      </w:pPr>
      <w:r>
        <w:rPr>
          <w:rFonts w:ascii="Courier New" w:cs="Courier New" w:eastAsia="Courier New" w:hAnsi="Courier New"/>
          <w:sz w:val="14"/>
          <w:szCs w:val="14"/>
          <w:color w:val="auto"/>
        </w:rPr>
        <w:t>Total stockholders' equity</w:t>
      </w:r>
      <w:r>
        <w:rPr>
          <w:sz w:val="20"/>
          <w:szCs w:val="20"/>
          <w:color w:val="auto"/>
        </w:rPr>
        <w:tab/>
      </w:r>
      <w:r>
        <w:rPr>
          <w:rFonts w:ascii="Courier New" w:cs="Courier New" w:eastAsia="Courier New" w:hAnsi="Courier New"/>
          <w:sz w:val="14"/>
          <w:szCs w:val="14"/>
          <w:color w:val="auto"/>
        </w:rPr>
        <w:t>67,110.8</w:t>
      </w:r>
      <w:r>
        <w:rPr>
          <w:sz w:val="20"/>
          <w:szCs w:val="20"/>
          <w:color w:val="auto"/>
        </w:rPr>
        <w:tab/>
      </w:r>
      <w:r>
        <w:rPr>
          <w:rFonts w:ascii="Courier New" w:cs="Courier New" w:eastAsia="Courier New" w:hAnsi="Courier New"/>
          <w:sz w:val="14"/>
          <w:szCs w:val="14"/>
          <w:color w:val="auto"/>
        </w:rPr>
        <w:t>12,087.7</w:t>
      </w:r>
      <w:r>
        <w:rPr>
          <w:sz w:val="20"/>
          <w:szCs w:val="20"/>
          <w:color w:val="auto"/>
        </w:rPr>
        <w:tab/>
      </w:r>
      <w:r>
        <w:rPr>
          <w:rFonts w:ascii="Courier New" w:cs="Courier New" w:eastAsia="Courier New" w:hAnsi="Courier New"/>
          <w:sz w:val="14"/>
          <w:szCs w:val="14"/>
          <w:color w:val="auto"/>
        </w:rPr>
        <w:t>68,049.2</w:t>
      </w:r>
      <w:r>
        <w:rPr>
          <w:sz w:val="20"/>
          <w:szCs w:val="20"/>
          <w:color w:val="auto"/>
        </w:rPr>
        <w:tab/>
      </w:r>
      <w:r>
        <w:rPr>
          <w:rFonts w:ascii="Courier New" w:cs="Courier New" w:eastAsia="Courier New" w:hAnsi="Courier New"/>
          <w:sz w:val="14"/>
          <w:szCs w:val="14"/>
          <w:color w:val="auto"/>
        </w:rPr>
        <w:t>(84,424.2)</w:t>
      </w:r>
      <w:r>
        <w:rPr>
          <w:sz w:val="20"/>
          <w:szCs w:val="20"/>
          <w:color w:val="auto"/>
        </w:rPr>
        <w:tab/>
      </w:r>
      <w:r>
        <w:rPr>
          <w:rFonts w:ascii="Courier New" w:cs="Courier New" w:eastAsia="Courier New" w:hAnsi="Courier New"/>
          <w:sz w:val="14"/>
          <w:szCs w:val="14"/>
          <w:color w:val="auto"/>
        </w:rPr>
        <w:t>62,823.5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3960" w:val="left"/>
          <w:tab w:leader="none" w:pos="4200" w:val="left"/>
          <w:tab w:leader="none" w:pos="5420" w:val="left"/>
          <w:tab w:leader="none" w:pos="5680" w:val="left"/>
          <w:tab w:leader="none" w:pos="7140" w:val="left"/>
          <w:tab w:leader="none" w:pos="7400" w:val="left"/>
          <w:tab w:leader="none" w:pos="8680" w:val="left"/>
          <w:tab w:leader="none" w:pos="10160" w:val="left"/>
          <w:tab w:leader="none" w:pos="10420" w:val="left"/>
        </w:tabs>
        <w:rPr>
          <w:sz w:val="20"/>
          <w:szCs w:val="20"/>
          <w:color w:val="auto"/>
        </w:rPr>
      </w:pPr>
      <w:r>
        <w:rPr>
          <w:rFonts w:ascii="Courier New" w:cs="Courier New" w:eastAsia="Courier New" w:hAnsi="Courier New"/>
          <w:sz w:val="14"/>
          <w:szCs w:val="14"/>
          <w:color w:val="auto"/>
        </w:rPr>
        <w:t>Total Liabilities and Stockholders' Equity</w:t>
      </w:r>
      <w:r>
        <w:rPr>
          <w:sz w:val="20"/>
          <w:szCs w:val="20"/>
          <w:color w:val="auto"/>
        </w:rPr>
        <w:tab/>
      </w:r>
      <w:r>
        <w:rPr>
          <w:rFonts w:ascii="Courier New" w:cs="Courier New" w:eastAsia="Courier New" w:hAnsi="Courier New"/>
          <w:sz w:val="14"/>
          <w:szCs w:val="14"/>
          <w:color w:val="auto"/>
        </w:rPr>
        <w:t>$</w:t>
        <w:tab/>
        <w:t>66,512.4</w:t>
      </w:r>
      <w:r>
        <w:rPr>
          <w:sz w:val="20"/>
          <w:szCs w:val="20"/>
          <w:color w:val="auto"/>
        </w:rPr>
        <w:tab/>
      </w:r>
      <w:r>
        <w:rPr>
          <w:rFonts w:ascii="Courier New" w:cs="Courier New" w:eastAsia="Courier New" w:hAnsi="Courier New"/>
          <w:sz w:val="14"/>
          <w:szCs w:val="14"/>
          <w:color w:val="auto"/>
        </w:rPr>
        <w:t>$</w:t>
        <w:tab/>
        <w:t>18,340.7</w:t>
      </w:r>
      <w:r>
        <w:rPr>
          <w:sz w:val="20"/>
          <w:szCs w:val="20"/>
          <w:color w:val="auto"/>
        </w:rPr>
        <w:tab/>
      </w:r>
      <w:r>
        <w:rPr>
          <w:rFonts w:ascii="Courier New" w:cs="Courier New" w:eastAsia="Courier New" w:hAnsi="Courier New"/>
          <w:sz w:val="14"/>
          <w:szCs w:val="14"/>
          <w:color w:val="auto"/>
        </w:rPr>
        <w:t>$</w:t>
        <w:tab/>
        <w:t>87,569.4</w:t>
      </w:r>
      <w:r>
        <w:rPr>
          <w:sz w:val="20"/>
          <w:szCs w:val="20"/>
          <w:color w:val="auto"/>
        </w:rPr>
        <w:tab/>
      </w:r>
      <w:r>
        <w:rPr>
          <w:rFonts w:ascii="Courier New" w:cs="Courier New" w:eastAsia="Courier New" w:hAnsi="Courier New"/>
          <w:sz w:val="14"/>
          <w:szCs w:val="14"/>
          <w:color w:val="auto"/>
        </w:rPr>
        <w:t>$(80,839.8)</w:t>
      </w:r>
      <w:r>
        <w:rPr>
          <w:sz w:val="20"/>
          <w:szCs w:val="20"/>
          <w:color w:val="auto"/>
        </w:rPr>
        <w:tab/>
      </w:r>
      <w:r>
        <w:rPr>
          <w:rFonts w:ascii="Courier New" w:cs="Courier New" w:eastAsia="Courier New" w:hAnsi="Courier New"/>
          <w:sz w:val="14"/>
          <w:szCs w:val="14"/>
          <w:color w:val="auto"/>
        </w:rPr>
        <w:t>$</w:t>
        <w:tab/>
        <w:t>91,582.7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1380"/>
          </w:cols>
          <w:pgMar w:left="220" w:top="616" w:right="299" w:bottom="1440" w:gutter="0" w:footer="0" w:header="0"/>
        </w:sectPr>
      </w:pPr>
    </w:p>
    <w:bookmarkStart w:id="20" w:name="page21"/>
    <w:bookmarkEnd w:id="20"/>
    <w:p>
      <w:pPr>
        <w:jc w:val="center"/>
        <w:ind w:right="4480"/>
        <w:spacing w:after="0"/>
        <w:rPr>
          <w:sz w:val="20"/>
          <w:szCs w:val="20"/>
          <w:color w:val="auto"/>
        </w:rPr>
      </w:pPr>
      <w:r>
        <w:rPr>
          <w:rFonts w:ascii="Courier New" w:cs="Courier New" w:eastAsia="Courier New" w:hAnsi="Courier New"/>
          <w:sz w:val="14"/>
          <w:szCs w:val="14"/>
          <w:color w:val="auto"/>
        </w:rPr>
        <w:t>VIACOM INC. AND SUBSIDIARIES</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(Tabular dollars in millions, except per share amounts)</w:t>
      </w:r>
    </w:p>
    <w:p>
      <w:pPr>
        <w:spacing w:after="0" w:line="200" w:lineRule="exact"/>
        <w:rPr>
          <w:sz w:val="20"/>
          <w:szCs w:val="20"/>
          <w:color w:val="auto"/>
        </w:rPr>
      </w:pPr>
    </w:p>
    <w:p>
      <w:pPr>
        <w:spacing w:after="0" w:line="304" w:lineRule="exact"/>
        <w:rPr>
          <w:sz w:val="20"/>
          <w:szCs w:val="20"/>
          <w:color w:val="auto"/>
        </w:rPr>
      </w:pPr>
    </w:p>
    <w:p>
      <w:pPr>
        <w:jc w:val="center"/>
        <w:ind w:left="3900"/>
        <w:spacing w:after="0"/>
        <w:rPr>
          <w:sz w:val="20"/>
          <w:szCs w:val="20"/>
          <w:color w:val="auto"/>
        </w:rPr>
      </w:pPr>
      <w:r>
        <w:rPr>
          <w:rFonts w:ascii="Courier New" w:cs="Courier New" w:eastAsia="Courier New" w:hAnsi="Courier New"/>
          <w:sz w:val="14"/>
          <w:szCs w:val="14"/>
          <w:color w:val="auto"/>
        </w:rPr>
        <w:t>At December 31, 2000</w:t>
      </w:r>
    </w:p>
    <w:p>
      <w:pPr>
        <w:spacing w:after="0" w:line="7" w:lineRule="exact"/>
        <w:rPr>
          <w:sz w:val="20"/>
          <w:szCs w:val="20"/>
          <w:color w:val="auto"/>
        </w:rPr>
      </w:pPr>
    </w:p>
    <w:p>
      <w:pPr>
        <w:jc w:val="center"/>
        <w:ind w:left="40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left="3900"/>
        <w:spacing w:after="0"/>
        <w:rPr>
          <w:sz w:val="20"/>
          <w:szCs w:val="20"/>
          <w:color w:val="auto"/>
        </w:rPr>
      </w:pPr>
      <w:r>
        <w:rPr>
          <w:rFonts w:ascii="Courier New" w:cs="Courier New" w:eastAsia="Courier New" w:hAnsi="Courier New"/>
          <w:sz w:val="14"/>
          <w:szCs w:val="14"/>
          <w:color w:val="auto"/>
        </w:rPr>
        <w:t>Non-</w:t>
      </w:r>
    </w:p>
    <w:p>
      <w:pPr>
        <w:spacing w:after="0" w:line="7" w:lineRule="exact"/>
        <w:rPr>
          <w:sz w:val="20"/>
          <w:szCs w:val="20"/>
          <w:color w:val="auto"/>
        </w:rPr>
      </w:pPr>
    </w:p>
    <w:p>
      <w:pPr>
        <w:jc w:val="center"/>
        <w:ind w:left="4060"/>
        <w:spacing w:after="0"/>
        <w:tabs>
          <w:tab w:leader="none" w:pos="840" w:val="left"/>
          <w:tab w:leader="none" w:pos="920" w:val="left"/>
          <w:tab w:leader="none" w:pos="2140" w:val="left"/>
        </w:tabs>
        <w:rPr>
          <w:sz w:val="20"/>
          <w:szCs w:val="20"/>
          <w:color w:val="auto"/>
        </w:rPr>
      </w:pPr>
      <w:r>
        <w:rPr>
          <w:rFonts w:ascii="Courier New" w:cs="Courier New" w:eastAsia="Courier New" w:hAnsi="Courier New"/>
          <w:sz w:val="14"/>
          <w:szCs w:val="14"/>
          <w:color w:val="auto"/>
        </w:rPr>
        <w:t>Viacom</w:t>
      </w:r>
      <w:r>
        <w:rPr>
          <w:sz w:val="20"/>
          <w:szCs w:val="20"/>
          <w:color w:val="auto"/>
        </w:rPr>
        <w:tab/>
      </w:r>
      <w:r>
        <w:rPr>
          <w:rFonts w:ascii="Courier New" w:cs="Courier New" w:eastAsia="Courier New" w:hAnsi="Courier New"/>
          <w:sz w:val="14"/>
          <w:szCs w:val="14"/>
          <w:color w:val="auto"/>
        </w:rPr>
        <w:t>Viacom</w:t>
      </w:r>
      <w:r>
        <w:rPr>
          <w:sz w:val="20"/>
          <w:szCs w:val="20"/>
          <w:color w:val="auto"/>
        </w:rPr>
        <w:tab/>
      </w:r>
      <w:r>
        <w:rPr>
          <w:rFonts w:ascii="Courier New" w:cs="Courier New" w:eastAsia="Courier New" w:hAnsi="Courier New"/>
          <w:sz w:val="14"/>
          <w:szCs w:val="14"/>
          <w:color w:val="auto"/>
        </w:rPr>
        <w:t>Guarantor</w:t>
      </w:r>
      <w:r>
        <w:rPr>
          <w:sz w:val="20"/>
          <w:szCs w:val="20"/>
          <w:color w:val="auto"/>
        </w:rPr>
        <w:tab/>
      </w:r>
      <w:r>
        <w:rPr>
          <w:rFonts w:ascii="Courier New" w:cs="Courier New" w:eastAsia="Courier New" w:hAnsi="Courier New"/>
          <w:sz w:val="14"/>
          <w:szCs w:val="14"/>
          <w:color w:val="auto"/>
        </w:rPr>
        <w:t>Viacom Inc.</w:t>
      </w:r>
    </w:p>
    <w:p>
      <w:pPr>
        <w:spacing w:after="0" w:line="7" w:lineRule="exact"/>
        <w:rPr>
          <w:sz w:val="20"/>
          <w:szCs w:val="20"/>
          <w:color w:val="auto"/>
        </w:rPr>
      </w:pPr>
    </w:p>
    <w:p>
      <w:pPr>
        <w:jc w:val="center"/>
        <w:ind w:left="4140"/>
        <w:spacing w:after="0"/>
        <w:tabs>
          <w:tab w:leader="none" w:pos="660" w:val="left"/>
          <w:tab w:leader="none" w:pos="580" w:val="left"/>
          <w:tab w:leader="none" w:pos="680" w:val="left"/>
          <w:tab w:leader="none" w:pos="240" w:val="left"/>
        </w:tabs>
        <w:rPr>
          <w:sz w:val="20"/>
          <w:szCs w:val="20"/>
          <w:color w:val="auto"/>
        </w:rPr>
      </w:pPr>
      <w:r>
        <w:rPr>
          <w:rFonts w:ascii="Courier New" w:cs="Courier New" w:eastAsia="Courier New" w:hAnsi="Courier New"/>
          <w:sz w:val="14"/>
          <w:szCs w:val="14"/>
          <w:color w:val="auto"/>
        </w:rPr>
        <w:t>Inc.</w:t>
      </w:r>
      <w:r>
        <w:rPr>
          <w:sz w:val="20"/>
          <w:szCs w:val="20"/>
          <w:color w:val="auto"/>
        </w:rPr>
        <w:tab/>
      </w:r>
      <w:r>
        <w:rPr>
          <w:rFonts w:ascii="Courier New" w:cs="Courier New" w:eastAsia="Courier New" w:hAnsi="Courier New"/>
          <w:sz w:val="14"/>
          <w:szCs w:val="14"/>
          <w:color w:val="auto"/>
        </w:rPr>
        <w:t>International</w:t>
      </w:r>
      <w:r>
        <w:rPr>
          <w:sz w:val="20"/>
          <w:szCs w:val="20"/>
          <w:color w:val="auto"/>
        </w:rPr>
        <w:tab/>
      </w:r>
      <w:r>
        <w:rPr>
          <w:rFonts w:ascii="Courier New" w:cs="Courier New" w:eastAsia="Courier New" w:hAnsi="Courier New"/>
          <w:sz w:val="14"/>
          <w:szCs w:val="14"/>
          <w:color w:val="auto"/>
        </w:rPr>
        <w:t>Affiliates</w:t>
      </w:r>
      <w:r>
        <w:rPr>
          <w:sz w:val="20"/>
          <w:szCs w:val="20"/>
          <w:color w:val="auto"/>
        </w:rPr>
        <w:tab/>
      </w:r>
      <w:r>
        <w:rPr>
          <w:rFonts w:ascii="Courier New" w:cs="Courier New" w:eastAsia="Courier New" w:hAnsi="Courier New"/>
          <w:sz w:val="14"/>
          <w:szCs w:val="14"/>
          <w:color w:val="auto"/>
        </w:rPr>
        <w:t>Eliminations</w:t>
      </w:r>
      <w:r>
        <w:rPr>
          <w:sz w:val="20"/>
          <w:szCs w:val="20"/>
          <w:color w:val="auto"/>
        </w:rPr>
        <w:tab/>
      </w:r>
      <w:r>
        <w:rPr>
          <w:rFonts w:ascii="Courier New" w:cs="Courier New" w:eastAsia="Courier New" w:hAnsi="Courier New"/>
          <w:sz w:val="14"/>
          <w:szCs w:val="14"/>
          <w:color w:val="auto"/>
        </w:rPr>
        <w:t>Consolidated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2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Cash and cash</w:t>
            </w:r>
          </w:p>
        </w:tc>
        <w:tc>
          <w:tcPr>
            <w:tcW w:w="2060" w:type="dxa"/>
            <w:vAlign w:val="bottom"/>
          </w:tcPr>
          <w:p>
            <w:pPr>
              <w:ind w:left="40"/>
              <w:spacing w:after="0"/>
              <w:rPr>
                <w:sz w:val="20"/>
                <w:szCs w:val="20"/>
                <w:color w:val="auto"/>
              </w:rPr>
            </w:pPr>
            <w:r>
              <w:rPr>
                <w:rFonts w:ascii="Courier New" w:cs="Courier New" w:eastAsia="Courier New" w:hAnsi="Courier New"/>
                <w:sz w:val="14"/>
                <w:szCs w:val="14"/>
                <w:color w:val="auto"/>
              </w:rPr>
              <w:t>equivalents</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192.8</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326.5</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415.2</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934.5</w:t>
            </w:r>
          </w:p>
        </w:tc>
      </w:tr>
      <w:tr>
        <w:trPr>
          <w:trHeight w:val="166"/>
        </w:trPr>
        <w:tc>
          <w:tcPr>
            <w:tcW w:w="3240" w:type="dxa"/>
            <w:vAlign w:val="bottom"/>
            <w:gridSpan w:val="2"/>
          </w:tcPr>
          <w:p>
            <w:pPr>
              <w:spacing w:after="0"/>
              <w:rPr>
                <w:sz w:val="20"/>
                <w:szCs w:val="20"/>
                <w:color w:val="auto"/>
              </w:rPr>
            </w:pPr>
            <w:r>
              <w:rPr>
                <w:rFonts w:ascii="Courier New" w:cs="Courier New" w:eastAsia="Courier New" w:hAnsi="Courier New"/>
                <w:sz w:val="14"/>
                <w:szCs w:val="14"/>
                <w:color w:val="auto"/>
              </w:rPr>
              <w:t>Receivables, net</w:t>
            </w:r>
          </w:p>
        </w:tc>
        <w:tc>
          <w:tcPr>
            <w:tcW w:w="138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89.3</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456.0</w:t>
            </w:r>
          </w:p>
        </w:tc>
        <w:tc>
          <w:tcPr>
            <w:tcW w:w="5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3,661.3</w:t>
            </w:r>
          </w:p>
        </w:tc>
        <w:tc>
          <w:tcPr>
            <w:tcW w:w="5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(242.5)</w:t>
            </w: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3,964.1</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Inventory</w:t>
            </w:r>
          </w:p>
        </w:tc>
        <w:tc>
          <w:tcPr>
            <w:tcW w:w="2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11.3</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259.9</w:t>
            </w:r>
          </w:p>
        </w:tc>
        <w:tc>
          <w:tcPr>
            <w:tcW w:w="5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1,130.8</w:t>
            </w:r>
          </w:p>
        </w:tc>
        <w:tc>
          <w:tcPr>
            <w:tcW w:w="56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1,402.0</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Other current</w:t>
            </w:r>
          </w:p>
        </w:tc>
        <w:tc>
          <w:tcPr>
            <w:tcW w:w="2060" w:type="dxa"/>
            <w:vAlign w:val="bottom"/>
          </w:tcPr>
          <w:p>
            <w:pPr>
              <w:ind w:left="40"/>
              <w:spacing w:after="0"/>
              <w:rPr>
                <w:sz w:val="20"/>
                <w:szCs w:val="20"/>
                <w:color w:val="auto"/>
              </w:rPr>
            </w:pPr>
            <w:r>
              <w:rPr>
                <w:rFonts w:ascii="Courier New" w:cs="Courier New" w:eastAsia="Courier New" w:hAnsi="Courier New"/>
                <w:sz w:val="14"/>
                <w:szCs w:val="14"/>
                <w:color w:val="auto"/>
              </w:rPr>
              <w:t>assets</w:t>
            </w:r>
          </w:p>
        </w:tc>
        <w:tc>
          <w:tcPr>
            <w:tcW w:w="138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355.1</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425.5</w:t>
            </w:r>
          </w:p>
        </w:tc>
        <w:tc>
          <w:tcPr>
            <w:tcW w:w="5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789.3</w:t>
            </w:r>
          </w:p>
        </w:tc>
        <w:tc>
          <w:tcPr>
            <w:tcW w:w="5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(38.1)</w:t>
            </w: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1,531.8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2880" w:type="dxa"/>
            <w:vAlign w:val="bottom"/>
          </w:tcPr>
          <w:p>
            <w:pPr>
              <w:spacing w:after="0"/>
              <w:rPr>
                <w:sz w:val="20"/>
                <w:szCs w:val="20"/>
                <w:color w:val="auto"/>
              </w:rPr>
            </w:pPr>
            <w:r>
              <w:rPr>
                <w:rFonts w:ascii="Courier New" w:cs="Courier New" w:eastAsia="Courier New" w:hAnsi="Courier New"/>
                <w:sz w:val="14"/>
                <w:szCs w:val="14"/>
                <w:color w:val="auto"/>
              </w:rPr>
              <w:t>Total current assets</w:t>
            </w: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648.5</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1,467.9</w:t>
            </w:r>
          </w:p>
        </w:tc>
        <w:tc>
          <w:tcPr>
            <w:tcW w:w="16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5,996.6</w:t>
            </w:r>
          </w:p>
        </w:tc>
        <w:tc>
          <w:tcPr>
            <w:tcW w:w="1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(280.6)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7,832.4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20"/>
                <w:szCs w:val="20"/>
                <w:color w:val="auto"/>
              </w:rPr>
            </w:pPr>
            <w:r>
              <w:rPr>
                <w:rFonts w:ascii="Courier New" w:cs="Courier New" w:eastAsia="Courier New" w:hAnsi="Courier New"/>
                <w:sz w:val="14"/>
                <w:szCs w:val="14"/>
                <w:color w:val="auto"/>
              </w:rPr>
              <w:t>Property and equipment</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170.0</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744.8</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8,070.9</w:t>
            </w:r>
          </w:p>
        </w:tc>
        <w:tc>
          <w:tcPr>
            <w:tcW w:w="1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8,985.7</w:t>
            </w:r>
          </w:p>
        </w:tc>
      </w:tr>
      <w:tr>
        <w:trPr>
          <w:trHeight w:val="166"/>
        </w:trPr>
        <w:tc>
          <w:tcPr>
            <w:tcW w:w="4100" w:type="dxa"/>
            <w:vAlign w:val="bottom"/>
          </w:tcPr>
          <w:p>
            <w:pPr>
              <w:ind w:left="520"/>
              <w:spacing w:after="0"/>
              <w:rPr>
                <w:sz w:val="20"/>
                <w:szCs w:val="20"/>
                <w:color w:val="auto"/>
              </w:rPr>
            </w:pPr>
            <w:r>
              <w:rPr>
                <w:rFonts w:ascii="Courier New" w:cs="Courier New" w:eastAsia="Courier New" w:hAnsi="Courier New"/>
                <w:sz w:val="14"/>
                <w:szCs w:val="14"/>
                <w:color w:val="auto"/>
              </w:rPr>
              <w:t>Less accumulated depreciation and</w:t>
            </w:r>
          </w:p>
        </w:tc>
        <w:tc>
          <w:tcPr>
            <w:tcW w:w="1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4100" w:type="dxa"/>
            <w:vAlign w:val="bottom"/>
          </w:tcPr>
          <w:p>
            <w:pPr>
              <w:ind w:left="780"/>
              <w:spacing w:after="0"/>
              <w:rPr>
                <w:sz w:val="20"/>
                <w:szCs w:val="20"/>
                <w:color w:val="auto"/>
              </w:rPr>
            </w:pPr>
            <w:r>
              <w:rPr>
                <w:rFonts w:ascii="Courier New" w:cs="Courier New" w:eastAsia="Courier New" w:hAnsi="Courier New"/>
                <w:sz w:val="14"/>
                <w:szCs w:val="14"/>
                <w:color w:val="auto"/>
              </w:rPr>
              <w:t>amortization</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14.2</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319.9</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2,049.8</w:t>
            </w:r>
          </w:p>
        </w:tc>
        <w:tc>
          <w:tcPr>
            <w:tcW w:w="1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2,383.9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700"/>
        <w:spacing w:after="0"/>
        <w:tabs>
          <w:tab w:leader="none" w:pos="4820" w:val="left"/>
          <w:tab w:leader="none" w:pos="6100" w:val="left"/>
          <w:tab w:leader="none" w:pos="7560" w:val="left"/>
          <w:tab w:leader="none" w:pos="9380" w:val="left"/>
          <w:tab w:leader="none" w:pos="10500" w:val="left"/>
        </w:tabs>
        <w:rPr>
          <w:sz w:val="20"/>
          <w:szCs w:val="20"/>
          <w:color w:val="auto"/>
        </w:rPr>
      </w:pPr>
      <w:r>
        <w:rPr>
          <w:rFonts w:ascii="Courier New" w:cs="Courier New" w:eastAsia="Courier New" w:hAnsi="Courier New"/>
          <w:sz w:val="14"/>
          <w:szCs w:val="14"/>
          <w:color w:val="auto"/>
        </w:rPr>
        <w:t>Net property and equipment</w:t>
      </w:r>
      <w:r>
        <w:rPr>
          <w:sz w:val="20"/>
          <w:szCs w:val="20"/>
          <w:color w:val="auto"/>
        </w:rPr>
        <w:tab/>
      </w:r>
      <w:r>
        <w:rPr>
          <w:rFonts w:ascii="Courier New" w:cs="Courier New" w:eastAsia="Courier New" w:hAnsi="Courier New"/>
          <w:sz w:val="14"/>
          <w:szCs w:val="14"/>
          <w:color w:val="auto"/>
        </w:rPr>
        <w:t>155.8</w:t>
      </w:r>
      <w:r>
        <w:rPr>
          <w:sz w:val="20"/>
          <w:szCs w:val="20"/>
          <w:color w:val="auto"/>
        </w:rPr>
        <w:tab/>
      </w:r>
      <w:r>
        <w:rPr>
          <w:rFonts w:ascii="Courier New" w:cs="Courier New" w:eastAsia="Courier New" w:hAnsi="Courier New"/>
          <w:sz w:val="14"/>
          <w:szCs w:val="14"/>
          <w:color w:val="auto"/>
        </w:rPr>
        <w:t>424.9</w:t>
      </w:r>
      <w:r>
        <w:rPr>
          <w:sz w:val="20"/>
          <w:szCs w:val="20"/>
          <w:color w:val="auto"/>
        </w:rPr>
        <w:tab/>
      </w:r>
      <w:r>
        <w:rPr>
          <w:rFonts w:ascii="Courier New" w:cs="Courier New" w:eastAsia="Courier New" w:hAnsi="Courier New"/>
          <w:sz w:val="14"/>
          <w:szCs w:val="14"/>
          <w:color w:val="auto"/>
        </w:rPr>
        <w:t>6,021.1</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6,601.8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20"/>
                <w:szCs w:val="20"/>
                <w:color w:val="auto"/>
              </w:rPr>
            </w:pPr>
            <w:r>
              <w:rPr>
                <w:rFonts w:ascii="Courier New" w:cs="Courier New" w:eastAsia="Courier New" w:hAnsi="Courier New"/>
                <w:sz w:val="14"/>
                <w:szCs w:val="14"/>
                <w:color w:val="auto"/>
              </w:rPr>
              <w:t>Inventory</w:t>
            </w:r>
          </w:p>
        </w:tc>
        <w:tc>
          <w:tcPr>
            <w:tcW w:w="15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518.6</w:t>
            </w:r>
          </w:p>
        </w:tc>
        <w:tc>
          <w:tcPr>
            <w:tcW w:w="1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3,132.1</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3,632.9</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Intangibles, at amortized cost</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264.9</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636.4</w:t>
            </w:r>
          </w:p>
        </w:tc>
        <w:tc>
          <w:tcPr>
            <w:tcW w:w="1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61,102.8</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62,004.1</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Investments in consolidated subsidiaries</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49,331.0</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14,898.9</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(64,229.9)</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198.2</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695.1</w:t>
            </w:r>
          </w:p>
        </w:tc>
        <w:tc>
          <w:tcPr>
            <w:tcW w:w="1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1,813.0</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(131.4)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2,574.9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8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2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50,598.4</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$18,641.8</w:t>
            </w:r>
          </w:p>
        </w:tc>
        <w:tc>
          <w:tcPr>
            <w:tcW w:w="15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78,065.6</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(64,659.7)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  82,646.1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gridSpan w:val="2"/>
          </w:tcPr>
          <w:p>
            <w:pPr>
              <w:spacing w:after="0"/>
              <w:rPr>
                <w:sz w:val="20"/>
                <w:szCs w:val="20"/>
                <w:color w:val="auto"/>
              </w:rPr>
            </w:pPr>
            <w:r>
              <w:rPr>
                <w:rFonts w:ascii="Courier New" w:cs="Courier New" w:eastAsia="Courier New" w:hAnsi="Courier New"/>
                <w:sz w:val="14"/>
                <w:szCs w:val="14"/>
                <w:color w:val="auto"/>
              </w:rPr>
              <w:t>Liabilities and Stockholders' Equity</w:t>
            </w: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720" w:type="dxa"/>
            <w:vAlign w:val="bottom"/>
            <w:gridSpan w:val="2"/>
          </w:tcPr>
          <w:p>
            <w:pPr>
              <w:spacing w:after="0"/>
              <w:rPr>
                <w:sz w:val="20"/>
                <w:szCs w:val="20"/>
                <w:color w:val="auto"/>
              </w:rPr>
            </w:pPr>
            <w:r>
              <w:rPr>
                <w:rFonts w:ascii="Courier New" w:cs="Courier New" w:eastAsia="Courier New" w:hAnsi="Courier New"/>
                <w:sz w:val="14"/>
                <w:szCs w:val="14"/>
                <w:color w:val="auto"/>
              </w:rPr>
              <w:t>Accounts payable</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35.2</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1,332.3</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(106.4)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   1,261.1</w:t>
            </w:r>
          </w:p>
        </w:tc>
      </w:tr>
      <w:tr>
        <w:trPr>
          <w:trHeight w:val="166"/>
        </w:trPr>
        <w:tc>
          <w:tcPr>
            <w:tcW w:w="3720" w:type="dxa"/>
            <w:vAlign w:val="bottom"/>
            <w:gridSpan w:val="2"/>
          </w:tcPr>
          <w:p>
            <w:pPr>
              <w:spacing w:after="0"/>
              <w:rPr>
                <w:sz w:val="20"/>
                <w:szCs w:val="20"/>
                <w:color w:val="auto"/>
              </w:rPr>
            </w:pPr>
            <w:r>
              <w:rPr>
                <w:rFonts w:ascii="Courier New" w:cs="Courier New" w:eastAsia="Courier New" w:hAnsi="Courier New"/>
                <w:sz w:val="14"/>
                <w:szCs w:val="14"/>
                <w:color w:val="auto"/>
              </w:rPr>
              <w:t>Accrued expenses and other</w:t>
            </w:r>
          </w:p>
        </w:tc>
        <w:tc>
          <w:tcPr>
            <w:tcW w:w="9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312.3</w:t>
            </w:r>
          </w:p>
        </w:tc>
        <w:tc>
          <w:tcPr>
            <w:tcW w:w="38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1,515.5</w:t>
            </w:r>
          </w:p>
        </w:tc>
        <w:tc>
          <w:tcPr>
            <w:tcW w:w="5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3,379.3</w:t>
            </w:r>
          </w:p>
        </w:tc>
        <w:tc>
          <w:tcPr>
            <w:tcW w:w="5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(154.2)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5,052.9</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Accrued</w:t>
            </w:r>
          </w:p>
        </w:tc>
        <w:tc>
          <w:tcPr>
            <w:tcW w:w="3060" w:type="dxa"/>
            <w:vAlign w:val="bottom"/>
          </w:tcPr>
          <w:p>
            <w:pPr>
              <w:ind w:left="40"/>
              <w:spacing w:after="0"/>
              <w:rPr>
                <w:sz w:val="20"/>
                <w:szCs w:val="20"/>
                <w:color w:val="auto"/>
              </w:rPr>
            </w:pPr>
            <w:r>
              <w:rPr>
                <w:rFonts w:ascii="Courier New" w:cs="Courier New" w:eastAsia="Courier New" w:hAnsi="Courier New"/>
                <w:sz w:val="14"/>
                <w:szCs w:val="14"/>
                <w:color w:val="auto"/>
              </w:rPr>
              <w:t>participations</w:t>
            </w:r>
          </w:p>
        </w:tc>
        <w:tc>
          <w:tcPr>
            <w:tcW w:w="900" w:type="dxa"/>
            <w:vAlign w:val="bottom"/>
          </w:tcPr>
          <w:p>
            <w:pPr>
              <w:spacing w:after="0"/>
              <w:rPr>
                <w:sz w:val="14"/>
                <w:szCs w:val="14"/>
                <w:color w:val="auto"/>
              </w:rPr>
            </w:pP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1,234.5</w:t>
            </w:r>
          </w:p>
        </w:tc>
        <w:tc>
          <w:tcPr>
            <w:tcW w:w="5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1,220.3</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3060" w:type="dxa"/>
            <w:vAlign w:val="bottom"/>
          </w:tcPr>
          <w:p>
            <w:pPr>
              <w:ind w:left="40"/>
              <w:spacing w:after="0"/>
              <w:rPr>
                <w:sz w:val="20"/>
                <w:szCs w:val="20"/>
                <w:color w:val="auto"/>
              </w:rPr>
            </w:pPr>
            <w:r>
              <w:rPr>
                <w:rFonts w:ascii="Courier New" w:cs="Courier New" w:eastAsia="Courier New" w:hAnsi="Courier New"/>
                <w:sz w:val="14"/>
                <w:szCs w:val="14"/>
                <w:color w:val="auto"/>
              </w:rPr>
              <w:t>portion of long-term debt</w:t>
            </w:r>
          </w:p>
        </w:tc>
        <w:tc>
          <w:tcPr>
            <w:tcW w:w="900" w:type="dxa"/>
            <w:vAlign w:val="bottom"/>
          </w:tcPr>
          <w:p>
            <w:pPr>
              <w:spacing w:after="0"/>
              <w:rPr>
                <w:sz w:val="14"/>
                <w:szCs w:val="14"/>
                <w:color w:val="auto"/>
              </w:rPr>
            </w:pP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10.8</w:t>
            </w:r>
          </w:p>
        </w:tc>
        <w:tc>
          <w:tcPr>
            <w:tcW w:w="5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213.1</w:t>
            </w:r>
          </w:p>
        </w:tc>
        <w:tc>
          <w:tcPr>
            <w:tcW w:w="56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223.9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3180" w:type="dxa"/>
            <w:vAlign w:val="bottom"/>
          </w:tcPr>
          <w:p>
            <w:pPr>
              <w:spacing w:after="0"/>
              <w:rPr>
                <w:sz w:val="20"/>
                <w:szCs w:val="20"/>
                <w:color w:val="auto"/>
              </w:rPr>
            </w:pPr>
            <w:r>
              <w:rPr>
                <w:rFonts w:ascii="Courier New" w:cs="Courier New" w:eastAsia="Courier New" w:hAnsi="Courier New"/>
                <w:sz w:val="14"/>
                <w:szCs w:val="14"/>
                <w:color w:val="auto"/>
              </w:rPr>
              <w:t>Total current liabilities</w:t>
            </w:r>
          </w:p>
        </w:tc>
        <w:tc>
          <w:tcPr>
            <w:tcW w:w="1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312.3</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1,561.5</w:t>
            </w:r>
          </w:p>
        </w:tc>
        <w:tc>
          <w:tcPr>
            <w:tcW w:w="16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6,159.2</w:t>
            </w:r>
          </w:p>
        </w:tc>
        <w:tc>
          <w:tcPr>
            <w:tcW w:w="1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(274.8)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7,758.2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7,194.1</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858.2</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4,613.2</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(191.7)</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12,473.8</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Other liabilities</w:t>
            </w:r>
          </w:p>
        </w:tc>
        <w:tc>
          <w:tcPr>
            <w:tcW w:w="18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(9,118.5)</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3,588.9</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5,908.2</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7,028.4</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7,407.0</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18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158.9</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6,881.3</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7,040.2</w:t>
            </w: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18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3840" w:type="dxa"/>
            <w:vAlign w:val="bottom"/>
          </w:tcPr>
          <w:p>
            <w:pPr>
              <w:ind w:left="440"/>
              <w:spacing w:after="0"/>
              <w:rPr>
                <w:sz w:val="20"/>
                <w:szCs w:val="20"/>
                <w:color w:val="auto"/>
              </w:rPr>
            </w:pPr>
            <w:r>
              <w:rPr>
                <w:rFonts w:ascii="Courier New" w:cs="Courier New" w:eastAsia="Courier New" w:hAnsi="Courier New"/>
                <w:sz w:val="14"/>
                <w:szCs w:val="14"/>
                <w:color w:val="auto"/>
              </w:rPr>
              <w:t>Preferred Stock</w:t>
            </w:r>
          </w:p>
        </w:tc>
        <w:tc>
          <w:tcPr>
            <w:tcW w:w="18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106.1</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20.4</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(126.5)</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3840" w:type="dxa"/>
            <w:vAlign w:val="bottom"/>
          </w:tcPr>
          <w:p>
            <w:pPr>
              <w:ind w:left="440"/>
              <w:spacing w:after="0"/>
              <w:rPr>
                <w:sz w:val="20"/>
                <w:szCs w:val="20"/>
                <w:color w:val="auto"/>
              </w:rPr>
            </w:pPr>
            <w:r>
              <w:rPr>
                <w:rFonts w:ascii="Courier New" w:cs="Courier New" w:eastAsia="Courier New" w:hAnsi="Courier New"/>
                <w:sz w:val="14"/>
                <w:szCs w:val="14"/>
                <w:color w:val="auto"/>
              </w:rPr>
              <w:t>Common Stock</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15.9</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185.7</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508.8</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(694.5)</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15.9</w:t>
            </w:r>
          </w:p>
        </w:tc>
      </w:tr>
      <w:tr>
        <w:trPr>
          <w:trHeight w:val="166"/>
        </w:trPr>
        <w:tc>
          <w:tcPr>
            <w:tcW w:w="3840" w:type="dxa"/>
            <w:vAlign w:val="bottom"/>
          </w:tcPr>
          <w:p>
            <w:pPr>
              <w:ind w:left="440"/>
              <w:spacing w:after="0"/>
              <w:rPr>
                <w:sz w:val="20"/>
                <w:szCs w:val="20"/>
                <w:color w:val="auto"/>
              </w:rPr>
            </w:pPr>
            <w:r>
              <w:rPr>
                <w:rFonts w:ascii="Courier New" w:cs="Courier New" w:eastAsia="Courier New" w:hAnsi="Courier New"/>
                <w:sz w:val="14"/>
                <w:szCs w:val="14"/>
                <w:color w:val="auto"/>
              </w:rPr>
              <w:t>Additional paid-in capital</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50,729.9</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7,253.4</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54,621.6</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(61,875.0)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50,729.9</w:t>
            </w:r>
          </w:p>
        </w:tc>
      </w:tr>
      <w:tr>
        <w:trPr>
          <w:trHeight w:val="166"/>
        </w:trPr>
        <w:tc>
          <w:tcPr>
            <w:tcW w:w="3840" w:type="dxa"/>
            <w:vAlign w:val="bottom"/>
          </w:tcPr>
          <w:p>
            <w:pPr>
              <w:ind w:left="440"/>
              <w:spacing w:after="0"/>
              <w:rPr>
                <w:sz w:val="20"/>
                <w:szCs w:val="20"/>
                <w:color w:val="auto"/>
              </w:rPr>
            </w:pPr>
            <w:r>
              <w:rPr>
                <w:rFonts w:ascii="Courier New" w:cs="Courier New" w:eastAsia="Courier New" w:hAnsi="Courier New"/>
                <w:sz w:val="14"/>
                <w:szCs w:val="14"/>
                <w:color w:val="auto"/>
              </w:rPr>
              <w:t>Retained earnings</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5,523.0</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4,931.1</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(496.5)</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(8,525.8)</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1,431.8</w:t>
            </w:r>
          </w:p>
        </w:tc>
      </w:tr>
      <w:tr>
        <w:trPr>
          <w:trHeight w:val="166"/>
        </w:trPr>
        <w:tc>
          <w:tcPr>
            <w:tcW w:w="3840" w:type="dxa"/>
            <w:vAlign w:val="bottom"/>
          </w:tcPr>
          <w:p>
            <w:pPr>
              <w:ind w:left="440"/>
              <w:spacing w:after="0"/>
              <w:rPr>
                <w:sz w:val="20"/>
                <w:szCs w:val="20"/>
                <w:color w:val="auto"/>
              </w:rPr>
            </w:pPr>
            <w:r>
              <w:rPr>
                <w:rFonts w:ascii="Courier New" w:cs="Courier New" w:eastAsia="Courier New" w:hAnsi="Courier New"/>
                <w:sz w:val="14"/>
                <w:szCs w:val="14"/>
                <w:color w:val="auto"/>
              </w:rPr>
              <w:t>Accumulated other comprehensive</w:t>
            </w:r>
          </w:p>
        </w:tc>
        <w:tc>
          <w:tcPr>
            <w:tcW w:w="1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3840" w:type="dxa"/>
            <w:vAlign w:val="bottom"/>
          </w:tcPr>
          <w:p>
            <w:pPr>
              <w:ind w:left="620"/>
              <w:spacing w:after="0"/>
              <w:rPr>
                <w:sz w:val="20"/>
                <w:szCs w:val="20"/>
                <w:color w:val="auto"/>
              </w:rPr>
            </w:pPr>
            <w:r>
              <w:rPr>
                <w:rFonts w:ascii="Courier New" w:cs="Courier New" w:eastAsia="Courier New" w:hAnsi="Courier New"/>
                <w:sz w:val="14"/>
                <w:szCs w:val="14"/>
                <w:color w:val="auto"/>
              </w:rPr>
              <w:t>income (loss)</w:t>
            </w:r>
          </w:p>
        </w:tc>
        <w:tc>
          <w:tcPr>
            <w:tcW w:w="18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(150.6)</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(152.5)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18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56,268.7</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12,474.3</w:t>
            </w:r>
          </w:p>
        </w:tc>
        <w:tc>
          <w:tcPr>
            <w:tcW w:w="1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54,503.7</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(71,221.6)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52,025.1</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Less treasury stock, at cost</w:t>
            </w:r>
          </w:p>
        </w:tc>
        <w:tc>
          <w:tcPr>
            <w:tcW w:w="18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4,058.2</w:t>
            </w:r>
          </w:p>
        </w:tc>
        <w:tc>
          <w:tcPr>
            <w:tcW w:w="14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4,058.2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620"/>
        <w:spacing w:after="0"/>
        <w:tabs>
          <w:tab w:leader="none" w:pos="4560" w:val="left"/>
          <w:tab w:leader="none" w:pos="5840" w:val="left"/>
          <w:tab w:leader="none" w:pos="7480" w:val="left"/>
          <w:tab w:leader="none" w:pos="8940" w:val="left"/>
          <w:tab w:leader="none" w:pos="10420" w:val="left"/>
        </w:tabs>
        <w:rPr>
          <w:sz w:val="20"/>
          <w:szCs w:val="20"/>
          <w:color w:val="auto"/>
        </w:rPr>
      </w:pPr>
      <w:r>
        <w:rPr>
          <w:rFonts w:ascii="Courier New" w:cs="Courier New" w:eastAsia="Courier New" w:hAnsi="Courier New"/>
          <w:sz w:val="14"/>
          <w:szCs w:val="14"/>
          <w:color w:val="auto"/>
        </w:rPr>
        <w:t>Total stockholders' equity</w:t>
      </w:r>
      <w:r>
        <w:rPr>
          <w:sz w:val="20"/>
          <w:szCs w:val="20"/>
          <w:color w:val="auto"/>
        </w:rPr>
        <w:tab/>
      </w:r>
      <w:r>
        <w:rPr>
          <w:rFonts w:ascii="Courier New" w:cs="Courier New" w:eastAsia="Courier New" w:hAnsi="Courier New"/>
          <w:sz w:val="14"/>
          <w:szCs w:val="14"/>
          <w:color w:val="auto"/>
        </w:rPr>
        <w:t>52,210.5</w:t>
      </w:r>
      <w:r>
        <w:rPr>
          <w:sz w:val="20"/>
          <w:szCs w:val="20"/>
          <w:color w:val="auto"/>
        </w:rPr>
        <w:tab/>
      </w:r>
      <w:r>
        <w:rPr>
          <w:rFonts w:ascii="Courier New" w:cs="Courier New" w:eastAsia="Courier New" w:hAnsi="Courier New"/>
          <w:sz w:val="14"/>
          <w:szCs w:val="14"/>
          <w:color w:val="auto"/>
        </w:rPr>
        <w:t>12,474.3</w:t>
      </w:r>
      <w:r>
        <w:rPr>
          <w:sz w:val="20"/>
          <w:szCs w:val="20"/>
          <w:color w:val="auto"/>
        </w:rPr>
        <w:tab/>
      </w:r>
      <w:r>
        <w:rPr>
          <w:rFonts w:ascii="Courier New" w:cs="Courier New" w:eastAsia="Courier New" w:hAnsi="Courier New"/>
          <w:sz w:val="14"/>
          <w:szCs w:val="14"/>
          <w:color w:val="auto"/>
        </w:rPr>
        <w:t>54,503.7</w:t>
      </w:r>
      <w:r>
        <w:rPr>
          <w:sz w:val="20"/>
          <w:szCs w:val="20"/>
          <w:color w:val="auto"/>
        </w:rPr>
        <w:tab/>
      </w:r>
      <w:r>
        <w:rPr>
          <w:rFonts w:ascii="Courier New" w:cs="Courier New" w:eastAsia="Courier New" w:hAnsi="Courier New"/>
          <w:sz w:val="14"/>
          <w:szCs w:val="14"/>
          <w:color w:val="auto"/>
        </w:rPr>
        <w:t>(71,221.6)</w:t>
      </w:r>
      <w:r>
        <w:rPr>
          <w:sz w:val="20"/>
          <w:szCs w:val="20"/>
          <w:color w:val="auto"/>
        </w:rPr>
        <w:tab/>
      </w:r>
      <w:r>
        <w:rPr>
          <w:rFonts w:ascii="Courier New" w:cs="Courier New" w:eastAsia="Courier New" w:hAnsi="Courier New"/>
          <w:sz w:val="14"/>
          <w:szCs w:val="14"/>
          <w:color w:val="auto"/>
        </w:rPr>
        <w:t>47,966.9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300" w:val="left"/>
          <w:tab w:leader="none" w:pos="4560" w:val="left"/>
          <w:tab w:leader="none" w:pos="5580" w:val="left"/>
          <w:tab w:leader="none" w:pos="5840" w:val="left"/>
          <w:tab w:leader="none" w:pos="7140" w:val="left"/>
          <w:tab w:leader="none" w:pos="7480" w:val="left"/>
          <w:tab w:leader="none" w:pos="8600" w:val="left"/>
          <w:tab w:leader="none" w:pos="8940" w:val="left"/>
          <w:tab w:leader="none" w:pos="10160" w:val="left"/>
          <w:tab w:leader="none" w:pos="10420" w:val="left"/>
        </w:tabs>
        <w:rPr>
          <w:sz w:val="20"/>
          <w:szCs w:val="20"/>
          <w:color w:val="auto"/>
        </w:rPr>
      </w:pPr>
      <w:r>
        <w:rPr>
          <w:rFonts w:ascii="Courier New" w:cs="Courier New" w:eastAsia="Courier New" w:hAnsi="Courier New"/>
          <w:sz w:val="14"/>
          <w:szCs w:val="14"/>
          <w:color w:val="auto"/>
        </w:rPr>
        <w:t>Total Liabilities and Stockholders' Equity</w:t>
      </w:r>
      <w:r>
        <w:rPr>
          <w:sz w:val="20"/>
          <w:szCs w:val="20"/>
          <w:color w:val="auto"/>
        </w:rPr>
        <w:tab/>
      </w:r>
      <w:r>
        <w:rPr>
          <w:rFonts w:ascii="Courier New" w:cs="Courier New" w:eastAsia="Courier New" w:hAnsi="Courier New"/>
          <w:sz w:val="14"/>
          <w:szCs w:val="14"/>
          <w:color w:val="auto"/>
        </w:rPr>
        <w:t>$</w:t>
        <w:tab/>
        <w:t>50,598.4</w:t>
      </w:r>
      <w:r>
        <w:rPr>
          <w:sz w:val="20"/>
          <w:szCs w:val="20"/>
          <w:color w:val="auto"/>
        </w:rPr>
        <w:tab/>
      </w:r>
      <w:r>
        <w:rPr>
          <w:rFonts w:ascii="Courier New" w:cs="Courier New" w:eastAsia="Courier New" w:hAnsi="Courier New"/>
          <w:sz w:val="14"/>
          <w:szCs w:val="14"/>
          <w:color w:val="auto"/>
        </w:rPr>
        <w:t>$</w:t>
        <w:tab/>
        <w:t>18,641.8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78,065.6</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(64,659.7)</w:t>
      </w:r>
      <w:r>
        <w:rPr>
          <w:sz w:val="20"/>
          <w:szCs w:val="20"/>
          <w:color w:val="auto"/>
        </w:rPr>
        <w:tab/>
      </w:r>
      <w:r>
        <w:rPr>
          <w:rFonts w:ascii="Courier New" w:cs="Courier New" w:eastAsia="Courier New" w:hAnsi="Courier New"/>
          <w:sz w:val="14"/>
          <w:szCs w:val="14"/>
          <w:color w:val="auto"/>
        </w:rPr>
        <w:t>$</w:t>
        <w:tab/>
        <w:t>82,646.1</w:t>
      </w:r>
    </w:p>
    <w:p>
      <w:pPr>
        <w:spacing w:after="0" w:line="7" w:lineRule="exact"/>
        <w:rPr>
          <w:sz w:val="20"/>
          <w:szCs w:val="20"/>
          <w:color w:val="auto"/>
        </w:rPr>
      </w:pPr>
    </w:p>
    <w:p>
      <w:pPr>
        <w:ind w:left="180" w:hanging="172"/>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69" w:lineRule="exact"/>
        <w:rPr>
          <w:rFonts w:ascii="Courier New" w:cs="Courier New" w:eastAsia="Courier New" w:hAnsi="Courier New"/>
          <w:sz w:val="14"/>
          <w:szCs w:val="14"/>
          <w:color w:val="auto"/>
        </w:rPr>
      </w:pPr>
    </w:p>
    <w:p>
      <w:pPr>
        <w:ind w:left="3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-21-</w:t>
      </w:r>
    </w:p>
    <w:p>
      <w:pPr>
        <w:sectPr>
          <w:pgSz w:w="11900" w:h="16838" w:orient="portrait"/>
          <w:cols w:equalWidth="0" w:num="1">
            <w:col w:w="11380"/>
          </w:cols>
          <w:pgMar w:left="220" w:top="616" w:right="299" w:bottom="1440" w:gutter="0" w:footer="0" w:header="0"/>
        </w:sectPr>
      </w:pPr>
    </w:p>
    <w:bookmarkStart w:id="21" w:name="page22"/>
    <w:bookmarkEnd w:id="21"/>
    <w:p>
      <w:pPr>
        <w:jc w:val="center"/>
        <w:ind w:right="4560"/>
        <w:spacing w:after="0"/>
        <w:rPr>
          <w:sz w:val="20"/>
          <w:szCs w:val="20"/>
          <w:color w:val="auto"/>
        </w:rPr>
      </w:pPr>
      <w:r>
        <w:rPr>
          <w:rFonts w:ascii="Courier New" w:cs="Courier New" w:eastAsia="Courier New" w:hAnsi="Courier New"/>
          <w:sz w:val="14"/>
          <w:szCs w:val="14"/>
          <w:color w:val="auto"/>
        </w:rPr>
        <w:t>VIACOM INC. AND SUBSIDIARIES</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(Tabular dollars in millions, except per share amounts)</w:t>
      </w:r>
    </w:p>
    <w:p>
      <w:pPr>
        <w:spacing w:after="0" w:line="200" w:lineRule="exact"/>
        <w:rPr>
          <w:sz w:val="20"/>
          <w:szCs w:val="20"/>
          <w:color w:val="auto"/>
        </w:rPr>
      </w:pPr>
    </w:p>
    <w:p>
      <w:pPr>
        <w:spacing w:after="0" w:line="304"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Nine Months Ended September 30, 2001</w:t>
      </w:r>
    </w:p>
    <w:p>
      <w:pPr>
        <w:spacing w:after="0" w:line="7" w:lineRule="exact"/>
        <w:rPr>
          <w:sz w:val="20"/>
          <w:szCs w:val="20"/>
          <w:color w:val="auto"/>
        </w:rPr>
      </w:pPr>
    </w:p>
    <w:p>
      <w:pPr>
        <w:ind w:left="49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840"/>
        <w:spacing w:after="0"/>
        <w:rPr>
          <w:sz w:val="20"/>
          <w:szCs w:val="20"/>
          <w:color w:val="auto"/>
        </w:rPr>
      </w:pPr>
      <w:r>
        <w:rPr>
          <w:rFonts w:ascii="Courier New" w:cs="Courier New" w:eastAsia="Courier New" w:hAnsi="Courier New"/>
          <w:sz w:val="14"/>
          <w:szCs w:val="14"/>
          <w:color w:val="auto"/>
        </w:rPr>
        <w:t>Non-</w:t>
      </w:r>
    </w:p>
    <w:p>
      <w:pPr>
        <w:spacing w:after="0" w:line="7" w:lineRule="exact"/>
        <w:rPr>
          <w:sz w:val="20"/>
          <w:szCs w:val="20"/>
          <w:color w:val="auto"/>
        </w:rPr>
      </w:pPr>
    </w:p>
    <w:p>
      <w:pPr>
        <w:ind w:left="5180"/>
        <w:spacing w:after="0"/>
        <w:tabs>
          <w:tab w:leader="none" w:pos="6440" w:val="left"/>
          <w:tab w:leader="none" w:pos="7660" w:val="left"/>
          <w:tab w:leader="none" w:pos="10240" w:val="left"/>
        </w:tabs>
        <w:rPr>
          <w:sz w:val="20"/>
          <w:szCs w:val="20"/>
          <w:color w:val="auto"/>
        </w:rPr>
      </w:pPr>
      <w:r>
        <w:rPr>
          <w:rFonts w:ascii="Courier New" w:cs="Courier New" w:eastAsia="Courier New" w:hAnsi="Courier New"/>
          <w:sz w:val="14"/>
          <w:szCs w:val="14"/>
          <w:color w:val="auto"/>
        </w:rPr>
        <w:t>Viacom</w:t>
      </w:r>
      <w:r>
        <w:rPr>
          <w:sz w:val="20"/>
          <w:szCs w:val="20"/>
          <w:color w:val="auto"/>
        </w:rPr>
        <w:tab/>
      </w:r>
      <w:r>
        <w:rPr>
          <w:rFonts w:ascii="Courier New" w:cs="Courier New" w:eastAsia="Courier New" w:hAnsi="Courier New"/>
          <w:sz w:val="14"/>
          <w:szCs w:val="14"/>
          <w:color w:val="auto"/>
        </w:rPr>
        <w:t>Viacom</w:t>
      </w:r>
      <w:r>
        <w:rPr>
          <w:sz w:val="20"/>
          <w:szCs w:val="20"/>
          <w:color w:val="auto"/>
        </w:rPr>
        <w:tab/>
      </w:r>
      <w:r>
        <w:rPr>
          <w:rFonts w:ascii="Courier New" w:cs="Courier New" w:eastAsia="Courier New" w:hAnsi="Courier New"/>
          <w:sz w:val="14"/>
          <w:szCs w:val="14"/>
          <w:color w:val="auto"/>
        </w:rPr>
        <w:t>Guarantor</w:t>
      </w:r>
      <w:r>
        <w:rPr>
          <w:sz w:val="20"/>
          <w:szCs w:val="20"/>
          <w:color w:val="auto"/>
        </w:rPr>
        <w:tab/>
      </w:r>
      <w:r>
        <w:rPr>
          <w:rFonts w:ascii="Courier New" w:cs="Courier New" w:eastAsia="Courier New" w:hAnsi="Courier New"/>
          <w:sz w:val="14"/>
          <w:szCs w:val="14"/>
          <w:color w:val="auto"/>
        </w:rPr>
        <w:t>Viacom Inc.</w:t>
      </w:r>
    </w:p>
    <w:p>
      <w:pPr>
        <w:spacing w:after="0" w:line="7" w:lineRule="exact"/>
        <w:rPr>
          <w:sz w:val="20"/>
          <w:szCs w:val="20"/>
          <w:color w:val="auto"/>
        </w:rPr>
      </w:pPr>
    </w:p>
    <w:p>
      <w:pPr>
        <w:ind w:left="5260"/>
        <w:spacing w:after="0"/>
        <w:tabs>
          <w:tab w:leader="none" w:pos="6020" w:val="left"/>
          <w:tab w:leader="none" w:pos="7560" w:val="left"/>
          <w:tab w:leader="none" w:pos="8680" w:val="left"/>
          <w:tab w:leader="none" w:pos="10240" w:val="left"/>
        </w:tabs>
        <w:rPr>
          <w:sz w:val="20"/>
          <w:szCs w:val="20"/>
          <w:color w:val="auto"/>
        </w:rPr>
      </w:pPr>
      <w:r>
        <w:rPr>
          <w:rFonts w:ascii="Courier New" w:cs="Courier New" w:eastAsia="Courier New" w:hAnsi="Courier New"/>
          <w:sz w:val="14"/>
          <w:szCs w:val="14"/>
          <w:color w:val="auto"/>
        </w:rPr>
        <w:t>Inc.</w:t>
      </w:r>
      <w:r>
        <w:rPr>
          <w:sz w:val="20"/>
          <w:szCs w:val="20"/>
          <w:color w:val="auto"/>
        </w:rPr>
        <w:tab/>
      </w:r>
      <w:r>
        <w:rPr>
          <w:rFonts w:ascii="Courier New" w:cs="Courier New" w:eastAsia="Courier New" w:hAnsi="Courier New"/>
          <w:sz w:val="14"/>
          <w:szCs w:val="14"/>
          <w:color w:val="auto"/>
        </w:rPr>
        <w:t>International</w:t>
      </w:r>
      <w:r>
        <w:rPr>
          <w:sz w:val="20"/>
          <w:szCs w:val="20"/>
          <w:color w:val="auto"/>
        </w:rPr>
        <w:tab/>
      </w:r>
      <w:r>
        <w:rPr>
          <w:rFonts w:ascii="Courier New" w:cs="Courier New" w:eastAsia="Courier New" w:hAnsi="Courier New"/>
          <w:sz w:val="14"/>
          <w:szCs w:val="14"/>
          <w:color w:val="auto"/>
        </w:rPr>
        <w:t>Affiliates</w:t>
      </w:r>
      <w:r>
        <w:rPr>
          <w:sz w:val="20"/>
          <w:szCs w:val="20"/>
          <w:color w:val="auto"/>
        </w:rPr>
        <w:tab/>
      </w:r>
      <w:r>
        <w:rPr>
          <w:rFonts w:ascii="Courier New" w:cs="Courier New" w:eastAsia="Courier New" w:hAnsi="Courier New"/>
          <w:sz w:val="14"/>
          <w:szCs w:val="14"/>
          <w:color w:val="auto"/>
        </w:rPr>
        <w:t>Eliminations</w:t>
      </w:r>
      <w:r>
        <w:rPr>
          <w:sz w:val="20"/>
          <w:szCs w:val="20"/>
          <w:color w:val="auto"/>
        </w:rPr>
        <w:tab/>
      </w:r>
      <w:r>
        <w:rPr>
          <w:rFonts w:ascii="Courier New" w:cs="Courier New" w:eastAsia="Courier New" w:hAnsi="Courier New"/>
          <w:sz w:val="14"/>
          <w:szCs w:val="14"/>
          <w:color w:val="auto"/>
        </w:rPr>
        <w:t>Consolidated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20"/>
                <w:szCs w:val="20"/>
                <w:color w:val="auto"/>
              </w:rPr>
            </w:pPr>
            <w:r>
              <w:rPr>
                <w:rFonts w:ascii="Courier New" w:cs="Courier New" w:eastAsia="Courier New" w:hAnsi="Courier New"/>
                <w:sz w:val="14"/>
                <w:szCs w:val="14"/>
                <w:color w:val="auto"/>
              </w:rPr>
              <w:t>Net cash flow (used for) provided by operating</w:t>
            </w:r>
          </w:p>
        </w:tc>
        <w:tc>
          <w:tcPr>
            <w:tcW w:w="1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4480" w:type="dxa"/>
            <w:vAlign w:val="bottom"/>
          </w:tcPr>
          <w:p>
            <w:pPr>
              <w:ind w:left="360"/>
              <w:spacing w:after="0"/>
              <w:rPr>
                <w:sz w:val="20"/>
                <w:szCs w:val="20"/>
                <w:color w:val="auto"/>
              </w:rPr>
            </w:pPr>
            <w:r>
              <w:rPr>
                <w:rFonts w:ascii="Courier New" w:cs="Courier New" w:eastAsia="Courier New" w:hAnsi="Courier New"/>
                <w:sz w:val="14"/>
                <w:szCs w:val="14"/>
                <w:color w:val="auto"/>
              </w:rPr>
              <w:t>activities</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(533.4)</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$ 107.3</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$2,371.6</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   1,945.5</w:t>
            </w:r>
          </w:p>
        </w:tc>
      </w:tr>
    </w:tbl>
    <w:p>
      <w:pPr>
        <w:spacing w:after="0" w:line="4" w:lineRule="exact"/>
        <w:rPr>
          <w:sz w:val="20"/>
          <w:szCs w:val="20"/>
          <w:color w:val="auto"/>
        </w:rPr>
      </w:pPr>
    </w:p>
    <w:p>
      <w:pPr>
        <w:ind w:left="180" w:hanging="172"/>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Investing Activities:</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4820" w:type="dxa"/>
            <w:vAlign w:val="bottom"/>
          </w:tcPr>
          <w:p>
            <w:pPr>
              <w:spacing w:after="0"/>
              <w:rPr>
                <w:sz w:val="20"/>
                <w:szCs w:val="20"/>
                <w:color w:val="auto"/>
              </w:rPr>
            </w:pPr>
            <w:r>
              <w:rPr>
                <w:rFonts w:ascii="Courier New" w:cs="Courier New" w:eastAsia="Courier New" w:hAnsi="Courier New"/>
                <w:sz w:val="14"/>
                <w:szCs w:val="14"/>
                <w:color w:val="auto"/>
              </w:rPr>
              <w:t>Acquisitions, net of cash acquired</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(770.5)</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(770.5)</w:t>
            </w:r>
          </w:p>
        </w:tc>
      </w:tr>
      <w:tr>
        <w:trPr>
          <w:trHeight w:val="166"/>
        </w:trPr>
        <w:tc>
          <w:tcPr>
            <w:tcW w:w="482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(90.9)</w:t>
            </w:r>
          </w:p>
        </w:tc>
        <w:tc>
          <w:tcPr>
            <w:tcW w:w="15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(238.6)</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(329.5)</w:t>
            </w:r>
          </w:p>
        </w:tc>
      </w:tr>
      <w:tr>
        <w:trPr>
          <w:trHeight w:val="166"/>
        </w:trPr>
        <w:tc>
          <w:tcPr>
            <w:tcW w:w="4820" w:type="dxa"/>
            <w:vAlign w:val="bottom"/>
          </w:tcPr>
          <w:p>
            <w:pPr>
              <w:spacing w:after="0"/>
              <w:rPr>
                <w:sz w:val="20"/>
                <w:szCs w:val="20"/>
                <w:color w:val="auto"/>
              </w:rPr>
            </w:pPr>
            <w:r>
              <w:rPr>
                <w:rFonts w:ascii="Courier New" w:cs="Courier New" w:eastAsia="Courier New" w:hAnsi="Courier New"/>
                <w:sz w:val="14"/>
                <w:szCs w:val="14"/>
                <w:color w:val="auto"/>
              </w:rPr>
              <w:t>Investments in and advances to affiliated companies</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(37.5)</w:t>
            </w:r>
          </w:p>
        </w:tc>
        <w:tc>
          <w:tcPr>
            <w:tcW w:w="15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(17.1)</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(54.6)</w:t>
            </w:r>
          </w:p>
        </w:tc>
      </w:tr>
      <w:tr>
        <w:trPr>
          <w:trHeight w:val="166"/>
        </w:trPr>
        <w:tc>
          <w:tcPr>
            <w:tcW w:w="4820" w:type="dxa"/>
            <w:vAlign w:val="bottom"/>
          </w:tcPr>
          <w:p>
            <w:pPr>
              <w:spacing w:after="0"/>
              <w:rPr>
                <w:sz w:val="20"/>
                <w:szCs w:val="20"/>
                <w:color w:val="auto"/>
              </w:rPr>
            </w:pPr>
            <w:r>
              <w:rPr>
                <w:rFonts w:ascii="Courier New" w:cs="Courier New" w:eastAsia="Courier New" w:hAnsi="Courier New"/>
                <w:sz w:val="14"/>
                <w:szCs w:val="14"/>
                <w:color w:val="auto"/>
              </w:rPr>
              <w:t>Proceeds from dispositions</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center"/>
              <w:ind w:right="48"/>
              <w:spacing w:after="0"/>
              <w:rPr>
                <w:sz w:val="20"/>
                <w:szCs w:val="20"/>
                <w:color w:val="auto"/>
              </w:rPr>
            </w:pPr>
            <w:r>
              <w:rPr>
                <w:rFonts w:ascii="Courier New" w:cs="Courier New" w:eastAsia="Courier New" w:hAnsi="Courier New"/>
                <w:sz w:val="14"/>
                <w:szCs w:val="14"/>
                <w:color w:val="auto"/>
                <w:w w:val="99"/>
              </w:rPr>
              <w:t>235.3</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235.3</w:t>
            </w:r>
          </w:p>
        </w:tc>
      </w:tr>
      <w:tr>
        <w:trPr>
          <w:trHeight w:val="166"/>
        </w:trPr>
        <w:tc>
          <w:tcPr>
            <w:tcW w:w="4820" w:type="dxa"/>
            <w:vAlign w:val="bottom"/>
          </w:tcPr>
          <w:p>
            <w:pPr>
              <w:spacing w:after="0"/>
              <w:rPr>
                <w:sz w:val="20"/>
                <w:szCs w:val="20"/>
                <w:color w:val="auto"/>
              </w:rPr>
            </w:pPr>
            <w:r>
              <w:rPr>
                <w:rFonts w:ascii="Courier New" w:cs="Courier New" w:eastAsia="Courier New" w:hAnsi="Courier New"/>
                <w:sz w:val="14"/>
                <w:szCs w:val="14"/>
                <w:color w:val="auto"/>
              </w:rPr>
              <w:t>Proceeds from sales of short-term investments</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53.8</w:t>
            </w:r>
          </w:p>
        </w:tc>
        <w:tc>
          <w:tcPr>
            <w:tcW w:w="150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53.8</w:t>
            </w:r>
          </w:p>
        </w:tc>
      </w:tr>
      <w:tr>
        <w:trPr>
          <w:trHeight w:val="166"/>
        </w:trPr>
        <w:tc>
          <w:tcPr>
            <w:tcW w:w="4820" w:type="dxa"/>
            <w:vAlign w:val="bottom"/>
          </w:tcPr>
          <w:p>
            <w:pPr>
              <w:spacing w:after="0"/>
              <w:rPr>
                <w:sz w:val="20"/>
                <w:szCs w:val="20"/>
                <w:color w:val="auto"/>
              </w:rPr>
            </w:pPr>
            <w:r>
              <w:rPr>
                <w:rFonts w:ascii="Courier New" w:cs="Courier New" w:eastAsia="Courier New" w:hAnsi="Courier New"/>
                <w:sz w:val="14"/>
                <w:szCs w:val="14"/>
                <w:color w:val="auto"/>
              </w:rPr>
              <w:t>Purchases of short-term investments</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(13.8)</w:t>
            </w:r>
          </w:p>
        </w:tc>
        <w:tc>
          <w:tcPr>
            <w:tcW w:w="150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(13.8)</w:t>
            </w:r>
          </w:p>
        </w:tc>
      </w:tr>
      <w:tr>
        <w:trPr>
          <w:trHeight w:val="166"/>
        </w:trPr>
        <w:tc>
          <w:tcPr>
            <w:tcW w:w="4820" w:type="dxa"/>
            <w:vAlign w:val="bottom"/>
          </w:tcPr>
          <w:p>
            <w:pPr>
              <w:spacing w:after="0"/>
              <w:rPr>
                <w:sz w:val="20"/>
                <w:szCs w:val="20"/>
                <w:color w:val="auto"/>
              </w:rPr>
            </w:pPr>
            <w:r>
              <w:rPr>
                <w:rFonts w:ascii="Courier New" w:cs="Courier New" w:eastAsia="Courier New" w:hAnsi="Courier New"/>
                <w:sz w:val="14"/>
                <w:szCs w:val="14"/>
                <w:color w:val="auto"/>
              </w:rPr>
              <w:t>Other, net</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0.1</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5420" w:val="left"/>
          <w:tab w:leader="none" w:pos="6540" w:val="left"/>
          <w:tab w:leader="none" w:pos="7820" w:val="left"/>
          <w:tab w:leader="none" w:pos="9460" w:val="left"/>
          <w:tab w:leader="none" w:pos="10660" w:val="left"/>
        </w:tabs>
        <w:rPr>
          <w:sz w:val="20"/>
          <w:szCs w:val="20"/>
          <w:color w:val="auto"/>
        </w:rPr>
      </w:pPr>
      <w:r>
        <w:rPr>
          <w:rFonts w:ascii="Courier New" w:cs="Courier New" w:eastAsia="Courier New" w:hAnsi="Courier New"/>
          <w:sz w:val="14"/>
          <w:szCs w:val="14"/>
          <w:color w:val="auto"/>
        </w:rPr>
        <w:t>Net cash flow used for investing activities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(88.4)</w:t>
      </w:r>
      <w:r>
        <w:rPr>
          <w:sz w:val="20"/>
          <w:szCs w:val="20"/>
          <w:color w:val="auto"/>
        </w:rPr>
        <w:tab/>
      </w:r>
      <w:r>
        <w:rPr>
          <w:rFonts w:ascii="Courier New" w:cs="Courier New" w:eastAsia="Courier New" w:hAnsi="Courier New"/>
          <w:sz w:val="14"/>
          <w:szCs w:val="14"/>
          <w:color w:val="auto"/>
        </w:rPr>
        <w:t>(790.8)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(879.2)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tcPr>
          <w:p>
            <w:pPr>
              <w:spacing w:after="0"/>
              <w:rPr>
                <w:sz w:val="20"/>
                <w:szCs w:val="20"/>
                <w:color w:val="auto"/>
              </w:rPr>
            </w:pPr>
            <w:r>
              <w:rPr>
                <w:rFonts w:ascii="Courier New" w:cs="Courier New" w:eastAsia="Courier New" w:hAnsi="Courier New"/>
                <w:sz w:val="14"/>
                <w:szCs w:val="14"/>
                <w:color w:val="auto"/>
              </w:rPr>
              <w:t>Financing Activities:</w:t>
            </w: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4880" w:type="dxa"/>
            <w:vAlign w:val="bottom"/>
          </w:tcPr>
          <w:p>
            <w:pPr>
              <w:ind w:left="180"/>
              <w:spacing w:after="0"/>
              <w:rPr>
                <w:sz w:val="20"/>
                <w:szCs w:val="20"/>
                <w:color w:val="auto"/>
              </w:rPr>
            </w:pPr>
            <w:r>
              <w:rPr>
                <w:rFonts w:ascii="Courier New" w:cs="Courier New" w:eastAsia="Courier New" w:hAnsi="Courier New"/>
                <w:sz w:val="14"/>
                <w:szCs w:val="14"/>
                <w:color w:val="auto"/>
              </w:rPr>
              <w:t>Repayments to banks, including commercial paper, net</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(951.3)</w:t>
            </w:r>
          </w:p>
        </w:tc>
        <w:tc>
          <w:tcPr>
            <w:tcW w:w="11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(100.0)</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(2,569.3)</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(3,620.6)</w:t>
            </w:r>
          </w:p>
        </w:tc>
      </w:tr>
      <w:tr>
        <w:trPr>
          <w:trHeight w:val="166"/>
        </w:trPr>
        <w:tc>
          <w:tcPr>
            <w:tcW w:w="4880" w:type="dxa"/>
            <w:vAlign w:val="bottom"/>
          </w:tcPr>
          <w:p>
            <w:pPr>
              <w:ind w:left="180"/>
              <w:spacing w:after="0"/>
              <w:rPr>
                <w:sz w:val="20"/>
                <w:szCs w:val="20"/>
                <w:color w:val="auto"/>
              </w:rPr>
            </w:pPr>
            <w:r>
              <w:rPr>
                <w:rFonts w:ascii="Courier New" w:cs="Courier New" w:eastAsia="Courier New" w:hAnsi="Courier New"/>
                <w:sz w:val="14"/>
                <w:szCs w:val="14"/>
                <w:color w:val="auto"/>
              </w:rPr>
              <w:t>Proceeds from senior notes and debentures</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3,372.3</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5.8</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3,378.1</w:t>
            </w:r>
          </w:p>
        </w:tc>
      </w:tr>
      <w:tr>
        <w:trPr>
          <w:trHeight w:val="166"/>
        </w:trPr>
        <w:tc>
          <w:tcPr>
            <w:tcW w:w="4880" w:type="dxa"/>
            <w:vAlign w:val="bottom"/>
          </w:tcPr>
          <w:p>
            <w:pPr>
              <w:ind w:left="180"/>
              <w:spacing w:after="0"/>
              <w:rPr>
                <w:sz w:val="20"/>
                <w:szCs w:val="20"/>
                <w:color w:val="auto"/>
              </w:rPr>
            </w:pPr>
            <w:r>
              <w:rPr>
                <w:rFonts w:ascii="Courier New" w:cs="Courier New" w:eastAsia="Courier New" w:hAnsi="Courier New"/>
                <w:sz w:val="14"/>
                <w:szCs w:val="14"/>
                <w:color w:val="auto"/>
              </w:rPr>
              <w:t>Purchase of treasury stock</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(829.2)</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(829.2)</w:t>
            </w:r>
          </w:p>
        </w:tc>
      </w:tr>
      <w:tr>
        <w:trPr>
          <w:trHeight w:val="166"/>
        </w:trPr>
        <w:tc>
          <w:tcPr>
            <w:tcW w:w="4880" w:type="dxa"/>
            <w:vAlign w:val="bottom"/>
          </w:tcPr>
          <w:p>
            <w:pPr>
              <w:ind w:left="180"/>
              <w:spacing w:after="0"/>
              <w:rPr>
                <w:sz w:val="20"/>
                <w:szCs w:val="20"/>
                <w:color w:val="auto"/>
              </w:rPr>
            </w:pPr>
            <w:r>
              <w:rPr>
                <w:rFonts w:ascii="Courier New" w:cs="Courier New" w:eastAsia="Courier New" w:hAnsi="Courier New"/>
                <w:sz w:val="14"/>
                <w:szCs w:val="14"/>
                <w:color w:val="auto"/>
              </w:rPr>
              <w:t>Repayment of notes and debentures</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(23.5)</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(436.4)</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(459.9)</w:t>
            </w:r>
          </w:p>
        </w:tc>
      </w:tr>
      <w:tr>
        <w:trPr>
          <w:trHeight w:val="166"/>
        </w:trPr>
        <w:tc>
          <w:tcPr>
            <w:tcW w:w="4880" w:type="dxa"/>
            <w:vAlign w:val="bottom"/>
          </w:tcPr>
          <w:p>
            <w:pPr>
              <w:ind w:left="180"/>
              <w:spacing w:after="0"/>
              <w:rPr>
                <w:sz w:val="20"/>
                <w:szCs w:val="20"/>
                <w:color w:val="auto"/>
              </w:rPr>
            </w:pPr>
            <w:r>
              <w:rPr>
                <w:rFonts w:ascii="Courier New" w:cs="Courier New" w:eastAsia="Courier New" w:hAnsi="Courier New"/>
                <w:sz w:val="14"/>
                <w:szCs w:val="14"/>
                <w:color w:val="auto"/>
              </w:rPr>
              <w:t>Proceeds from exercise of stock options</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158.5</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158.5</w:t>
            </w:r>
          </w:p>
        </w:tc>
      </w:tr>
      <w:tr>
        <w:trPr>
          <w:trHeight w:val="166"/>
        </w:trPr>
        <w:tc>
          <w:tcPr>
            <w:tcW w:w="4880" w:type="dxa"/>
            <w:vAlign w:val="bottom"/>
          </w:tcPr>
          <w:p>
            <w:pPr>
              <w:ind w:left="180"/>
              <w:spacing w:after="0"/>
              <w:rPr>
                <w:sz w:val="20"/>
                <w:szCs w:val="20"/>
                <w:color w:val="auto"/>
              </w:rPr>
            </w:pPr>
            <w:r>
              <w:rPr>
                <w:rFonts w:ascii="Courier New" w:cs="Courier New" w:eastAsia="Courier New" w:hAnsi="Courier New"/>
                <w:sz w:val="14"/>
                <w:szCs w:val="14"/>
                <w:color w:val="auto"/>
              </w:rPr>
              <w:t>Payment of capital lease obligations</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(8.8)</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(92.1)</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(100.9)</w:t>
            </w:r>
          </w:p>
        </w:tc>
      </w:tr>
      <w:tr>
        <w:trPr>
          <w:trHeight w:val="166"/>
        </w:trPr>
        <w:tc>
          <w:tcPr>
            <w:tcW w:w="4880" w:type="dxa"/>
            <w:vAlign w:val="bottom"/>
          </w:tcPr>
          <w:p>
            <w:pPr>
              <w:ind w:left="180"/>
              <w:spacing w:after="0"/>
              <w:rPr>
                <w:sz w:val="20"/>
                <w:szCs w:val="20"/>
                <w:color w:val="auto"/>
              </w:rPr>
            </w:pPr>
            <w:r>
              <w:rPr>
                <w:rFonts w:ascii="Courier New" w:cs="Courier New" w:eastAsia="Courier New" w:hAnsi="Courier New"/>
                <w:sz w:val="14"/>
                <w:szCs w:val="14"/>
                <w:color w:val="auto"/>
              </w:rPr>
              <w:t>Increase (decrease) in intercompany payables</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(1,260.8)</w:t>
            </w:r>
          </w:p>
        </w:tc>
        <w:tc>
          <w:tcPr>
            <w:tcW w:w="11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(112.4)</w:t>
            </w:r>
          </w:p>
        </w:tc>
        <w:tc>
          <w:tcPr>
            <w:tcW w:w="16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1,373.2</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4880" w:type="dxa"/>
            <w:vAlign w:val="bottom"/>
          </w:tcPr>
          <w:p>
            <w:pPr>
              <w:ind w:left="180"/>
              <w:spacing w:after="0"/>
              <w:rPr>
                <w:sz w:val="20"/>
                <w:szCs w:val="20"/>
                <w:color w:val="auto"/>
              </w:rPr>
            </w:pPr>
            <w:r>
              <w:rPr>
                <w:rFonts w:ascii="Courier New" w:cs="Courier New" w:eastAsia="Courier New" w:hAnsi="Courier New"/>
                <w:sz w:val="14"/>
                <w:szCs w:val="14"/>
                <w:color w:val="auto"/>
              </w:rPr>
              <w:t>Other, net</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bl>
    <w:p>
      <w:pPr>
        <w:spacing w:after="0" w:line="4" w:lineRule="exact"/>
        <w:rPr>
          <w:sz w:val="20"/>
          <w:szCs w:val="20"/>
          <w:color w:val="auto"/>
        </w:rPr>
      </w:pPr>
    </w:p>
    <w:p>
      <w:pPr>
        <w:ind w:left="180" w:hanging="172"/>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cash flow provided by (used for) financing</w:t>
      </w:r>
    </w:p>
    <w:p>
      <w:pPr>
        <w:spacing w:after="0" w:line="7"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2840" w:type="dxa"/>
            <w:vAlign w:val="bottom"/>
          </w:tcPr>
          <w:p>
            <w:pPr>
              <w:spacing w:after="0"/>
              <w:rPr>
                <w:sz w:val="20"/>
                <w:szCs w:val="20"/>
                <w:color w:val="auto"/>
              </w:rPr>
            </w:pPr>
            <w:r>
              <w:rPr>
                <w:rFonts w:ascii="Courier New" w:cs="Courier New" w:eastAsia="Courier New" w:hAnsi="Courier New"/>
                <w:sz w:val="14"/>
                <w:szCs w:val="14"/>
                <w:color w:val="auto"/>
              </w:rPr>
              <w:t>activities</w:t>
            </w:r>
          </w:p>
        </w:tc>
        <w:tc>
          <w:tcPr>
            <w:tcW w:w="2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464.5</w:t>
            </w:r>
          </w:p>
        </w:tc>
        <w:tc>
          <w:tcPr>
            <w:tcW w:w="12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(221.2)</w:t>
            </w:r>
          </w:p>
        </w:tc>
        <w:tc>
          <w:tcPr>
            <w:tcW w:w="212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(1,718.8)</w:t>
            </w:r>
          </w:p>
        </w:tc>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rPr>
              <w:t>(1,475.5)</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320" w:type="dxa"/>
            <w:vAlign w:val="bottom"/>
            <w:gridSpan w:val="9"/>
          </w:tcPr>
          <w:p>
            <w:pPr>
              <w:ind w:left="40"/>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2060" w:type="dxa"/>
            <w:vAlign w:val="bottom"/>
          </w:tcPr>
          <w:p>
            <w:pPr>
              <w:ind w:left="40"/>
              <w:spacing w:after="0"/>
              <w:rPr>
                <w:sz w:val="20"/>
                <w:szCs w:val="20"/>
                <w:color w:val="auto"/>
              </w:rPr>
            </w:pPr>
            <w:r>
              <w:rPr>
                <w:rFonts w:ascii="Courier New" w:cs="Courier New" w:eastAsia="Courier New" w:hAnsi="Courier New"/>
                <w:sz w:val="14"/>
                <w:szCs w:val="14"/>
                <w:color w:val="auto"/>
              </w:rPr>
              <w:t>Net increase (decrease)</w:t>
            </w:r>
          </w:p>
        </w:tc>
        <w:tc>
          <w:tcPr>
            <w:tcW w:w="2680" w:type="dxa"/>
            <w:vAlign w:val="bottom"/>
          </w:tcPr>
          <w:p>
            <w:pPr>
              <w:ind w:left="40"/>
              <w:spacing w:after="0"/>
              <w:rPr>
                <w:sz w:val="20"/>
                <w:szCs w:val="20"/>
                <w:color w:val="auto"/>
              </w:rPr>
            </w:pPr>
            <w:r>
              <w:rPr>
                <w:rFonts w:ascii="Courier New" w:cs="Courier New" w:eastAsia="Courier New" w:hAnsi="Courier New"/>
                <w:sz w:val="14"/>
                <w:szCs w:val="14"/>
                <w:color w:val="auto"/>
              </w:rPr>
              <w:t>in cash and cash equivalents</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(68.9)</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(202.3)</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(138.0)</w:t>
            </w:r>
          </w:p>
        </w:tc>
        <w:tc>
          <w:tcPr>
            <w:tcW w:w="620" w:type="dxa"/>
            <w:vAlign w:val="bottom"/>
          </w:tcPr>
          <w:p>
            <w:pPr>
              <w:spacing w:after="0"/>
              <w:rPr>
                <w:sz w:val="14"/>
                <w:szCs w:val="1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(409.2)</w:t>
            </w:r>
          </w:p>
        </w:tc>
      </w:tr>
      <w:tr>
        <w:trPr>
          <w:trHeight w:val="166"/>
        </w:trPr>
        <w:tc>
          <w:tcPr>
            <w:tcW w:w="140" w:type="dxa"/>
            <w:vAlign w:val="bottom"/>
          </w:tcPr>
          <w:p>
            <w:pPr>
              <w:spacing w:after="0"/>
              <w:rPr>
                <w:sz w:val="14"/>
                <w:szCs w:val="14"/>
                <w:color w:val="auto"/>
              </w:rPr>
            </w:pPr>
          </w:p>
        </w:tc>
        <w:tc>
          <w:tcPr>
            <w:tcW w:w="47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Cash and cash equivalents at beginning of period</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192.8</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326.5</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415.2</w:t>
            </w:r>
          </w:p>
        </w:tc>
        <w:tc>
          <w:tcPr>
            <w:tcW w:w="620" w:type="dxa"/>
            <w:vAlign w:val="bottom"/>
          </w:tcPr>
          <w:p>
            <w:pPr>
              <w:spacing w:after="0"/>
              <w:rPr>
                <w:sz w:val="14"/>
                <w:szCs w:val="1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934.5</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320" w:type="dxa"/>
            <w:vAlign w:val="bottom"/>
            <w:gridSpan w:val="9"/>
          </w:tcPr>
          <w:p>
            <w:pPr>
              <w:ind w:left="40"/>
              <w:spacing w:after="0"/>
              <w:rPr>
                <w:sz w:val="20"/>
                <w:szCs w:val="20"/>
                <w:color w:val="auto"/>
              </w:rPr>
            </w:pPr>
            <w:r>
              <w:rPr>
                <w:rFonts w:ascii="Courier New" w:cs="Courier New" w:eastAsia="Courier New" w:hAnsi="Courier New"/>
                <w:sz w:val="14"/>
                <w:szCs w:val="14"/>
                <w:color w:val="auto"/>
              </w:rPr>
              <w:t>-----------------------------------------------------------------------------------------------------------------------------------</w:t>
            </w:r>
          </w:p>
        </w:tc>
      </w:tr>
      <w:tr>
        <w:trPr>
          <w:trHeight w:val="166"/>
        </w:trPr>
        <w:tc>
          <w:tcPr>
            <w:tcW w:w="2200" w:type="dxa"/>
            <w:vAlign w:val="bottom"/>
            <w:gridSpan w:val="2"/>
          </w:tcPr>
          <w:p>
            <w:pPr>
              <w:spacing w:after="0"/>
              <w:rPr>
                <w:sz w:val="20"/>
                <w:szCs w:val="20"/>
                <w:color w:val="auto"/>
              </w:rPr>
            </w:pPr>
            <w:r>
              <w:rPr>
                <w:rFonts w:ascii="Courier New" w:cs="Courier New" w:eastAsia="Courier New" w:hAnsi="Courier New"/>
                <w:sz w:val="14"/>
                <w:szCs w:val="14"/>
                <w:color w:val="auto"/>
              </w:rPr>
              <w:t>Cash and cash equivalents</w:t>
            </w:r>
          </w:p>
        </w:tc>
        <w:tc>
          <w:tcPr>
            <w:tcW w:w="2680" w:type="dxa"/>
            <w:vAlign w:val="bottom"/>
          </w:tcPr>
          <w:p>
            <w:pPr>
              <w:ind w:left="40"/>
              <w:spacing w:after="0"/>
              <w:rPr>
                <w:sz w:val="20"/>
                <w:szCs w:val="20"/>
                <w:color w:val="auto"/>
              </w:rPr>
            </w:pPr>
            <w:r>
              <w:rPr>
                <w:rFonts w:ascii="Courier New" w:cs="Courier New" w:eastAsia="Courier New" w:hAnsi="Courier New"/>
                <w:sz w:val="14"/>
                <w:szCs w:val="14"/>
                <w:color w:val="auto"/>
              </w:rPr>
              <w:t>at end of period</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123.9</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124.2</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277.2</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525.3</w:t>
            </w:r>
          </w:p>
        </w:tc>
      </w:tr>
    </w:tbl>
    <w:p>
      <w:pPr>
        <w:spacing w:after="0" w:line="4" w:lineRule="exact"/>
        <w:rPr>
          <w:sz w:val="20"/>
          <w:szCs w:val="20"/>
          <w:color w:val="auto"/>
        </w:rPr>
      </w:pPr>
    </w:p>
    <w:p>
      <w:pPr>
        <w:ind w:left="180" w:hanging="172"/>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ind w:left="3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-22-</w:t>
      </w:r>
    </w:p>
    <w:p>
      <w:pPr>
        <w:sectPr>
          <w:pgSz w:w="11900" w:h="16838" w:orient="portrait"/>
          <w:cols w:equalWidth="0" w:num="1">
            <w:col w:w="11460"/>
          </w:cols>
          <w:pgMar w:left="220" w:top="616" w:right="219" w:bottom="1440" w:gutter="0" w:footer="0" w:header="0"/>
        </w:sectPr>
      </w:pPr>
    </w:p>
    <w:bookmarkStart w:id="22" w:name="page23"/>
    <w:bookmarkEnd w:id="22"/>
    <w:p>
      <w:pPr>
        <w:jc w:val="center"/>
        <w:ind w:right="4640"/>
        <w:spacing w:after="0"/>
        <w:rPr>
          <w:sz w:val="20"/>
          <w:szCs w:val="20"/>
          <w:color w:val="auto"/>
        </w:rPr>
      </w:pPr>
      <w:r>
        <w:rPr>
          <w:rFonts w:ascii="Courier New" w:cs="Courier New" w:eastAsia="Courier New" w:hAnsi="Courier New"/>
          <w:sz w:val="14"/>
          <w:szCs w:val="14"/>
          <w:color w:val="auto"/>
        </w:rPr>
        <w:t>VIACOM INC. AND SUBSIDIARIES</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(Tabular dollars in millions, except per share amounts)</w:t>
      </w:r>
    </w:p>
    <w:p>
      <w:pPr>
        <w:spacing w:after="0" w:line="200" w:lineRule="exact"/>
        <w:rPr>
          <w:sz w:val="20"/>
          <w:szCs w:val="20"/>
          <w:color w:val="auto"/>
        </w:rPr>
      </w:pPr>
    </w:p>
    <w:p>
      <w:pPr>
        <w:spacing w:after="0" w:line="304" w:lineRule="exact"/>
        <w:rPr>
          <w:sz w:val="20"/>
          <w:szCs w:val="20"/>
          <w:color w:val="auto"/>
        </w:rPr>
      </w:pPr>
    </w:p>
    <w:p>
      <w:pPr>
        <w:ind w:left="6980"/>
        <w:spacing w:after="0"/>
        <w:rPr>
          <w:sz w:val="20"/>
          <w:szCs w:val="20"/>
          <w:color w:val="auto"/>
        </w:rPr>
      </w:pPr>
      <w:r>
        <w:rPr>
          <w:rFonts w:ascii="Courier New" w:cs="Courier New" w:eastAsia="Courier New" w:hAnsi="Courier New"/>
          <w:sz w:val="14"/>
          <w:szCs w:val="14"/>
          <w:color w:val="auto"/>
        </w:rPr>
        <w:t>Nine Months Ended September 30, 2000</w:t>
      </w:r>
    </w:p>
    <w:p>
      <w:pPr>
        <w:spacing w:after="0" w:line="7" w:lineRule="exact"/>
        <w:rPr>
          <w:sz w:val="20"/>
          <w:szCs w:val="20"/>
          <w:color w:val="auto"/>
        </w:rPr>
      </w:pPr>
    </w:p>
    <w:p>
      <w:pPr>
        <w:ind w:left="5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200"/>
        <w:spacing w:after="0"/>
        <w:rPr>
          <w:sz w:val="20"/>
          <w:szCs w:val="20"/>
          <w:color w:val="auto"/>
        </w:rPr>
      </w:pPr>
      <w:r>
        <w:rPr>
          <w:rFonts w:ascii="Courier New" w:cs="Courier New" w:eastAsia="Courier New" w:hAnsi="Courier New"/>
          <w:sz w:val="14"/>
          <w:szCs w:val="14"/>
          <w:color w:val="auto"/>
        </w:rPr>
        <w:t>Non-</w:t>
      </w:r>
    </w:p>
    <w:p>
      <w:pPr>
        <w:spacing w:after="0" w:line="7" w:lineRule="exact"/>
        <w:rPr>
          <w:sz w:val="20"/>
          <w:szCs w:val="20"/>
          <w:color w:val="auto"/>
        </w:rPr>
      </w:pPr>
    </w:p>
    <w:p>
      <w:pPr>
        <w:ind w:left="5260"/>
        <w:spacing w:after="0"/>
        <w:tabs>
          <w:tab w:leader="none" w:pos="6700" w:val="left"/>
          <w:tab w:leader="none" w:pos="7920" w:val="left"/>
          <w:tab w:leader="none" w:pos="10320" w:val="left"/>
        </w:tabs>
        <w:rPr>
          <w:sz w:val="20"/>
          <w:szCs w:val="20"/>
          <w:color w:val="auto"/>
        </w:rPr>
      </w:pPr>
      <w:r>
        <w:rPr>
          <w:rFonts w:ascii="Courier New" w:cs="Courier New" w:eastAsia="Courier New" w:hAnsi="Courier New"/>
          <w:sz w:val="14"/>
          <w:szCs w:val="14"/>
          <w:color w:val="auto"/>
        </w:rPr>
        <w:t>Viacom</w:t>
      </w:r>
      <w:r>
        <w:rPr>
          <w:sz w:val="20"/>
          <w:szCs w:val="20"/>
          <w:color w:val="auto"/>
        </w:rPr>
        <w:tab/>
      </w:r>
      <w:r>
        <w:rPr>
          <w:rFonts w:ascii="Courier New" w:cs="Courier New" w:eastAsia="Courier New" w:hAnsi="Courier New"/>
          <w:sz w:val="14"/>
          <w:szCs w:val="14"/>
          <w:color w:val="auto"/>
        </w:rPr>
        <w:t>Viacom</w:t>
      </w:r>
      <w:r>
        <w:rPr>
          <w:sz w:val="20"/>
          <w:szCs w:val="20"/>
          <w:color w:val="auto"/>
        </w:rPr>
        <w:tab/>
      </w:r>
      <w:r>
        <w:rPr>
          <w:rFonts w:ascii="Courier New" w:cs="Courier New" w:eastAsia="Courier New" w:hAnsi="Courier New"/>
          <w:sz w:val="14"/>
          <w:szCs w:val="14"/>
          <w:color w:val="auto"/>
        </w:rPr>
        <w:t>Guarantor</w:t>
      </w:r>
      <w:r>
        <w:rPr>
          <w:sz w:val="20"/>
          <w:szCs w:val="20"/>
          <w:color w:val="auto"/>
        </w:rPr>
        <w:tab/>
      </w:r>
      <w:r>
        <w:rPr>
          <w:rFonts w:ascii="Courier New" w:cs="Courier New" w:eastAsia="Courier New" w:hAnsi="Courier New"/>
          <w:sz w:val="14"/>
          <w:szCs w:val="14"/>
          <w:color w:val="auto"/>
        </w:rPr>
        <w:t>Viacom Inc.</w:t>
      </w:r>
    </w:p>
    <w:p>
      <w:pPr>
        <w:spacing w:after="0" w:line="7" w:lineRule="exact"/>
        <w:rPr>
          <w:sz w:val="20"/>
          <w:szCs w:val="20"/>
          <w:color w:val="auto"/>
        </w:rPr>
      </w:pPr>
    </w:p>
    <w:p>
      <w:pPr>
        <w:ind w:left="5520"/>
        <w:spacing w:after="0"/>
        <w:tabs>
          <w:tab w:leader="none" w:pos="6280" w:val="left"/>
          <w:tab w:leader="none" w:pos="7920" w:val="left"/>
          <w:tab w:leader="none" w:pos="9040" w:val="left"/>
          <w:tab w:leader="none" w:pos="10320" w:val="left"/>
        </w:tabs>
        <w:rPr>
          <w:sz w:val="20"/>
          <w:szCs w:val="20"/>
          <w:color w:val="auto"/>
        </w:rPr>
      </w:pPr>
      <w:r>
        <w:rPr>
          <w:rFonts w:ascii="Courier New" w:cs="Courier New" w:eastAsia="Courier New" w:hAnsi="Courier New"/>
          <w:sz w:val="14"/>
          <w:szCs w:val="14"/>
          <w:color w:val="auto"/>
        </w:rPr>
        <w:t>Inc.</w:t>
      </w:r>
      <w:r>
        <w:rPr>
          <w:sz w:val="20"/>
          <w:szCs w:val="20"/>
          <w:color w:val="auto"/>
        </w:rPr>
        <w:tab/>
      </w:r>
      <w:r>
        <w:rPr>
          <w:rFonts w:ascii="Courier New" w:cs="Courier New" w:eastAsia="Courier New" w:hAnsi="Courier New"/>
          <w:sz w:val="14"/>
          <w:szCs w:val="14"/>
          <w:color w:val="auto"/>
        </w:rPr>
        <w:t>International</w:t>
      </w:r>
      <w:r>
        <w:rPr>
          <w:sz w:val="20"/>
          <w:szCs w:val="20"/>
          <w:color w:val="auto"/>
        </w:rPr>
        <w:tab/>
      </w:r>
      <w:r>
        <w:rPr>
          <w:rFonts w:ascii="Courier New" w:cs="Courier New" w:eastAsia="Courier New" w:hAnsi="Courier New"/>
          <w:sz w:val="14"/>
          <w:szCs w:val="14"/>
          <w:color w:val="auto"/>
        </w:rPr>
        <w:t>Affiliates</w:t>
      </w:r>
      <w:r>
        <w:rPr>
          <w:sz w:val="20"/>
          <w:szCs w:val="20"/>
          <w:color w:val="auto"/>
        </w:rPr>
        <w:tab/>
      </w:r>
      <w:r>
        <w:rPr>
          <w:rFonts w:ascii="Courier New" w:cs="Courier New" w:eastAsia="Courier New" w:hAnsi="Courier New"/>
          <w:sz w:val="14"/>
          <w:szCs w:val="14"/>
          <w:color w:val="auto"/>
        </w:rPr>
        <w:t>Eliminations</w:t>
      </w:r>
      <w:r>
        <w:rPr>
          <w:sz w:val="20"/>
          <w:szCs w:val="20"/>
          <w:color w:val="auto"/>
        </w:rPr>
        <w:tab/>
      </w:r>
      <w:r>
        <w:rPr>
          <w:rFonts w:ascii="Courier New" w:cs="Courier New" w:eastAsia="Courier New" w:hAnsi="Courier New"/>
          <w:sz w:val="14"/>
          <w:szCs w:val="14"/>
          <w:color w:val="auto"/>
        </w:rPr>
        <w:t>Consolidated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tabs>
          <w:tab w:leader="none" w:pos="5240" w:val="left"/>
          <w:tab w:leader="none" w:pos="5580" w:val="left"/>
          <w:tab w:leader="none" w:pos="6440" w:val="left"/>
          <w:tab w:leader="none" w:pos="6960" w:val="left"/>
          <w:tab w:leader="none" w:pos="7820" w:val="left"/>
          <w:tab w:leader="none" w:pos="9200" w:val="left"/>
          <w:tab w:leader="none" w:pos="9720" w:val="left"/>
          <w:tab w:leader="none" w:pos="10500" w:val="left"/>
        </w:tabs>
        <w:rPr>
          <w:sz w:val="20"/>
          <w:szCs w:val="20"/>
          <w:color w:val="auto"/>
        </w:rPr>
      </w:pPr>
      <w:r>
        <w:rPr>
          <w:rFonts w:ascii="Courier New" w:cs="Courier New" w:eastAsia="Courier New" w:hAnsi="Courier New"/>
          <w:sz w:val="14"/>
          <w:szCs w:val="14"/>
          <w:color w:val="auto"/>
        </w:rPr>
        <w:t>Net cash flow (used for) provided by operating activities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(46.4)</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80.3</w:t>
      </w:r>
      <w:r>
        <w:rPr>
          <w:sz w:val="20"/>
          <w:szCs w:val="20"/>
          <w:color w:val="auto"/>
        </w:rPr>
        <w:tab/>
      </w:r>
      <w:r>
        <w:rPr>
          <w:rFonts w:ascii="Courier New" w:cs="Courier New" w:eastAsia="Courier New" w:hAnsi="Courier New"/>
          <w:sz w:val="14"/>
          <w:szCs w:val="14"/>
          <w:color w:val="auto"/>
        </w:rPr>
        <w:t>$ 1,111.0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$1,144.9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40" w:type="dxa"/>
            <w:vAlign w:val="bottom"/>
          </w:tcPr>
          <w:p>
            <w:pPr>
              <w:spacing w:after="0"/>
              <w:rPr>
                <w:sz w:val="20"/>
                <w:szCs w:val="20"/>
                <w:color w:val="auto"/>
              </w:rPr>
            </w:pPr>
            <w:r>
              <w:rPr>
                <w:rFonts w:ascii="Courier New" w:cs="Courier New" w:eastAsia="Courier New" w:hAnsi="Courier New"/>
                <w:sz w:val="14"/>
                <w:szCs w:val="14"/>
                <w:color w:val="auto"/>
              </w:rPr>
              <w:t>Investing Activities:</w:t>
            </w:r>
          </w:p>
        </w:tc>
        <w:tc>
          <w:tcPr>
            <w:tcW w:w="1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5140" w:type="dxa"/>
            <w:vAlign w:val="bottom"/>
          </w:tcPr>
          <w:p>
            <w:pPr>
              <w:ind w:left="180"/>
              <w:spacing w:after="0"/>
              <w:rPr>
                <w:sz w:val="20"/>
                <w:szCs w:val="20"/>
                <w:color w:val="auto"/>
              </w:rPr>
            </w:pPr>
            <w:r>
              <w:rPr>
                <w:rFonts w:ascii="Courier New" w:cs="Courier New" w:eastAsia="Courier New" w:hAnsi="Courier New"/>
                <w:sz w:val="14"/>
                <w:szCs w:val="14"/>
                <w:color w:val="auto"/>
              </w:rPr>
              <w:t>Acquisitions, net of cash acquired</w:t>
            </w: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(1,851.3)</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(1,851.3)</w:t>
            </w:r>
          </w:p>
        </w:tc>
      </w:tr>
      <w:tr>
        <w:trPr>
          <w:trHeight w:val="166"/>
        </w:trPr>
        <w:tc>
          <w:tcPr>
            <w:tcW w:w="5140" w:type="dxa"/>
            <w:vAlign w:val="bottom"/>
          </w:tcPr>
          <w:p>
            <w:pPr>
              <w:ind w:left="180"/>
              <w:spacing w:after="0"/>
              <w:rPr>
                <w:sz w:val="20"/>
                <w:szCs w:val="20"/>
                <w:color w:val="auto"/>
              </w:rPr>
            </w:pPr>
            <w:r>
              <w:rPr>
                <w:rFonts w:ascii="Courier New" w:cs="Courier New" w:eastAsia="Courier New" w:hAnsi="Courier New"/>
                <w:sz w:val="14"/>
                <w:szCs w:val="14"/>
                <w:color w:val="auto"/>
              </w:rPr>
              <w:t>Capital expenditures</w:t>
            </w: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(27.0)</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(395.1)</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(422.1)</w:t>
            </w:r>
          </w:p>
        </w:tc>
      </w:tr>
      <w:tr>
        <w:trPr>
          <w:trHeight w:val="166"/>
        </w:trPr>
        <w:tc>
          <w:tcPr>
            <w:tcW w:w="5140" w:type="dxa"/>
            <w:vAlign w:val="bottom"/>
          </w:tcPr>
          <w:p>
            <w:pPr>
              <w:ind w:left="180"/>
              <w:spacing w:after="0"/>
              <w:rPr>
                <w:sz w:val="20"/>
                <w:szCs w:val="20"/>
                <w:color w:val="auto"/>
              </w:rPr>
            </w:pPr>
            <w:r>
              <w:rPr>
                <w:rFonts w:ascii="Courier New" w:cs="Courier New" w:eastAsia="Courier New" w:hAnsi="Courier New"/>
                <w:sz w:val="14"/>
                <w:szCs w:val="14"/>
                <w:color w:val="auto"/>
              </w:rPr>
              <w:t>Investments in and advances to affiliated companies</w:t>
            </w: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(7.6)</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(117.6)</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(125.2)</w:t>
            </w:r>
          </w:p>
        </w:tc>
      </w:tr>
      <w:tr>
        <w:trPr>
          <w:trHeight w:val="166"/>
        </w:trPr>
        <w:tc>
          <w:tcPr>
            <w:tcW w:w="5140" w:type="dxa"/>
            <w:vAlign w:val="bottom"/>
          </w:tcPr>
          <w:p>
            <w:pPr>
              <w:ind w:left="180"/>
              <w:spacing w:after="0"/>
              <w:rPr>
                <w:sz w:val="20"/>
                <w:szCs w:val="20"/>
                <w:color w:val="auto"/>
              </w:rPr>
            </w:pPr>
            <w:r>
              <w:rPr>
                <w:rFonts w:ascii="Courier New" w:cs="Courier New" w:eastAsia="Courier New" w:hAnsi="Courier New"/>
                <w:sz w:val="14"/>
                <w:szCs w:val="14"/>
                <w:color w:val="auto"/>
              </w:rPr>
              <w:t>Proceeds from sales of short-term investments</w:t>
            </w: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55.7</w:t>
            </w:r>
          </w:p>
        </w:tc>
        <w:tc>
          <w:tcPr>
            <w:tcW w:w="1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225.0</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280.7</w:t>
            </w:r>
          </w:p>
        </w:tc>
      </w:tr>
      <w:tr>
        <w:trPr>
          <w:trHeight w:val="166"/>
        </w:trPr>
        <w:tc>
          <w:tcPr>
            <w:tcW w:w="5140" w:type="dxa"/>
            <w:vAlign w:val="bottom"/>
          </w:tcPr>
          <w:p>
            <w:pPr>
              <w:ind w:left="180"/>
              <w:spacing w:after="0"/>
              <w:rPr>
                <w:sz w:val="20"/>
                <w:szCs w:val="20"/>
                <w:color w:val="auto"/>
              </w:rPr>
            </w:pPr>
            <w:r>
              <w:rPr>
                <w:rFonts w:ascii="Courier New" w:cs="Courier New" w:eastAsia="Courier New" w:hAnsi="Courier New"/>
                <w:sz w:val="14"/>
                <w:szCs w:val="14"/>
                <w:color w:val="auto"/>
              </w:rPr>
              <w:t>Purchases of short-term investments</w:t>
            </w: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(83.4)</w:t>
            </w:r>
          </w:p>
        </w:tc>
        <w:tc>
          <w:tcPr>
            <w:tcW w:w="15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(83.4)</w:t>
            </w:r>
          </w:p>
        </w:tc>
      </w:tr>
      <w:tr>
        <w:trPr>
          <w:trHeight w:val="166"/>
        </w:trPr>
        <w:tc>
          <w:tcPr>
            <w:tcW w:w="5140" w:type="dxa"/>
            <w:vAlign w:val="bottom"/>
          </w:tcPr>
          <w:p>
            <w:pPr>
              <w:ind w:left="180"/>
              <w:spacing w:after="0"/>
              <w:rPr>
                <w:sz w:val="20"/>
                <w:szCs w:val="20"/>
                <w:color w:val="auto"/>
              </w:rPr>
            </w:pPr>
            <w:r>
              <w:rPr>
                <w:rFonts w:ascii="Courier New" w:cs="Courier New" w:eastAsia="Courier New" w:hAnsi="Courier New"/>
                <w:sz w:val="14"/>
                <w:szCs w:val="14"/>
                <w:color w:val="auto"/>
              </w:rPr>
              <w:t>Other, net</w:t>
            </w: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(13.4)</w:t>
            </w:r>
          </w:p>
        </w:tc>
        <w:tc>
          <w:tcPr>
            <w:tcW w:w="1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16.1</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2920" w:val="left"/>
          <w:tab w:leader="none" w:pos="5680" w:val="left"/>
          <w:tab w:leader="none" w:pos="6880" w:val="left"/>
          <w:tab w:leader="none" w:pos="7920" w:val="left"/>
          <w:tab w:leader="none" w:pos="9720" w:val="left"/>
          <w:tab w:leader="none" w:pos="10500" w:val="left"/>
        </w:tabs>
        <w:rPr>
          <w:sz w:val="20"/>
          <w:szCs w:val="20"/>
          <w:color w:val="auto"/>
        </w:rPr>
      </w:pPr>
      <w:r>
        <w:rPr>
          <w:rFonts w:ascii="Courier New" w:cs="Courier New" w:eastAsia="Courier New" w:hAnsi="Courier New"/>
          <w:sz w:val="14"/>
          <w:szCs w:val="14"/>
          <w:color w:val="auto"/>
        </w:rPr>
        <w:t>Net cash flow used for investing</w:t>
        <w:tab/>
        <w:t>activities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(75.7)</w:t>
      </w:r>
      <w:r>
        <w:rPr>
          <w:sz w:val="20"/>
          <w:szCs w:val="20"/>
          <w:color w:val="auto"/>
        </w:rPr>
        <w:tab/>
      </w:r>
      <w:r>
        <w:rPr>
          <w:rFonts w:ascii="Courier New" w:cs="Courier New" w:eastAsia="Courier New" w:hAnsi="Courier New"/>
          <w:sz w:val="14"/>
          <w:szCs w:val="14"/>
          <w:color w:val="auto"/>
        </w:rPr>
        <w:t>(2,122.9)</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(2,198.6)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20"/>
                <w:szCs w:val="20"/>
                <w:color w:val="auto"/>
              </w:rPr>
            </w:pPr>
            <w:r>
              <w:rPr>
                <w:rFonts w:ascii="Courier New" w:cs="Courier New" w:eastAsia="Courier New" w:hAnsi="Courier New"/>
                <w:sz w:val="14"/>
                <w:szCs w:val="14"/>
                <w:color w:val="auto"/>
              </w:rPr>
              <w:t>Financing Activities:</w:t>
            </w:r>
          </w:p>
        </w:tc>
        <w:tc>
          <w:tcPr>
            <w:tcW w:w="1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4660" w:type="dxa"/>
            <w:vAlign w:val="bottom"/>
          </w:tcPr>
          <w:p>
            <w:pPr>
              <w:ind w:left="180"/>
              <w:spacing w:after="0"/>
              <w:rPr>
                <w:sz w:val="20"/>
                <w:szCs w:val="20"/>
                <w:color w:val="auto"/>
              </w:rPr>
            </w:pPr>
            <w:r>
              <w:rPr>
                <w:rFonts w:ascii="Courier New" w:cs="Courier New" w:eastAsia="Courier New" w:hAnsi="Courier New"/>
                <w:sz w:val="14"/>
                <w:szCs w:val="14"/>
                <w:color w:val="auto"/>
              </w:rPr>
              <w:t>Borrowings from banks, including commercial</w:t>
            </w:r>
          </w:p>
        </w:tc>
        <w:tc>
          <w:tcPr>
            <w:tcW w:w="1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4660" w:type="dxa"/>
            <w:vAlign w:val="bottom"/>
          </w:tcPr>
          <w:p>
            <w:pPr>
              <w:ind w:left="520"/>
              <w:spacing w:after="0"/>
              <w:rPr>
                <w:sz w:val="20"/>
                <w:szCs w:val="20"/>
                <w:color w:val="auto"/>
              </w:rPr>
            </w:pPr>
            <w:r>
              <w:rPr>
                <w:rFonts w:ascii="Courier New" w:cs="Courier New" w:eastAsia="Courier New" w:hAnsi="Courier New"/>
                <w:sz w:val="14"/>
                <w:szCs w:val="14"/>
                <w:color w:val="auto"/>
              </w:rPr>
              <w:t>paper, net</w:t>
            </w:r>
          </w:p>
        </w:tc>
        <w:tc>
          <w:tcPr>
            <w:tcW w:w="18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w:t>
            </w: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1,525.0</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1,526.1</w:t>
            </w:r>
          </w:p>
        </w:tc>
      </w:tr>
      <w:tr>
        <w:trPr>
          <w:trHeight w:val="166"/>
        </w:trPr>
        <w:tc>
          <w:tcPr>
            <w:tcW w:w="4660" w:type="dxa"/>
            <w:vAlign w:val="bottom"/>
          </w:tcPr>
          <w:p>
            <w:pPr>
              <w:ind w:left="180"/>
              <w:spacing w:after="0"/>
              <w:rPr>
                <w:sz w:val="20"/>
                <w:szCs w:val="20"/>
                <w:color w:val="auto"/>
              </w:rPr>
            </w:pPr>
            <w:r>
              <w:rPr>
                <w:rFonts w:ascii="Courier New" w:cs="Courier New" w:eastAsia="Courier New" w:hAnsi="Courier New"/>
                <w:sz w:val="14"/>
                <w:szCs w:val="14"/>
                <w:color w:val="auto"/>
              </w:rPr>
              <w:t>Proceeds from senior notes and debentures</w:t>
            </w:r>
          </w:p>
        </w:tc>
        <w:tc>
          <w:tcPr>
            <w:tcW w:w="18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1,635.3</w:t>
            </w: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1,635.6</w:t>
            </w:r>
          </w:p>
        </w:tc>
      </w:tr>
      <w:tr>
        <w:trPr>
          <w:trHeight w:val="166"/>
        </w:trPr>
        <w:tc>
          <w:tcPr>
            <w:tcW w:w="4660" w:type="dxa"/>
            <w:vAlign w:val="bottom"/>
          </w:tcPr>
          <w:p>
            <w:pPr>
              <w:ind w:left="180"/>
              <w:spacing w:after="0"/>
              <w:rPr>
                <w:sz w:val="20"/>
                <w:szCs w:val="20"/>
                <w:color w:val="auto"/>
              </w:rPr>
            </w:pPr>
            <w:r>
              <w:rPr>
                <w:rFonts w:ascii="Courier New" w:cs="Courier New" w:eastAsia="Courier New" w:hAnsi="Courier New"/>
                <w:sz w:val="14"/>
                <w:szCs w:val="14"/>
                <w:color w:val="auto"/>
              </w:rPr>
              <w:t>Purchase of treasury stock</w:t>
            </w:r>
          </w:p>
        </w:tc>
        <w:tc>
          <w:tcPr>
            <w:tcW w:w="1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(1,588.6)</w:t>
            </w: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(1,588.6)</w:t>
            </w:r>
          </w:p>
        </w:tc>
      </w:tr>
      <w:tr>
        <w:trPr>
          <w:trHeight w:val="166"/>
        </w:trPr>
        <w:tc>
          <w:tcPr>
            <w:tcW w:w="4660" w:type="dxa"/>
            <w:vAlign w:val="bottom"/>
          </w:tcPr>
          <w:p>
            <w:pPr>
              <w:ind w:left="180"/>
              <w:spacing w:after="0"/>
              <w:rPr>
                <w:sz w:val="20"/>
                <w:szCs w:val="20"/>
                <w:color w:val="auto"/>
              </w:rPr>
            </w:pPr>
            <w:r>
              <w:rPr>
                <w:rFonts w:ascii="Courier New" w:cs="Courier New" w:eastAsia="Courier New" w:hAnsi="Courier New"/>
                <w:sz w:val="14"/>
                <w:szCs w:val="14"/>
                <w:color w:val="auto"/>
              </w:rPr>
              <w:t>Repayment of notes and debentures</w:t>
            </w: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(160.6)</w:t>
            </w:r>
          </w:p>
        </w:tc>
        <w:tc>
          <w:tcPr>
            <w:tcW w:w="14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(24.1)</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(184.7)</w:t>
            </w:r>
          </w:p>
        </w:tc>
      </w:tr>
      <w:tr>
        <w:trPr>
          <w:trHeight w:val="166"/>
        </w:trPr>
        <w:tc>
          <w:tcPr>
            <w:tcW w:w="4660" w:type="dxa"/>
            <w:vAlign w:val="bottom"/>
          </w:tcPr>
          <w:p>
            <w:pPr>
              <w:ind w:left="180"/>
              <w:spacing w:after="0"/>
              <w:rPr>
                <w:sz w:val="20"/>
                <w:szCs w:val="20"/>
                <w:color w:val="auto"/>
              </w:rPr>
            </w:pPr>
            <w:r>
              <w:rPr>
                <w:rFonts w:ascii="Courier New" w:cs="Courier New" w:eastAsia="Courier New" w:hAnsi="Courier New"/>
                <w:sz w:val="14"/>
                <w:szCs w:val="14"/>
                <w:color w:val="auto"/>
              </w:rPr>
              <w:t>Proceeds from exercise of stock options</w:t>
            </w:r>
          </w:p>
        </w:tc>
        <w:tc>
          <w:tcPr>
            <w:tcW w:w="18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162.5</w:t>
            </w: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162.5</w:t>
            </w:r>
          </w:p>
        </w:tc>
      </w:tr>
      <w:tr>
        <w:trPr>
          <w:trHeight w:val="166"/>
        </w:trPr>
        <w:tc>
          <w:tcPr>
            <w:tcW w:w="4660" w:type="dxa"/>
            <w:vAlign w:val="bottom"/>
          </w:tcPr>
          <w:p>
            <w:pPr>
              <w:ind w:left="180"/>
              <w:spacing w:after="0"/>
              <w:rPr>
                <w:sz w:val="20"/>
                <w:szCs w:val="20"/>
                <w:color w:val="auto"/>
              </w:rPr>
            </w:pPr>
            <w:r>
              <w:rPr>
                <w:rFonts w:ascii="Courier New" w:cs="Courier New" w:eastAsia="Courier New" w:hAnsi="Courier New"/>
                <w:sz w:val="14"/>
                <w:szCs w:val="14"/>
                <w:color w:val="auto"/>
              </w:rPr>
              <w:t>Payment of capital lease obligations</w:t>
            </w: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(25.2)</w:t>
            </w:r>
          </w:p>
        </w:tc>
        <w:tc>
          <w:tcPr>
            <w:tcW w:w="14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(76.8)</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(102.0)</w:t>
            </w:r>
          </w:p>
        </w:tc>
      </w:tr>
      <w:tr>
        <w:trPr>
          <w:trHeight w:val="166"/>
        </w:trPr>
        <w:tc>
          <w:tcPr>
            <w:tcW w:w="4660" w:type="dxa"/>
            <w:vAlign w:val="bottom"/>
          </w:tcPr>
          <w:p>
            <w:pPr>
              <w:ind w:left="180"/>
              <w:spacing w:after="0"/>
              <w:rPr>
                <w:sz w:val="20"/>
                <w:szCs w:val="20"/>
                <w:color w:val="auto"/>
              </w:rPr>
            </w:pPr>
            <w:r>
              <w:rPr>
                <w:rFonts w:ascii="Courier New" w:cs="Courier New" w:eastAsia="Courier New" w:hAnsi="Courier New"/>
                <w:sz w:val="14"/>
                <w:szCs w:val="14"/>
                <w:color w:val="auto"/>
              </w:rPr>
              <w:t>Purchase of treasury stock by subsidiary</w:t>
            </w: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(82.8)</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(82.8)</w:t>
            </w:r>
          </w:p>
        </w:tc>
      </w:tr>
      <w:tr>
        <w:trPr>
          <w:trHeight w:val="166"/>
        </w:trPr>
        <w:tc>
          <w:tcPr>
            <w:tcW w:w="4660" w:type="dxa"/>
            <w:vAlign w:val="bottom"/>
          </w:tcPr>
          <w:p>
            <w:pPr>
              <w:ind w:left="180"/>
              <w:spacing w:after="0"/>
              <w:rPr>
                <w:sz w:val="20"/>
                <w:szCs w:val="20"/>
                <w:color w:val="auto"/>
              </w:rPr>
            </w:pPr>
            <w:r>
              <w:rPr>
                <w:rFonts w:ascii="Courier New" w:cs="Courier New" w:eastAsia="Courier New" w:hAnsi="Courier New"/>
                <w:sz w:val="14"/>
                <w:szCs w:val="14"/>
                <w:color w:val="auto"/>
              </w:rPr>
              <w:t>Increase (decrease) in intercompany payables</w:t>
            </w:r>
          </w:p>
        </w:tc>
        <w:tc>
          <w:tcPr>
            <w:tcW w:w="1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(144.0)</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199.1</w:t>
            </w:r>
          </w:p>
        </w:tc>
        <w:tc>
          <w:tcPr>
            <w:tcW w:w="14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(55.1)</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4660" w:type="dxa"/>
            <w:vAlign w:val="bottom"/>
          </w:tcPr>
          <w:p>
            <w:pPr>
              <w:ind w:left="180"/>
              <w:spacing w:after="0"/>
              <w:rPr>
                <w:sz w:val="20"/>
                <w:szCs w:val="20"/>
                <w:color w:val="auto"/>
              </w:rPr>
            </w:pPr>
            <w:r>
              <w:rPr>
                <w:rFonts w:ascii="Courier New" w:cs="Courier New" w:eastAsia="Courier New" w:hAnsi="Courier New"/>
                <w:sz w:val="14"/>
                <w:szCs w:val="14"/>
                <w:color w:val="auto"/>
              </w:rPr>
              <w:t>Other, net</w:t>
            </w: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5680" w:val="left"/>
          <w:tab w:leader="none" w:pos="6960" w:val="left"/>
          <w:tab w:leader="none" w:pos="8000" w:val="left"/>
          <w:tab w:leader="none" w:pos="9720" w:val="left"/>
          <w:tab w:leader="none" w:pos="10580" w:val="left"/>
        </w:tabs>
        <w:rPr>
          <w:sz w:val="20"/>
          <w:szCs w:val="20"/>
          <w:color w:val="auto"/>
        </w:rPr>
      </w:pPr>
      <w:r>
        <w:rPr>
          <w:rFonts w:ascii="Courier New" w:cs="Courier New" w:eastAsia="Courier New" w:hAnsi="Courier New"/>
          <w:sz w:val="14"/>
          <w:szCs w:val="14"/>
          <w:color w:val="auto"/>
        </w:rPr>
        <w:t>Net cash flow provided by financing activities</w:t>
      </w:r>
      <w:r>
        <w:rPr>
          <w:sz w:val="20"/>
          <w:szCs w:val="20"/>
          <w:color w:val="auto"/>
        </w:rPr>
        <w:tab/>
      </w:r>
      <w:r>
        <w:rPr>
          <w:rFonts w:ascii="Courier New" w:cs="Courier New" w:eastAsia="Courier New" w:hAnsi="Courier New"/>
          <w:sz w:val="14"/>
          <w:szCs w:val="14"/>
          <w:color w:val="auto"/>
        </w:rPr>
        <w:t>66.3</w:t>
      </w:r>
      <w:r>
        <w:rPr>
          <w:sz w:val="20"/>
          <w:szCs w:val="20"/>
          <w:color w:val="auto"/>
        </w:rPr>
        <w:tab/>
      </w:r>
      <w:r>
        <w:rPr>
          <w:rFonts w:ascii="Courier New" w:cs="Courier New" w:eastAsia="Courier New" w:hAnsi="Courier New"/>
          <w:sz w:val="14"/>
          <w:szCs w:val="14"/>
          <w:color w:val="auto"/>
        </w:rPr>
        <w:t>13.3</w:t>
      </w:r>
      <w:r>
        <w:rPr>
          <w:sz w:val="20"/>
          <w:szCs w:val="20"/>
          <w:color w:val="auto"/>
        </w:rPr>
        <w:tab/>
      </w:r>
      <w:r>
        <w:rPr>
          <w:rFonts w:ascii="Courier New" w:cs="Courier New" w:eastAsia="Courier New" w:hAnsi="Courier New"/>
          <w:sz w:val="14"/>
          <w:szCs w:val="14"/>
          <w:color w:val="auto"/>
        </w:rPr>
        <w:t>1,286.0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1,365.6</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400" w:type="dxa"/>
            <w:vAlign w:val="bottom"/>
            <w:gridSpan w:val="11"/>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26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Net increase in cash and cash</w:t>
            </w:r>
          </w:p>
        </w:tc>
        <w:tc>
          <w:tcPr>
            <w:tcW w:w="2040" w:type="dxa"/>
            <w:vAlign w:val="bottom"/>
          </w:tcPr>
          <w:p>
            <w:pPr>
              <w:ind w:left="60"/>
              <w:spacing w:after="0"/>
              <w:rPr>
                <w:sz w:val="20"/>
                <w:szCs w:val="20"/>
                <w:color w:val="auto"/>
              </w:rPr>
            </w:pPr>
            <w:r>
              <w:rPr>
                <w:rFonts w:ascii="Courier New" w:cs="Courier New" w:eastAsia="Courier New" w:hAnsi="Courier New"/>
                <w:sz w:val="14"/>
                <w:szCs w:val="14"/>
                <w:color w:val="auto"/>
              </w:rPr>
              <w:t>equivalents</w:t>
            </w:r>
          </w:p>
        </w:tc>
        <w:tc>
          <w:tcPr>
            <w:tcW w:w="64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w:t>
            </w:r>
          </w:p>
        </w:tc>
        <w:tc>
          <w:tcPr>
            <w:tcW w:w="460" w:type="dxa"/>
            <w:vAlign w:val="bottom"/>
          </w:tcPr>
          <w:p>
            <w:pPr>
              <w:spacing w:after="0"/>
              <w:rPr>
                <w:sz w:val="14"/>
                <w:szCs w:val="14"/>
                <w:color w:val="auto"/>
              </w:rPr>
            </w:pPr>
          </w:p>
        </w:tc>
        <w:tc>
          <w:tcPr>
            <w:tcW w:w="9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17.9</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274.1</w:t>
            </w:r>
          </w:p>
        </w:tc>
        <w:tc>
          <w:tcPr>
            <w:tcW w:w="600" w:type="dxa"/>
            <w:vAlign w:val="bottom"/>
          </w:tcPr>
          <w:p>
            <w:pPr>
              <w:spacing w:after="0"/>
              <w:rPr>
                <w:sz w:val="14"/>
                <w:szCs w:val="14"/>
                <w:color w:val="auto"/>
              </w:rPr>
            </w:pPr>
          </w:p>
        </w:tc>
        <w:tc>
          <w:tcPr>
            <w:tcW w:w="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311.9</w:t>
            </w:r>
          </w:p>
        </w:tc>
      </w:tr>
      <w:tr>
        <w:trPr>
          <w:trHeight w:val="166"/>
        </w:trPr>
        <w:tc>
          <w:tcPr>
            <w:tcW w:w="140" w:type="dxa"/>
            <w:vAlign w:val="bottom"/>
          </w:tcPr>
          <w:p>
            <w:pPr>
              <w:spacing w:after="0"/>
              <w:rPr>
                <w:sz w:val="14"/>
                <w:szCs w:val="14"/>
                <w:color w:val="auto"/>
              </w:rPr>
            </w:pPr>
          </w:p>
        </w:tc>
        <w:tc>
          <w:tcPr>
            <w:tcW w:w="2320" w:type="dxa"/>
            <w:vAlign w:val="bottom"/>
          </w:tcPr>
          <w:p>
            <w:pPr>
              <w:ind w:left="120"/>
              <w:spacing w:after="0"/>
              <w:rPr>
                <w:sz w:val="20"/>
                <w:szCs w:val="20"/>
                <w:color w:val="auto"/>
              </w:rPr>
            </w:pPr>
            <w:r>
              <w:rPr>
                <w:rFonts w:ascii="Courier New" w:cs="Courier New" w:eastAsia="Courier New" w:hAnsi="Courier New"/>
                <w:sz w:val="14"/>
                <w:szCs w:val="14"/>
                <w:color w:val="auto"/>
              </w:rPr>
              <w:t>Cash and cash equivalents</w:t>
            </w:r>
          </w:p>
        </w:tc>
        <w:tc>
          <w:tcPr>
            <w:tcW w:w="23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at beginning of period</w:t>
            </w:r>
          </w:p>
        </w:tc>
        <w:tc>
          <w:tcPr>
            <w:tcW w:w="64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81.6</w:t>
            </w:r>
          </w:p>
        </w:tc>
        <w:tc>
          <w:tcPr>
            <w:tcW w:w="460" w:type="dxa"/>
            <w:vAlign w:val="bottom"/>
          </w:tcPr>
          <w:p>
            <w:pPr>
              <w:spacing w:after="0"/>
              <w:rPr>
                <w:sz w:val="14"/>
                <w:szCs w:val="14"/>
                <w:color w:val="auto"/>
              </w:rPr>
            </w:pPr>
          </w:p>
        </w:tc>
        <w:tc>
          <w:tcPr>
            <w:tcW w:w="9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486.0</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113.2</w:t>
            </w:r>
          </w:p>
        </w:tc>
        <w:tc>
          <w:tcPr>
            <w:tcW w:w="600" w:type="dxa"/>
            <w:vAlign w:val="bottom"/>
          </w:tcPr>
          <w:p>
            <w:pPr>
              <w:spacing w:after="0"/>
              <w:rPr>
                <w:sz w:val="14"/>
                <w:szCs w:val="14"/>
                <w:color w:val="auto"/>
              </w:rPr>
            </w:pPr>
          </w:p>
        </w:tc>
        <w:tc>
          <w:tcPr>
            <w:tcW w:w="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680.8</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400" w:type="dxa"/>
            <w:vAlign w:val="bottom"/>
            <w:gridSpan w:val="11"/>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Cash and cash equivalents at</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end</w:t>
            </w:r>
          </w:p>
        </w:tc>
        <w:tc>
          <w:tcPr>
            <w:tcW w:w="2040" w:type="dxa"/>
            <w:vAlign w:val="bottom"/>
          </w:tcPr>
          <w:p>
            <w:pPr>
              <w:ind w:left="60"/>
              <w:spacing w:after="0"/>
              <w:rPr>
                <w:sz w:val="20"/>
                <w:szCs w:val="20"/>
                <w:color w:val="auto"/>
              </w:rPr>
            </w:pPr>
            <w:r>
              <w:rPr>
                <w:rFonts w:ascii="Courier New" w:cs="Courier New" w:eastAsia="Courier New" w:hAnsi="Courier New"/>
                <w:sz w:val="14"/>
                <w:szCs w:val="14"/>
                <w:color w:val="auto"/>
              </w:rPr>
              <w:t>of period</w:t>
            </w:r>
          </w:p>
        </w:tc>
        <w:tc>
          <w:tcPr>
            <w:tcW w:w="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101.5</w:t>
            </w:r>
          </w:p>
        </w:tc>
        <w:tc>
          <w:tcPr>
            <w:tcW w:w="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503.9</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387.3</w:t>
            </w:r>
          </w:p>
        </w:tc>
        <w:tc>
          <w:tcPr>
            <w:tcW w:w="6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992.7</w:t>
            </w:r>
          </w:p>
        </w:tc>
      </w:tr>
    </w:tbl>
    <w:p>
      <w:pPr>
        <w:spacing w:after="0" w:line="4" w:lineRule="exact"/>
        <w:rPr>
          <w:sz w:val="20"/>
          <w:szCs w:val="20"/>
          <w:color w:val="auto"/>
        </w:rPr>
      </w:pPr>
    </w:p>
    <w:p>
      <w:pPr>
        <w:ind w:left="180" w:hanging="172"/>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ind w:left="3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-23-</w:t>
      </w:r>
    </w:p>
    <w:p>
      <w:pPr>
        <w:sectPr>
          <w:pgSz w:w="11900" w:h="16838" w:orient="portrait"/>
          <w:cols w:equalWidth="0" w:num="1">
            <w:col w:w="11540"/>
          </w:cols>
          <w:pgMar w:left="220" w:top="616" w:right="139" w:bottom="1440" w:gutter="0" w:footer="0" w:header="0"/>
        </w:sectPr>
      </w:pPr>
    </w:p>
    <w:bookmarkStart w:id="23" w:name="page24"/>
    <w:bookmarkEnd w:id="23"/>
    <w:p>
      <w:pPr>
        <w:ind w:left="780" w:right="3859" w:hanging="774"/>
        <w:spacing w:after="0" w:line="250" w:lineRule="auto"/>
        <w:tabs>
          <w:tab w:leader="none" w:pos="760" w:val="left"/>
        </w:tabs>
        <w:rPr>
          <w:sz w:val="20"/>
          <w:szCs w:val="20"/>
          <w:color w:val="auto"/>
        </w:rPr>
      </w:pPr>
      <w:r>
        <w:rPr>
          <w:rFonts w:ascii="Courier New" w:cs="Courier New" w:eastAsia="Courier New" w:hAnsi="Courier New"/>
          <w:sz w:val="14"/>
          <w:szCs w:val="14"/>
          <w:color w:val="auto"/>
        </w:rPr>
        <w:t>Item 2.</w:t>
        <w:tab/>
        <w:t>Management's Discussion and Analysis of Results of Operations and Financial Condition.</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(Tabular dollars in millions)</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Management's discussion and analysis of the combined results of operations and financial condition should be read in conjunction with the Consolidated Financial Statements and related Notes.</w:t>
      </w:r>
    </w:p>
    <w:p>
      <w:pPr>
        <w:spacing w:after="0" w:line="16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Several significant events occurred in 2000 and 2001 that affected the comparability of the Company's historical results for the three and nine months ended September 30, 2001 and 2000. They are as follows:</w:t>
      </w:r>
    </w:p>
    <w:p>
      <w:pPr>
        <w:spacing w:after="0" w:line="163" w:lineRule="exact"/>
        <w:rPr>
          <w:sz w:val="20"/>
          <w:szCs w:val="20"/>
          <w:color w:val="auto"/>
        </w:rPr>
      </w:pPr>
    </w:p>
    <w:p>
      <w:pPr>
        <w:ind w:left="780" w:hanging="427"/>
        <w:spacing w:after="0"/>
        <w:tabs>
          <w:tab w:leader="none" w:pos="7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completed its merger with CBS on May 4, 2000, for a total</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purchase price of approximately $39.8 billion.</w:t>
      </w:r>
    </w:p>
    <w:p>
      <w:pPr>
        <w:spacing w:after="0" w:line="7" w:lineRule="exact"/>
        <w:rPr>
          <w:sz w:val="20"/>
          <w:szCs w:val="20"/>
          <w:color w:val="auto"/>
        </w:rPr>
      </w:pPr>
    </w:p>
    <w:p>
      <w:pPr>
        <w:ind w:left="780" w:right="3519" w:hanging="427"/>
        <w:spacing w:after="0" w:line="250" w:lineRule="auto"/>
        <w:tabs>
          <w:tab w:leader="none" w:pos="7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March 31, 2000, the Company acquired the remaining 50% interest in United Paramount Network ("UPN") that it did not already own for $5 million.</w:t>
      </w:r>
    </w:p>
    <w:p>
      <w:pPr>
        <w:spacing w:after="0" w:line="1" w:lineRule="exact"/>
        <w:rPr>
          <w:sz w:val="20"/>
          <w:szCs w:val="20"/>
          <w:color w:val="auto"/>
        </w:rPr>
      </w:pPr>
    </w:p>
    <w:p>
      <w:pPr>
        <w:ind w:left="780" w:right="3599" w:hanging="427"/>
        <w:spacing w:after="0" w:line="250" w:lineRule="auto"/>
        <w:tabs>
          <w:tab w:leader="none" w:pos="7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recorded one-time merger-related pre-tax charges of $698 million associated with the CBS and UPN acquisitions in the second quarter of 2000.</w:t>
      </w:r>
    </w:p>
    <w:p>
      <w:pPr>
        <w:spacing w:after="0" w:line="1" w:lineRule="exact"/>
        <w:rPr>
          <w:sz w:val="20"/>
          <w:szCs w:val="20"/>
          <w:color w:val="auto"/>
        </w:rPr>
      </w:pPr>
    </w:p>
    <w:p>
      <w:pPr>
        <w:ind w:left="780" w:right="3419" w:hanging="427"/>
        <w:spacing w:after="0" w:line="250" w:lineRule="auto"/>
        <w:tabs>
          <w:tab w:leader="none" w:pos="7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January 2001, the Company completed its acquisition of BET Holdings II, Inc. ("BET") for approximately $3 billion.</w:t>
      </w:r>
    </w:p>
    <w:p>
      <w:pPr>
        <w:spacing w:after="0" w:line="1" w:lineRule="exact"/>
        <w:rPr>
          <w:sz w:val="20"/>
          <w:szCs w:val="20"/>
          <w:color w:val="auto"/>
        </w:rPr>
      </w:pPr>
    </w:p>
    <w:p>
      <w:pPr>
        <w:ind w:left="780" w:right="3419" w:hanging="427"/>
        <w:spacing w:after="0" w:line="250" w:lineRule="auto"/>
        <w:tabs>
          <w:tab w:leader="none" w:pos="7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February 2001, the Company completed a merger with Infinity Broadcasting Corporation ("Infinity"), acquiring approximately 36% of the issued and outstanding shares of Infinity common stock that it did not already own.</w:t>
      </w:r>
    </w:p>
    <w:p>
      <w:pPr>
        <w:spacing w:after="0" w:line="2" w:lineRule="exact"/>
        <w:rPr>
          <w:sz w:val="20"/>
          <w:szCs w:val="20"/>
          <w:color w:val="auto"/>
        </w:rPr>
      </w:pPr>
    </w:p>
    <w:p>
      <w:pPr>
        <w:ind w:left="780" w:right="3419" w:hanging="427"/>
        <w:spacing w:after="0" w:line="251" w:lineRule="auto"/>
        <w:tabs>
          <w:tab w:leader="none" w:pos="7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September 2001, Blockbuster, a majority owned subsidiary of the Company, recorded a primarily non-cash charge of approximately $356 million, principally related to the elimination of less-productive VHS tapes as part of its strategic re-merchandising plan to transition from VHS to the higher margin DVD rental market and a change in amortization.</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Additionally, the events of September 11 and their aftermath have impacted the Company's third quarter and nine-month results and this impact will continue for the remainder of 2001, particularly with respect to revenues derived from the advertising business. The Company experienced significant loss of revenue and additional news costs during the continuous news coverage without advertising on the CBS Network, its local television news station operations, especially in New York City, and its major all-news and talk radio stations. The Company also lost revenue from the cancellation and rescheduling of programming and the delay of the fall broadcast season.</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Effective January 1, 2001, the Company operates its online business under the Cable Networks and Television segments and accordingly, now presents its online business as part of these respective segments. Prior period information has been reclassified to conform to the new structure.</w:t>
      </w:r>
    </w:p>
    <w:p>
      <w:pPr>
        <w:spacing w:after="0" w:line="162"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table below presents the Company's total revenues and total operating income, as reported for the three and nine months ended September 30, 2001 and 2000, respectively.</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616" w:right="1440" w:bottom="1440" w:gutter="0" w:footer="0" w:header="0"/>
        </w:sectPr>
      </w:pPr>
    </w:p>
    <w:bookmarkStart w:id="24" w:name="page25"/>
    <w:bookmarkEnd w:id="24"/>
    <w:p>
      <w:pPr>
        <w:jc w:val="center"/>
        <w:ind w:right="4060"/>
        <w:spacing w:after="0"/>
        <w:rPr>
          <w:sz w:val="20"/>
          <w:szCs w:val="20"/>
          <w:color w:val="auto"/>
        </w:rPr>
      </w:pPr>
      <w:r>
        <w:rPr>
          <w:rFonts w:ascii="Courier New" w:cs="Courier New" w:eastAsia="Courier New" w:hAnsi="Courier New"/>
          <w:sz w:val="14"/>
          <w:szCs w:val="14"/>
          <w:color w:val="auto"/>
        </w:rPr>
        <w:t>Management's Discussion and Analysis of</w:t>
      </w:r>
    </w:p>
    <w:p>
      <w:pPr>
        <w:spacing w:after="0" w:line="7" w:lineRule="exact"/>
        <w:rPr>
          <w:sz w:val="20"/>
          <w:szCs w:val="20"/>
          <w:color w:val="auto"/>
        </w:rPr>
      </w:pPr>
    </w:p>
    <w:p>
      <w:pPr>
        <w:jc w:val="center"/>
        <w:ind w:right="4060"/>
        <w:spacing w:after="0"/>
        <w:rPr>
          <w:sz w:val="20"/>
          <w:szCs w:val="20"/>
          <w:color w:val="auto"/>
        </w:rPr>
      </w:pPr>
      <w:r>
        <w:rPr>
          <w:rFonts w:ascii="Courier New" w:cs="Courier New" w:eastAsia="Courier New" w:hAnsi="Courier New"/>
          <w:sz w:val="14"/>
          <w:szCs w:val="14"/>
          <w:color w:val="auto"/>
        </w:rPr>
        <w:t>Results of Operations and Financial Condition</w:t>
      </w:r>
    </w:p>
    <w:p>
      <w:pPr>
        <w:spacing w:after="0" w:line="200" w:lineRule="exact"/>
        <w:rPr>
          <w:sz w:val="20"/>
          <w:szCs w:val="20"/>
          <w:color w:val="auto"/>
        </w:rPr>
      </w:pPr>
    </w:p>
    <w:p>
      <w:pPr>
        <w:spacing w:after="0" w:line="304"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Three Months</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Ended</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Nine Months Ended</w:t>
            </w:r>
          </w:p>
        </w:tc>
        <w:tc>
          <w:tcPr>
            <w:tcW w:w="920" w:type="dxa"/>
            <w:vAlign w:val="bottom"/>
          </w:tcPr>
          <w:p>
            <w:pPr>
              <w:spacing w:after="0"/>
              <w:rPr>
                <w:sz w:val="14"/>
                <w:szCs w:val="14"/>
                <w:color w:val="auto"/>
              </w:rPr>
            </w:pPr>
          </w:p>
        </w:tc>
      </w:tr>
      <w:tr>
        <w:trPr>
          <w:trHeight w:val="166"/>
        </w:trPr>
        <w:tc>
          <w:tcPr>
            <w:tcW w:w="24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September</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30,</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September 30,</w:t>
            </w:r>
          </w:p>
        </w:tc>
        <w:tc>
          <w:tcPr>
            <w:tcW w:w="920" w:type="dxa"/>
            <w:vAlign w:val="bottom"/>
          </w:tcPr>
          <w:p>
            <w:pPr>
              <w:spacing w:after="0"/>
              <w:rPr>
                <w:sz w:val="14"/>
                <w:szCs w:val="14"/>
                <w:color w:val="auto"/>
              </w:rPr>
            </w:pPr>
          </w:p>
        </w:tc>
      </w:tr>
      <w:tr>
        <w:trPr>
          <w:trHeight w:val="166"/>
        </w:trPr>
        <w:tc>
          <w:tcPr>
            <w:tcW w:w="2460" w:type="dxa"/>
            <w:vAlign w:val="bottom"/>
          </w:tcPr>
          <w:p>
            <w:pPr>
              <w:spacing w:after="0"/>
              <w:rPr>
                <w:sz w:val="14"/>
                <w:szCs w:val="14"/>
                <w:color w:val="auto"/>
              </w:rPr>
            </w:pPr>
          </w:p>
        </w:tc>
        <w:tc>
          <w:tcPr>
            <w:tcW w:w="34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Percent</w:t>
            </w:r>
          </w:p>
        </w:tc>
        <w:tc>
          <w:tcPr>
            <w:tcW w:w="8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20" w:type="dxa"/>
            <w:vAlign w:val="bottom"/>
          </w:tcPr>
          <w:p>
            <w:pPr>
              <w:jc w:val="center"/>
              <w:ind w:left="48"/>
              <w:spacing w:after="0"/>
              <w:rPr>
                <w:sz w:val="20"/>
                <w:szCs w:val="20"/>
                <w:color w:val="auto"/>
              </w:rPr>
            </w:pPr>
            <w:r>
              <w:rPr>
                <w:rFonts w:ascii="Courier New" w:cs="Courier New" w:eastAsia="Courier New" w:hAnsi="Courier New"/>
                <w:sz w:val="14"/>
                <w:szCs w:val="14"/>
                <w:color w:val="auto"/>
              </w:rPr>
              <w:t>Percent</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As Reported:</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6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2000</w:t>
            </w:r>
          </w:p>
        </w:tc>
        <w:tc>
          <w:tcPr>
            <w:tcW w:w="82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B/(W)</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2001</w:t>
            </w:r>
          </w:p>
        </w:tc>
        <w:tc>
          <w:tcPr>
            <w:tcW w:w="18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2000</w:t>
            </w:r>
          </w:p>
        </w:tc>
        <w:tc>
          <w:tcPr>
            <w:tcW w:w="920" w:type="dxa"/>
            <w:vAlign w:val="bottom"/>
          </w:tcPr>
          <w:p>
            <w:pPr>
              <w:jc w:val="center"/>
              <w:ind w:left="68"/>
              <w:spacing w:after="0"/>
              <w:rPr>
                <w:sz w:val="20"/>
                <w:szCs w:val="20"/>
                <w:color w:val="auto"/>
              </w:rPr>
            </w:pPr>
            <w:r>
              <w:rPr>
                <w:rFonts w:ascii="Courier New" w:cs="Courier New" w:eastAsia="Courier New" w:hAnsi="Courier New"/>
                <w:sz w:val="14"/>
                <w:szCs w:val="14"/>
                <w:color w:val="auto"/>
                <w:w w:val="99"/>
              </w:rPr>
              <w:t>B/(W)</w:t>
            </w:r>
          </w:p>
        </w:tc>
      </w:tr>
    </w:tbl>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02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2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Cable Networks</w:t>
            </w:r>
          </w:p>
        </w:tc>
        <w:tc>
          <w:tcPr>
            <w:tcW w:w="21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1,096.6</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$ 1,021.2</w:t>
            </w:r>
          </w:p>
        </w:tc>
        <w:tc>
          <w:tcPr>
            <w:tcW w:w="7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7%</w:t>
            </w:r>
          </w:p>
        </w:tc>
        <w:tc>
          <w:tcPr>
            <w:tcW w:w="1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3,141.0</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2,753.5</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Television</w:t>
            </w:r>
          </w:p>
        </w:tc>
        <w:tc>
          <w:tcPr>
            <w:tcW w:w="21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1,585.2</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1,712.8</w:t>
            </w:r>
          </w:p>
        </w:tc>
        <w:tc>
          <w:tcPr>
            <w:tcW w:w="7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(7)</w:t>
            </w:r>
          </w:p>
        </w:tc>
        <w:tc>
          <w:tcPr>
            <w:tcW w:w="1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5,242.4</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3,466.6</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51</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Infinity</w:t>
            </w:r>
          </w:p>
        </w:tc>
        <w:tc>
          <w:tcPr>
            <w:tcW w:w="21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910.3</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1,025.8</w:t>
            </w:r>
          </w:p>
        </w:tc>
        <w:tc>
          <w:tcPr>
            <w:tcW w:w="7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(11)</w:t>
            </w:r>
          </w:p>
        </w:tc>
        <w:tc>
          <w:tcPr>
            <w:tcW w:w="1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2,731.3</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1,698.4</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61</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Entertainment</w:t>
            </w:r>
          </w:p>
        </w:tc>
        <w:tc>
          <w:tcPr>
            <w:tcW w:w="21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796.8</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786.3</w:t>
            </w:r>
          </w:p>
        </w:tc>
        <w:tc>
          <w:tcPr>
            <w:tcW w:w="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w:t>
            </w:r>
          </w:p>
        </w:tc>
        <w:tc>
          <w:tcPr>
            <w:tcW w:w="1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2,164.8</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2,057.6</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Video</w:t>
            </w:r>
          </w:p>
        </w:tc>
        <w:tc>
          <w:tcPr>
            <w:tcW w:w="21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1,264.7</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1,193.8</w:t>
            </w:r>
          </w:p>
        </w:tc>
        <w:tc>
          <w:tcPr>
            <w:tcW w:w="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w:t>
            </w:r>
          </w:p>
        </w:tc>
        <w:tc>
          <w:tcPr>
            <w:tcW w:w="1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3,798.6</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3,619.3</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Publishing</w:t>
            </w:r>
          </w:p>
        </w:tc>
        <w:tc>
          <w:tcPr>
            <w:tcW w:w="21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183.6</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167.0</w:t>
            </w:r>
          </w:p>
        </w:tc>
        <w:tc>
          <w:tcPr>
            <w:tcW w:w="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w:t>
            </w:r>
          </w:p>
        </w:tc>
        <w:tc>
          <w:tcPr>
            <w:tcW w:w="1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454.9</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413.0</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Intercompany eliminations</w:t>
            </w:r>
          </w:p>
        </w:tc>
        <w:tc>
          <w:tcPr>
            <w:tcW w:w="2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(123.4)</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(96.1)</w:t>
            </w:r>
          </w:p>
        </w:tc>
        <w:tc>
          <w:tcPr>
            <w:tcW w:w="7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(28)</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(350.1)</w:t>
            </w:r>
          </w:p>
        </w:tc>
        <w:tc>
          <w:tcPr>
            <w:tcW w:w="15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(320.9)</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bl>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2380" w:type="dxa"/>
            <w:vAlign w:val="bottom"/>
          </w:tcPr>
          <w:p>
            <w:pPr>
              <w:spacing w:after="0"/>
              <w:rPr>
                <w:sz w:val="20"/>
                <w:szCs w:val="20"/>
                <w:color w:val="auto"/>
              </w:rPr>
            </w:pPr>
            <w:r>
              <w:rPr>
                <w:rFonts w:ascii="Courier New" w:cs="Courier New" w:eastAsia="Courier New" w:hAnsi="Courier New"/>
                <w:sz w:val="14"/>
                <w:szCs w:val="14"/>
                <w:color w:val="auto"/>
              </w:rPr>
              <w:t>Total Revenues</w:t>
            </w:r>
          </w:p>
        </w:tc>
        <w:tc>
          <w:tcPr>
            <w:tcW w:w="2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5,713.8</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5,810.8</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w:t>
            </w:r>
          </w:p>
        </w:tc>
        <w:tc>
          <w:tcPr>
            <w:tcW w:w="13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$ 17,182.9</w:t>
            </w:r>
          </w:p>
        </w:tc>
        <w:tc>
          <w:tcPr>
            <w:tcW w:w="1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13,687.5</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bl>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68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1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Cable Networks</w:t>
            </w:r>
          </w:p>
        </w:tc>
        <w:tc>
          <w:tcPr>
            <w:tcW w:w="14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363.1</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312.8</w:t>
            </w: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16%</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894.9</w:t>
            </w: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721.9</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Television</w:t>
            </w:r>
          </w:p>
        </w:tc>
        <w:tc>
          <w:tcPr>
            <w:tcW w:w="142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78.1</w:t>
            </w:r>
          </w:p>
        </w:tc>
        <w:tc>
          <w:tcPr>
            <w:tcW w:w="5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158.5</w:t>
            </w: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(51)</w:t>
            </w:r>
          </w:p>
        </w:tc>
        <w:tc>
          <w:tcPr>
            <w:tcW w:w="480" w:type="dxa"/>
            <w:vAlign w:val="bottom"/>
          </w:tcPr>
          <w:p>
            <w:pPr>
              <w:spacing w:after="0"/>
              <w:rPr>
                <w:sz w:val="14"/>
                <w:szCs w:val="14"/>
                <w:color w:val="auto"/>
              </w:rPr>
            </w:pP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359.8</w:t>
            </w:r>
          </w:p>
        </w:tc>
        <w:tc>
          <w:tcPr>
            <w:tcW w:w="5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257.9</w:t>
            </w: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Infinity</w:t>
            </w:r>
          </w:p>
        </w:tc>
        <w:tc>
          <w:tcPr>
            <w:tcW w:w="142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60.9</w:t>
            </w:r>
          </w:p>
        </w:tc>
        <w:tc>
          <w:tcPr>
            <w:tcW w:w="5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213.1</w:t>
            </w: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(71)</w:t>
            </w:r>
          </w:p>
        </w:tc>
        <w:tc>
          <w:tcPr>
            <w:tcW w:w="480" w:type="dxa"/>
            <w:vAlign w:val="bottom"/>
          </w:tcPr>
          <w:p>
            <w:pPr>
              <w:spacing w:after="0"/>
              <w:rPr>
                <w:sz w:val="14"/>
                <w:szCs w:val="14"/>
                <w:color w:val="auto"/>
              </w:rPr>
            </w:pP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218.9</w:t>
            </w:r>
          </w:p>
        </w:tc>
        <w:tc>
          <w:tcPr>
            <w:tcW w:w="5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364.7</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Entertainment</w:t>
            </w:r>
          </w:p>
        </w:tc>
        <w:tc>
          <w:tcPr>
            <w:tcW w:w="142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52.7</w:t>
            </w:r>
          </w:p>
        </w:tc>
        <w:tc>
          <w:tcPr>
            <w:tcW w:w="5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132.5</w:t>
            </w: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(60)</w:t>
            </w:r>
          </w:p>
        </w:tc>
        <w:tc>
          <w:tcPr>
            <w:tcW w:w="480" w:type="dxa"/>
            <w:vAlign w:val="bottom"/>
          </w:tcPr>
          <w:p>
            <w:pPr>
              <w:spacing w:after="0"/>
              <w:rPr>
                <w:sz w:val="14"/>
                <w:szCs w:val="14"/>
                <w:color w:val="auto"/>
              </w:rPr>
            </w:pP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169.1</w:t>
            </w:r>
          </w:p>
        </w:tc>
        <w:tc>
          <w:tcPr>
            <w:tcW w:w="5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223.6</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Video</w:t>
            </w:r>
          </w:p>
        </w:tc>
        <w:tc>
          <w:tcPr>
            <w:tcW w:w="142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(317.5)</w:t>
            </w:r>
          </w:p>
        </w:tc>
        <w:tc>
          <w:tcPr>
            <w:tcW w:w="5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17.7</w:t>
            </w: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NM</w:t>
            </w:r>
          </w:p>
        </w:tc>
        <w:tc>
          <w:tcPr>
            <w:tcW w:w="48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(247.5)</w:t>
            </w:r>
          </w:p>
        </w:tc>
        <w:tc>
          <w:tcPr>
            <w:tcW w:w="5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69.4</w:t>
            </w: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NM</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Publishing</w:t>
            </w:r>
          </w:p>
        </w:tc>
        <w:tc>
          <w:tcPr>
            <w:tcW w:w="142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16.3</w:t>
            </w:r>
          </w:p>
        </w:tc>
        <w:tc>
          <w:tcPr>
            <w:tcW w:w="5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22.2</w:t>
            </w: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(27)</w:t>
            </w:r>
          </w:p>
        </w:tc>
        <w:tc>
          <w:tcPr>
            <w:tcW w:w="480" w:type="dxa"/>
            <w:vAlign w:val="bottom"/>
          </w:tcPr>
          <w:p>
            <w:pPr>
              <w:spacing w:after="0"/>
              <w:rPr>
                <w:sz w:val="14"/>
                <w:szCs w:val="14"/>
                <w:color w:val="auto"/>
              </w:rPr>
            </w:pP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16.0</w:t>
            </w:r>
          </w:p>
        </w:tc>
        <w:tc>
          <w:tcPr>
            <w:tcW w:w="5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18.4</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bl>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480" w:type="dxa"/>
            <w:vAlign w:val="bottom"/>
          </w:tcPr>
          <w:p>
            <w:pPr>
              <w:ind w:left="340"/>
              <w:spacing w:after="0"/>
              <w:rPr>
                <w:sz w:val="20"/>
                <w:szCs w:val="20"/>
                <w:color w:val="auto"/>
              </w:rPr>
            </w:pPr>
            <w:r>
              <w:rPr>
                <w:rFonts w:ascii="Courier New" w:cs="Courier New" w:eastAsia="Courier New" w:hAnsi="Courier New"/>
                <w:sz w:val="14"/>
                <w:szCs w:val="14"/>
                <w:color w:val="auto"/>
              </w:rPr>
              <w:t>Segment Operating Income</w:t>
            </w:r>
          </w:p>
        </w:tc>
        <w:tc>
          <w:tcPr>
            <w:tcW w:w="1820" w:type="dxa"/>
            <w:vAlign w:val="bottom"/>
          </w:tcPr>
          <w:p>
            <w:pPr>
              <w:ind w:left="820"/>
              <w:spacing w:after="0"/>
              <w:rPr>
                <w:sz w:val="20"/>
                <w:szCs w:val="20"/>
                <w:color w:val="auto"/>
              </w:rPr>
            </w:pPr>
            <w:r>
              <w:rPr>
                <w:rFonts w:ascii="Courier New" w:cs="Courier New" w:eastAsia="Courier New" w:hAnsi="Courier New"/>
                <w:sz w:val="14"/>
                <w:szCs w:val="14"/>
                <w:color w:val="auto"/>
              </w:rPr>
              <w:t>253.6</w:t>
            </w:r>
          </w:p>
        </w:tc>
        <w:tc>
          <w:tcPr>
            <w:tcW w:w="1120" w:type="dxa"/>
            <w:vAlign w:val="bottom"/>
          </w:tcPr>
          <w:p>
            <w:pPr>
              <w:ind w:left="480"/>
              <w:spacing w:after="0"/>
              <w:rPr>
                <w:sz w:val="20"/>
                <w:szCs w:val="20"/>
                <w:color w:val="auto"/>
              </w:rPr>
            </w:pPr>
            <w:r>
              <w:rPr>
                <w:rFonts w:ascii="Courier New" w:cs="Courier New" w:eastAsia="Courier New" w:hAnsi="Courier New"/>
                <w:sz w:val="14"/>
                <w:szCs w:val="14"/>
                <w:color w:val="auto"/>
              </w:rPr>
              <w:t>856.8</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(70)</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1,411.2</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1,655.9</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6"/>
        </w:trPr>
        <w:tc>
          <w:tcPr>
            <w:tcW w:w="3480" w:type="dxa"/>
            <w:vAlign w:val="bottom"/>
          </w:tcPr>
          <w:p>
            <w:pPr>
              <w:spacing w:after="0"/>
              <w:rPr>
                <w:sz w:val="20"/>
                <w:szCs w:val="20"/>
                <w:color w:val="auto"/>
              </w:rPr>
            </w:pPr>
            <w:r>
              <w:rPr>
                <w:rFonts w:ascii="Courier New" w:cs="Courier New" w:eastAsia="Courier New" w:hAnsi="Courier New"/>
                <w:sz w:val="14"/>
                <w:szCs w:val="14"/>
                <w:color w:val="auto"/>
              </w:rPr>
              <w:t>Corporate expenses/eliminations</w:t>
            </w:r>
          </w:p>
        </w:tc>
        <w:tc>
          <w:tcPr>
            <w:tcW w:w="1820" w:type="dxa"/>
            <w:vAlign w:val="bottom"/>
          </w:tcPr>
          <w:p>
            <w:pPr>
              <w:ind w:left="820"/>
              <w:spacing w:after="0"/>
              <w:rPr>
                <w:sz w:val="20"/>
                <w:szCs w:val="20"/>
                <w:color w:val="auto"/>
              </w:rPr>
            </w:pPr>
            <w:r>
              <w:rPr>
                <w:rFonts w:ascii="Courier New" w:cs="Courier New" w:eastAsia="Courier New" w:hAnsi="Courier New"/>
                <w:sz w:val="14"/>
                <w:szCs w:val="14"/>
                <w:color w:val="auto"/>
              </w:rPr>
              <w:t>(38.9)</w:t>
            </w:r>
          </w:p>
        </w:tc>
        <w:tc>
          <w:tcPr>
            <w:tcW w:w="1120" w:type="dxa"/>
            <w:vAlign w:val="bottom"/>
          </w:tcPr>
          <w:p>
            <w:pPr>
              <w:ind w:left="480"/>
              <w:spacing w:after="0"/>
              <w:rPr>
                <w:sz w:val="20"/>
                <w:szCs w:val="20"/>
                <w:color w:val="auto"/>
              </w:rPr>
            </w:pPr>
            <w:r>
              <w:rPr>
                <w:rFonts w:ascii="Courier New" w:cs="Courier New" w:eastAsia="Courier New" w:hAnsi="Courier New"/>
                <w:sz w:val="14"/>
                <w:szCs w:val="14"/>
                <w:color w:val="auto"/>
              </w:rPr>
              <w:t>(67.9)</w:t>
            </w:r>
          </w:p>
        </w:tc>
        <w:tc>
          <w:tcPr>
            <w:tcW w:w="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43</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(165.2)</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(886.2)</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81</w:t>
            </w:r>
          </w:p>
        </w:tc>
      </w:tr>
      <w:tr>
        <w:trPr>
          <w:trHeight w:val="166"/>
        </w:trPr>
        <w:tc>
          <w:tcPr>
            <w:tcW w:w="3480" w:type="dxa"/>
            <w:vAlign w:val="bottom"/>
          </w:tcPr>
          <w:p>
            <w:pPr>
              <w:spacing w:after="0"/>
              <w:rPr>
                <w:sz w:val="20"/>
                <w:szCs w:val="20"/>
                <w:color w:val="auto"/>
              </w:rPr>
            </w:pPr>
            <w:r>
              <w:rPr>
                <w:rFonts w:ascii="Courier New" w:cs="Courier New" w:eastAsia="Courier New" w:hAnsi="Courier New"/>
                <w:sz w:val="14"/>
                <w:szCs w:val="14"/>
                <w:color w:val="auto"/>
              </w:rPr>
              <w:t>Residual costs of discontinued</w:t>
            </w:r>
          </w:p>
        </w:tc>
        <w:tc>
          <w:tcPr>
            <w:tcW w:w="1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3480" w:type="dxa"/>
            <w:vAlign w:val="bottom"/>
          </w:tcPr>
          <w:p>
            <w:pPr>
              <w:ind w:left="340"/>
              <w:spacing w:after="0"/>
              <w:rPr>
                <w:sz w:val="20"/>
                <w:szCs w:val="20"/>
                <w:color w:val="auto"/>
              </w:rPr>
            </w:pPr>
            <w:r>
              <w:rPr>
                <w:rFonts w:ascii="Courier New" w:cs="Courier New" w:eastAsia="Courier New" w:hAnsi="Courier New"/>
                <w:sz w:val="14"/>
                <w:szCs w:val="14"/>
                <w:color w:val="auto"/>
              </w:rPr>
              <w:t>operations</w:t>
            </w:r>
          </w:p>
        </w:tc>
        <w:tc>
          <w:tcPr>
            <w:tcW w:w="1820" w:type="dxa"/>
            <w:vAlign w:val="bottom"/>
          </w:tcPr>
          <w:p>
            <w:pPr>
              <w:ind w:left="820"/>
              <w:spacing w:after="0"/>
              <w:rPr>
                <w:sz w:val="20"/>
                <w:szCs w:val="20"/>
                <w:color w:val="auto"/>
              </w:rPr>
            </w:pPr>
            <w:r>
              <w:rPr>
                <w:rFonts w:ascii="Courier New" w:cs="Courier New" w:eastAsia="Courier New" w:hAnsi="Courier New"/>
                <w:sz w:val="14"/>
                <w:szCs w:val="14"/>
                <w:color w:val="auto"/>
              </w:rPr>
              <w:t>(21.0)</w:t>
            </w:r>
          </w:p>
        </w:tc>
        <w:tc>
          <w:tcPr>
            <w:tcW w:w="1120" w:type="dxa"/>
            <w:vAlign w:val="bottom"/>
          </w:tcPr>
          <w:p>
            <w:pPr>
              <w:ind w:left="480"/>
              <w:spacing w:after="0"/>
              <w:rPr>
                <w:sz w:val="20"/>
                <w:szCs w:val="20"/>
                <w:color w:val="auto"/>
              </w:rPr>
            </w:pPr>
            <w:r>
              <w:rPr>
                <w:rFonts w:ascii="Courier New" w:cs="Courier New" w:eastAsia="Courier New" w:hAnsi="Courier New"/>
                <w:sz w:val="14"/>
                <w:szCs w:val="14"/>
                <w:color w:val="auto"/>
              </w:rPr>
              <w:t>(29.0)</w:t>
            </w:r>
          </w:p>
        </w:tc>
        <w:tc>
          <w:tcPr>
            <w:tcW w:w="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28</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(62.8)</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(47.6)</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bl>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20"/>
        <w:spacing w:after="0"/>
        <w:tabs>
          <w:tab w:leader="none" w:pos="4040" w:val="left"/>
          <w:tab w:leader="none" w:pos="4460" w:val="left"/>
          <w:tab w:leader="none" w:pos="5420" w:val="left"/>
          <w:tab w:leader="none" w:pos="5940" w:val="left"/>
          <w:tab w:leader="none" w:pos="6700" w:val="left"/>
          <w:tab w:leader="none" w:pos="7560" w:val="left"/>
          <w:tab w:leader="none" w:pos="7820" w:val="left"/>
          <w:tab w:leader="none" w:pos="9040" w:val="left"/>
          <w:tab w:leader="none" w:pos="9540" w:val="left"/>
          <w:tab w:leader="none" w:pos="10500" w:val="left"/>
        </w:tabs>
        <w:rPr>
          <w:sz w:val="20"/>
          <w:szCs w:val="20"/>
          <w:color w:val="auto"/>
        </w:rPr>
      </w:pPr>
      <w:r>
        <w:rPr>
          <w:rFonts w:ascii="Courier New" w:cs="Courier New" w:eastAsia="Courier New" w:hAnsi="Courier New"/>
          <w:sz w:val="14"/>
          <w:szCs w:val="14"/>
          <w:color w:val="auto"/>
        </w:rPr>
        <w:t>Total Operating Income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193.7</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759.9</w:t>
      </w:r>
      <w:r>
        <w:rPr>
          <w:sz w:val="20"/>
          <w:szCs w:val="20"/>
          <w:color w:val="auto"/>
        </w:rPr>
        <w:tab/>
      </w:r>
      <w:r>
        <w:rPr>
          <w:rFonts w:ascii="Courier New" w:cs="Courier New" w:eastAsia="Courier New" w:hAnsi="Courier New"/>
          <w:sz w:val="14"/>
          <w:szCs w:val="14"/>
          <w:color w:val="auto"/>
        </w:rPr>
        <w:t>(75)%</w:t>
      </w:r>
      <w:r>
        <w:rPr>
          <w:sz w:val="20"/>
          <w:szCs w:val="20"/>
          <w:color w:val="auto"/>
        </w:rPr>
        <w:tab/>
      </w:r>
      <w:r>
        <w:rPr>
          <w:rFonts w:ascii="Courier New" w:cs="Courier New" w:eastAsia="Courier New" w:hAnsi="Courier New"/>
          <w:sz w:val="14"/>
          <w:szCs w:val="14"/>
          <w:color w:val="auto"/>
        </w:rPr>
        <w:t>$</w:t>
        <w:tab/>
        <w:t>1,183.2</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722.1</w:t>
      </w:r>
      <w:r>
        <w:rPr>
          <w:sz w:val="20"/>
          <w:szCs w:val="20"/>
          <w:color w:val="auto"/>
        </w:rPr>
        <w:tab/>
      </w:r>
      <w:r>
        <w:rPr>
          <w:rFonts w:ascii="Courier New" w:cs="Courier New" w:eastAsia="Courier New" w:hAnsi="Courier New"/>
          <w:sz w:val="14"/>
          <w:szCs w:val="14"/>
          <w:color w:val="auto"/>
        </w:rPr>
        <w:t>64%</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520"/>
        <w:spacing w:after="0"/>
        <w:tabs>
          <w:tab w:leader="none" w:pos="4460" w:val="left"/>
          <w:tab w:leader="none" w:pos="5940" w:val="left"/>
          <w:tab w:leader="none" w:pos="6800" w:val="left"/>
          <w:tab w:leader="none" w:pos="8000" w:val="left"/>
          <w:tab w:leader="none" w:pos="9540" w:val="left"/>
          <w:tab w:leader="none" w:pos="10500" w:val="left"/>
        </w:tabs>
        <w:rPr>
          <w:sz w:val="20"/>
          <w:szCs w:val="20"/>
          <w:color w:val="auto"/>
        </w:rPr>
      </w:pPr>
      <w:r>
        <w:rPr>
          <w:rFonts w:ascii="Courier New" w:cs="Courier New" w:eastAsia="Courier New" w:hAnsi="Courier New"/>
          <w:sz w:val="14"/>
          <w:szCs w:val="14"/>
          <w:color w:val="auto"/>
        </w:rPr>
        <w:t>Video third quarter 2001 charge</w:t>
      </w:r>
      <w:r>
        <w:rPr>
          <w:sz w:val="20"/>
          <w:szCs w:val="20"/>
          <w:color w:val="auto"/>
        </w:rPr>
        <w:tab/>
      </w:r>
      <w:r>
        <w:rPr>
          <w:rFonts w:ascii="Courier New" w:cs="Courier New" w:eastAsia="Courier New" w:hAnsi="Courier New"/>
          <w:sz w:val="14"/>
          <w:szCs w:val="14"/>
          <w:color w:val="auto"/>
        </w:rPr>
        <w:t>355.3</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NM</w:t>
      </w:r>
      <w:r>
        <w:rPr>
          <w:sz w:val="20"/>
          <w:szCs w:val="20"/>
          <w:color w:val="auto"/>
        </w:rPr>
        <w:tab/>
      </w:r>
      <w:r>
        <w:rPr>
          <w:rFonts w:ascii="Courier New" w:cs="Courier New" w:eastAsia="Courier New" w:hAnsi="Courier New"/>
          <w:sz w:val="14"/>
          <w:szCs w:val="14"/>
          <w:color w:val="auto"/>
        </w:rPr>
        <w:t>355.3</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NM</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28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Total Operating Income</w:t>
            </w:r>
          </w:p>
        </w:tc>
        <w:tc>
          <w:tcPr>
            <w:tcW w:w="1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28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(excluding charge)</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549.0</w:t>
            </w: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759.9</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w:t>
            </w:r>
          </w:p>
        </w:tc>
        <w:tc>
          <w:tcPr>
            <w:tcW w:w="13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  1,538.5</w:t>
            </w:r>
          </w:p>
        </w:tc>
        <w:tc>
          <w:tcPr>
            <w:tcW w:w="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722.1</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113%</w:t>
            </w:r>
          </w:p>
        </w:tc>
      </w:tr>
    </w:tbl>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NM--not meaningful</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EBITDA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4140"/>
        <w:spacing w:after="0" w:line="251" w:lineRule="auto"/>
        <w:rPr>
          <w:sz w:val="20"/>
          <w:szCs w:val="20"/>
          <w:color w:val="auto"/>
        </w:rPr>
      </w:pPr>
      <w:r>
        <w:rPr>
          <w:rFonts w:ascii="Courier New" w:cs="Courier New" w:eastAsia="Courier New" w:hAnsi="Courier New"/>
          <w:sz w:val="14"/>
          <w:szCs w:val="14"/>
          <w:color w:val="auto"/>
        </w:rPr>
        <w:t>The following tables set forth EBITDA (defined as operating income (loss) before depreciation and amortization principally of goodwill related to business combinations) for the three and nine months ended September 30, 2001 and 2000. The Company believes that EBITDA is an appropriate measure of evaluating the operating performance of its segments. However, EBITDA should be considered in addition to, not as a substitute for or superior to, operating income, net earnings, cash flows, and other measures of financial performance prepared in accordance with generally accepted accounting principles ("GAAP"). As EBITDA is not a measure of performance calculated in accordance with GAAP, this measure may not be comparable to similarly titled measures employed by other companies.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1040"/>
          </w:cols>
          <w:pgMar w:left="220" w:top="616" w:right="639" w:bottom="1440" w:gutter="0" w:footer="0" w:header="0"/>
        </w:sectPr>
      </w:pPr>
    </w:p>
    <w:bookmarkStart w:id="25" w:name="page26"/>
    <w:bookmarkEnd w:id="25"/>
    <w:p>
      <w:pPr>
        <w:jc w:val="center"/>
        <w:ind w:right="3940"/>
        <w:spacing w:after="0"/>
        <w:rPr>
          <w:sz w:val="20"/>
          <w:szCs w:val="20"/>
          <w:color w:val="auto"/>
        </w:rPr>
      </w:pPr>
      <w:r>
        <w:rPr>
          <w:rFonts w:ascii="Courier New" w:cs="Courier New" w:eastAsia="Courier New" w:hAnsi="Courier New"/>
          <w:sz w:val="14"/>
          <w:szCs w:val="14"/>
          <w:color w:val="auto"/>
        </w:rPr>
        <w:t>Management's Discussion and Analysis of</w:t>
      </w:r>
    </w:p>
    <w:p>
      <w:pPr>
        <w:spacing w:after="0" w:line="7" w:lineRule="exact"/>
        <w:rPr>
          <w:sz w:val="20"/>
          <w:szCs w:val="20"/>
          <w:color w:val="auto"/>
        </w:rPr>
      </w:pPr>
    </w:p>
    <w:p>
      <w:pPr>
        <w:jc w:val="center"/>
        <w:ind w:right="3940"/>
        <w:spacing w:after="0"/>
        <w:rPr>
          <w:sz w:val="20"/>
          <w:szCs w:val="20"/>
          <w:color w:val="auto"/>
        </w:rPr>
      </w:pPr>
      <w:r>
        <w:rPr>
          <w:rFonts w:ascii="Courier New" w:cs="Courier New" w:eastAsia="Courier New" w:hAnsi="Courier New"/>
          <w:sz w:val="14"/>
          <w:szCs w:val="14"/>
          <w:color w:val="auto"/>
        </w:rPr>
        <w:t>Results of Operations and Financial Condition</w:t>
      </w:r>
    </w:p>
    <w:p>
      <w:pPr>
        <w:spacing w:after="0" w:line="200" w:lineRule="exact"/>
        <w:rPr>
          <w:sz w:val="20"/>
          <w:szCs w:val="20"/>
          <w:color w:val="auto"/>
        </w:rPr>
      </w:pPr>
    </w:p>
    <w:p>
      <w:pPr>
        <w:spacing w:after="0" w:line="304"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4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Three Months Ended</w:t>
            </w:r>
          </w:p>
        </w:tc>
        <w:tc>
          <w:tcPr>
            <w:tcW w:w="1020" w:type="dxa"/>
            <w:vAlign w:val="bottom"/>
          </w:tcPr>
          <w:p>
            <w:pPr>
              <w:spacing w:after="0"/>
              <w:rPr>
                <w:sz w:val="14"/>
                <w:szCs w:val="14"/>
                <w:color w:val="auto"/>
              </w:rPr>
            </w:pPr>
          </w:p>
        </w:tc>
        <w:tc>
          <w:tcPr>
            <w:tcW w:w="27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Nine Months Ended</w:t>
            </w:r>
          </w:p>
        </w:tc>
        <w:tc>
          <w:tcPr>
            <w:tcW w:w="940" w:type="dxa"/>
            <w:vAlign w:val="bottom"/>
          </w:tcPr>
          <w:p>
            <w:pPr>
              <w:spacing w:after="0"/>
              <w:rPr>
                <w:sz w:val="14"/>
                <w:szCs w:val="14"/>
                <w:color w:val="auto"/>
              </w:rPr>
            </w:pPr>
          </w:p>
        </w:tc>
      </w:tr>
      <w:tr>
        <w:trPr>
          <w:trHeight w:val="166"/>
        </w:trPr>
        <w:tc>
          <w:tcPr>
            <w:tcW w:w="24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September 30,</w:t>
            </w: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September 30,</w:t>
            </w:r>
          </w:p>
        </w:tc>
        <w:tc>
          <w:tcPr>
            <w:tcW w:w="940" w:type="dxa"/>
            <w:vAlign w:val="bottom"/>
          </w:tcPr>
          <w:p>
            <w:pPr>
              <w:spacing w:after="0"/>
              <w:rPr>
                <w:sz w:val="14"/>
                <w:szCs w:val="14"/>
                <w:color w:val="auto"/>
              </w:rPr>
            </w:pPr>
          </w:p>
        </w:tc>
      </w:tr>
      <w:tr>
        <w:trPr>
          <w:trHeight w:val="166"/>
        </w:trPr>
        <w:tc>
          <w:tcPr>
            <w:tcW w:w="2400" w:type="dxa"/>
            <w:vAlign w:val="bottom"/>
          </w:tcPr>
          <w:p>
            <w:pPr>
              <w:spacing w:after="0"/>
              <w:rPr>
                <w:sz w:val="14"/>
                <w:szCs w:val="14"/>
                <w:color w:val="auto"/>
              </w:rPr>
            </w:pPr>
          </w:p>
        </w:tc>
        <w:tc>
          <w:tcPr>
            <w:tcW w:w="3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spacing w:after="0"/>
              <w:rPr>
                <w:sz w:val="14"/>
                <w:szCs w:val="14"/>
                <w:color w:val="auto"/>
              </w:rPr>
            </w:pPr>
          </w:p>
        </w:tc>
        <w:tc>
          <w:tcPr>
            <w:tcW w:w="37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20" w:type="dxa"/>
            <w:vAlign w:val="bottom"/>
          </w:tcPr>
          <w:p>
            <w:pPr>
              <w:jc w:val="center"/>
              <w:ind w:left="8"/>
              <w:spacing w:after="0"/>
              <w:rPr>
                <w:sz w:val="20"/>
                <w:szCs w:val="20"/>
                <w:color w:val="auto"/>
              </w:rPr>
            </w:pPr>
            <w:r>
              <w:rPr>
                <w:rFonts w:ascii="Courier New" w:cs="Courier New" w:eastAsia="Courier New" w:hAnsi="Courier New"/>
                <w:sz w:val="14"/>
                <w:szCs w:val="14"/>
                <w:color w:val="auto"/>
              </w:rPr>
              <w:t>Percent</w:t>
            </w:r>
          </w:p>
        </w:tc>
        <w:tc>
          <w:tcPr>
            <w:tcW w:w="10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4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Percent</w:t>
            </w:r>
          </w:p>
        </w:tc>
      </w:tr>
      <w:tr>
        <w:trPr>
          <w:trHeight w:val="166"/>
        </w:trPr>
        <w:tc>
          <w:tcPr>
            <w:tcW w:w="2400" w:type="dxa"/>
            <w:vAlign w:val="bottom"/>
          </w:tcPr>
          <w:p>
            <w:pPr>
              <w:spacing w:after="0"/>
              <w:rPr>
                <w:sz w:val="20"/>
                <w:szCs w:val="20"/>
                <w:color w:val="auto"/>
              </w:rPr>
            </w:pPr>
            <w:r>
              <w:rPr>
                <w:rFonts w:ascii="Courier New" w:cs="Courier New" w:eastAsia="Courier New" w:hAnsi="Courier New"/>
                <w:sz w:val="14"/>
                <w:szCs w:val="14"/>
                <w:color w:val="auto"/>
              </w:rPr>
              <w:t>As Reported:</w:t>
            </w:r>
          </w:p>
        </w:tc>
        <w:tc>
          <w:tcPr>
            <w:tcW w:w="1900" w:type="dxa"/>
            <w:vAlign w:val="bottom"/>
          </w:tcPr>
          <w:p>
            <w:pPr>
              <w:jc w:val="right"/>
              <w:spacing w:after="0"/>
              <w:rPr>
                <w:sz w:val="20"/>
                <w:szCs w:val="20"/>
                <w:color w:val="auto"/>
              </w:rPr>
            </w:pPr>
            <w:r>
              <w:rPr>
                <w:rFonts w:ascii="Courier New" w:cs="Courier New" w:eastAsia="Courier New" w:hAnsi="Courier New"/>
                <w:sz w:val="14"/>
                <w:szCs w:val="14"/>
                <w:color w:val="auto"/>
              </w:rPr>
              <w:t>2001</w:t>
            </w: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2000</w:t>
            </w:r>
          </w:p>
        </w:tc>
        <w:tc>
          <w:tcPr>
            <w:tcW w:w="1020" w:type="dxa"/>
            <w:vAlign w:val="bottom"/>
          </w:tcPr>
          <w:p>
            <w:pPr>
              <w:jc w:val="center"/>
              <w:ind w:left="8"/>
              <w:spacing w:after="0"/>
              <w:rPr>
                <w:sz w:val="20"/>
                <w:szCs w:val="20"/>
                <w:color w:val="auto"/>
              </w:rPr>
            </w:pPr>
            <w:r>
              <w:rPr>
                <w:rFonts w:ascii="Courier New" w:cs="Courier New" w:eastAsia="Courier New" w:hAnsi="Courier New"/>
                <w:sz w:val="14"/>
                <w:szCs w:val="14"/>
                <w:color w:val="auto"/>
                <w:w w:val="99"/>
              </w:rPr>
              <w:t>B/(W)</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2001</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2000</w:t>
            </w:r>
          </w:p>
        </w:tc>
        <w:tc>
          <w:tcPr>
            <w:tcW w:w="94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B/(W)</w:t>
            </w:r>
          </w:p>
        </w:tc>
      </w:tr>
    </w:tbl>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460" w:type="dxa"/>
            <w:vAlign w:val="bottom"/>
          </w:tcPr>
          <w:p>
            <w:pPr>
              <w:spacing w:after="0"/>
              <w:rPr>
                <w:sz w:val="20"/>
                <w:szCs w:val="20"/>
                <w:color w:val="auto"/>
              </w:rPr>
            </w:pPr>
            <w:r>
              <w:rPr>
                <w:rFonts w:ascii="Courier New" w:cs="Courier New" w:eastAsia="Courier New" w:hAnsi="Courier New"/>
                <w:sz w:val="14"/>
                <w:szCs w:val="14"/>
                <w:color w:val="auto"/>
              </w:rPr>
              <w:t>EBITDA:</w:t>
            </w:r>
          </w:p>
        </w:tc>
        <w:tc>
          <w:tcPr>
            <w:tcW w:w="2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Cable Networks</w:t>
            </w:r>
          </w:p>
        </w:tc>
        <w:tc>
          <w:tcPr>
            <w:tcW w:w="22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$ 470.2</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400.8</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1,218.3</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922.5</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Television</w:t>
            </w:r>
          </w:p>
        </w:tc>
        <w:tc>
          <w:tcPr>
            <w:tcW w:w="22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282.6</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341.1</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958.1</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622.9</w:t>
            </w: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Infinity</w:t>
            </w:r>
          </w:p>
        </w:tc>
        <w:tc>
          <w:tcPr>
            <w:tcW w:w="22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373.1</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468.3</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1,132.6</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792.4</w:t>
            </w: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Entertainment</w:t>
            </w:r>
          </w:p>
        </w:tc>
        <w:tc>
          <w:tcPr>
            <w:tcW w:w="22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92.8</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174.9</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(47)</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288.6</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344.0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Video</w:t>
            </w:r>
          </w:p>
        </w:tc>
        <w:tc>
          <w:tcPr>
            <w:tcW w:w="2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(210.4)</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119.1</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(277)</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68.5</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382.6</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(82)</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Publishing</w:t>
            </w:r>
          </w:p>
        </w:tc>
        <w:tc>
          <w:tcPr>
            <w:tcW w:w="22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22.4</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27.6</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33.8</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34.4</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bl>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180" w:type="dxa"/>
            <w:vAlign w:val="bottom"/>
          </w:tcPr>
          <w:p>
            <w:pPr>
              <w:ind w:left="340"/>
              <w:spacing w:after="0"/>
              <w:rPr>
                <w:sz w:val="20"/>
                <w:szCs w:val="20"/>
                <w:color w:val="auto"/>
              </w:rPr>
            </w:pPr>
            <w:r>
              <w:rPr>
                <w:rFonts w:ascii="Courier New" w:cs="Courier New" w:eastAsia="Courier New" w:hAnsi="Courier New"/>
                <w:sz w:val="14"/>
                <w:szCs w:val="14"/>
                <w:color w:val="auto"/>
              </w:rPr>
              <w:t>Segment EBITDA</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1,030.7</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1,531.8</w:t>
            </w: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(33)</w:t>
            </w:r>
          </w:p>
        </w:tc>
        <w:tc>
          <w:tcPr>
            <w:tcW w:w="15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3,699.9</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3,098.8</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w:t>
            </w:r>
          </w:p>
        </w:tc>
      </w:tr>
      <w:tr>
        <w:trPr>
          <w:trHeight w:val="166"/>
        </w:trPr>
        <w:tc>
          <w:tcPr>
            <w:tcW w:w="3180" w:type="dxa"/>
            <w:vAlign w:val="bottom"/>
          </w:tcPr>
          <w:p>
            <w:pPr>
              <w:spacing w:after="0"/>
              <w:rPr>
                <w:sz w:val="20"/>
                <w:szCs w:val="20"/>
                <w:color w:val="auto"/>
              </w:rPr>
            </w:pPr>
            <w:r>
              <w:rPr>
                <w:rFonts w:ascii="Courier New" w:cs="Courier New" w:eastAsia="Courier New" w:hAnsi="Courier New"/>
                <w:sz w:val="14"/>
                <w:szCs w:val="14"/>
                <w:color w:val="auto"/>
              </w:rPr>
              <w:t>Corporate expenses/eliminations</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(32.8)</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(62.6)</w:t>
            </w:r>
          </w:p>
        </w:tc>
        <w:tc>
          <w:tcPr>
            <w:tcW w:w="10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48</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(149.6)</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(868.6)</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83</w:t>
            </w:r>
          </w:p>
        </w:tc>
      </w:tr>
      <w:tr>
        <w:trPr>
          <w:trHeight w:val="166"/>
        </w:trPr>
        <w:tc>
          <w:tcPr>
            <w:tcW w:w="3180" w:type="dxa"/>
            <w:vAlign w:val="bottom"/>
          </w:tcPr>
          <w:p>
            <w:pPr>
              <w:spacing w:after="0"/>
              <w:rPr>
                <w:sz w:val="20"/>
                <w:szCs w:val="20"/>
                <w:color w:val="auto"/>
              </w:rPr>
            </w:pPr>
            <w:r>
              <w:rPr>
                <w:rFonts w:ascii="Courier New" w:cs="Courier New" w:eastAsia="Courier New" w:hAnsi="Courier New"/>
                <w:sz w:val="14"/>
                <w:szCs w:val="14"/>
                <w:color w:val="auto"/>
              </w:rPr>
              <w:t>Residual costs of discontinued</w:t>
            </w:r>
          </w:p>
        </w:tc>
        <w:tc>
          <w:tcPr>
            <w:tcW w:w="16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3180" w:type="dxa"/>
            <w:vAlign w:val="bottom"/>
          </w:tcPr>
          <w:p>
            <w:pPr>
              <w:ind w:left="600"/>
              <w:spacing w:after="0"/>
              <w:rPr>
                <w:sz w:val="20"/>
                <w:szCs w:val="20"/>
                <w:color w:val="auto"/>
              </w:rPr>
            </w:pPr>
            <w:r>
              <w:rPr>
                <w:rFonts w:ascii="Courier New" w:cs="Courier New" w:eastAsia="Courier New" w:hAnsi="Courier New"/>
                <w:sz w:val="14"/>
                <w:szCs w:val="14"/>
                <w:color w:val="auto"/>
              </w:rPr>
              <w:t>operations</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(21.0)</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(29.0)</w:t>
            </w:r>
          </w:p>
        </w:tc>
        <w:tc>
          <w:tcPr>
            <w:tcW w:w="10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28</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(62.8)</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(47.6)</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bl>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4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EBITDA</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$ 976.9</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$ 1,440.2</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3,487.5</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$ 2,182.6</w:t>
            </w: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w w:val="83"/>
              </w:rPr>
              <w:t>60</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Video</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third quarter 2001 charge</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352.7</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NM</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352.7</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w w:val="83"/>
              </w:rPr>
              <w:t>NM</w:t>
            </w:r>
          </w:p>
        </w:tc>
      </w:tr>
    </w:tbl>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4100" w:type="dxa"/>
            <w:vAlign w:val="bottom"/>
          </w:tcPr>
          <w:p>
            <w:pPr>
              <w:spacing w:after="0"/>
              <w:rPr>
                <w:sz w:val="20"/>
                <w:szCs w:val="20"/>
                <w:color w:val="auto"/>
              </w:rPr>
            </w:pPr>
            <w:r>
              <w:rPr>
                <w:rFonts w:ascii="Courier New" w:cs="Courier New" w:eastAsia="Courier New" w:hAnsi="Courier New"/>
                <w:sz w:val="14"/>
                <w:szCs w:val="14"/>
                <w:color w:val="auto"/>
              </w:rPr>
              <w:t>Total EBITDA (excluding charge)   $ 1,329.6</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$ 1,440.2</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3,840.2</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$ 2,182.6</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76%</w:t>
            </w:r>
          </w:p>
        </w:tc>
      </w:tr>
    </w:tbl>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NM--not meaningful</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 Forma Results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right="4040"/>
        <w:spacing w:after="0" w:line="251" w:lineRule="auto"/>
        <w:rPr>
          <w:sz w:val="20"/>
          <w:szCs w:val="20"/>
          <w:color w:val="auto"/>
        </w:rPr>
      </w:pPr>
      <w:r>
        <w:rPr>
          <w:rFonts w:ascii="Courier New" w:cs="Courier New" w:eastAsia="Courier New" w:hAnsi="Courier New"/>
          <w:sz w:val="14"/>
          <w:szCs w:val="14"/>
          <w:color w:val="auto"/>
        </w:rPr>
        <w:t>In order to enhance comparability, the following discussion of the Company's results of operations is supplemented by pro forma financial information that assumes the Viacom/CBS merger, acquisitions of the remaining interests of Infinity and UPN, and the acquisition of BET as well as the completion of acquisitions and divestitures of radio, outdoor and cable properties had occurred January 1, 2000. Pro forma results are adjusted to exclude the primarily non-cash Blockbuster and merger-related charges and transactions with divested investments. Pro forma results also reflect the deconsolidation of iWon.com, which was previously a minority-owned consolidated subsidiary, as if it had occurred on January 1, 2000. The pro forma results are presented for informational purposes only and are not indicative of the operating results that would have occurred had the transactions actually occurred at the beginning of 2000, nor are they necessarily indicative of future operating results.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3620" w:type="dxa"/>
        <w:tblCellMar>
          <w:top w:w="0" w:type="dxa"/>
          <w:left w:w="0" w:type="dxa"/>
          <w:bottom w:w="0" w:type="dxa"/>
          <w:right w:w="0" w:type="dxa"/>
        </w:tblCellMar>
      </w:tblPr>
      <w:tr>
        <w:trPr>
          <w:trHeight w:val="162"/>
        </w:trPr>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Three Months</w:t>
            </w:r>
          </w:p>
        </w:tc>
        <w:tc>
          <w:tcPr>
            <w:tcW w:w="880" w:type="dxa"/>
            <w:vAlign w:val="bottom"/>
          </w:tcPr>
          <w:p>
            <w:pPr>
              <w:ind w:left="60"/>
              <w:spacing w:after="0"/>
              <w:rPr>
                <w:sz w:val="20"/>
                <w:szCs w:val="20"/>
                <w:color w:val="auto"/>
              </w:rPr>
            </w:pPr>
            <w:r>
              <w:rPr>
                <w:rFonts w:ascii="Courier New" w:cs="Courier New" w:eastAsia="Courier New" w:hAnsi="Courier New"/>
                <w:sz w:val="14"/>
                <w:szCs w:val="14"/>
                <w:color w:val="auto"/>
              </w:rPr>
              <w:t>Ended</w:t>
            </w:r>
          </w:p>
        </w:tc>
        <w:tc>
          <w:tcPr>
            <w:tcW w:w="13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Nine Months</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Ended</w:t>
            </w:r>
          </w:p>
        </w:tc>
        <w:tc>
          <w:tcPr>
            <w:tcW w:w="940" w:type="dxa"/>
            <w:vAlign w:val="bottom"/>
          </w:tcPr>
          <w:p>
            <w:pPr>
              <w:spacing w:after="0"/>
              <w:rPr>
                <w:sz w:val="14"/>
                <w:szCs w:val="14"/>
                <w:color w:val="auto"/>
              </w:rPr>
            </w:pPr>
          </w:p>
        </w:tc>
      </w:tr>
      <w:tr>
        <w:trPr>
          <w:trHeight w:val="166"/>
        </w:trPr>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September</w:t>
            </w:r>
          </w:p>
        </w:tc>
        <w:tc>
          <w:tcPr>
            <w:tcW w:w="880" w:type="dxa"/>
            <w:vAlign w:val="bottom"/>
          </w:tcPr>
          <w:p>
            <w:pPr>
              <w:ind w:left="60"/>
              <w:spacing w:after="0"/>
              <w:rPr>
                <w:sz w:val="20"/>
                <w:szCs w:val="20"/>
                <w:color w:val="auto"/>
              </w:rPr>
            </w:pPr>
            <w:r>
              <w:rPr>
                <w:rFonts w:ascii="Courier New" w:cs="Courier New" w:eastAsia="Courier New" w:hAnsi="Courier New"/>
                <w:sz w:val="14"/>
                <w:szCs w:val="14"/>
                <w:color w:val="auto"/>
              </w:rPr>
              <w:t>30,</w:t>
            </w:r>
          </w:p>
        </w:tc>
        <w:tc>
          <w:tcPr>
            <w:tcW w:w="1320" w:type="dxa"/>
            <w:vAlign w:val="bottom"/>
          </w:tcPr>
          <w:p>
            <w:pPr>
              <w:jc w:val="center"/>
              <w:spacing w:after="0"/>
              <w:rPr>
                <w:sz w:val="20"/>
                <w:szCs w:val="20"/>
                <w:color w:val="auto"/>
              </w:rPr>
            </w:pPr>
            <w:r>
              <w:rPr>
                <w:rFonts w:ascii="Courier New" w:cs="Courier New" w:eastAsia="Courier New" w:hAnsi="Courier New"/>
                <w:sz w:val="14"/>
                <w:szCs w:val="14"/>
                <w:color w:val="auto"/>
              </w:rPr>
              <w:t>Percent</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September</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30,</w:t>
            </w:r>
          </w:p>
        </w:tc>
        <w:tc>
          <w:tcPr>
            <w:tcW w:w="94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Percent</w:t>
            </w:r>
          </w:p>
        </w:tc>
      </w:tr>
      <w:tr>
        <w:trPr>
          <w:trHeight w:val="166"/>
        </w:trPr>
        <w:tc>
          <w:tcPr>
            <w:tcW w:w="116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2001</w:t>
            </w:r>
          </w:p>
        </w:tc>
        <w:tc>
          <w:tcPr>
            <w:tcW w:w="8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2000</w:t>
            </w:r>
          </w:p>
        </w:tc>
        <w:tc>
          <w:tcPr>
            <w:tcW w:w="1320" w:type="dxa"/>
            <w:vAlign w:val="bottom"/>
          </w:tcPr>
          <w:p>
            <w:pPr>
              <w:jc w:val="center"/>
              <w:spacing w:after="0"/>
              <w:rPr>
                <w:sz w:val="20"/>
                <w:szCs w:val="20"/>
                <w:color w:val="auto"/>
              </w:rPr>
            </w:pPr>
            <w:r>
              <w:rPr>
                <w:rFonts w:ascii="Courier New" w:cs="Courier New" w:eastAsia="Courier New" w:hAnsi="Courier New"/>
                <w:sz w:val="14"/>
                <w:szCs w:val="14"/>
                <w:color w:val="auto"/>
              </w:rPr>
              <w:t>B/(W)</w:t>
            </w:r>
          </w:p>
        </w:tc>
        <w:tc>
          <w:tcPr>
            <w:tcW w:w="15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2001</w:t>
            </w:r>
          </w:p>
        </w:tc>
        <w:tc>
          <w:tcPr>
            <w:tcW w:w="8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2000</w:t>
            </w:r>
          </w:p>
        </w:tc>
        <w:tc>
          <w:tcPr>
            <w:tcW w:w="94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B/(W)</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spacing w:after="0"/>
              <w:rPr>
                <w:sz w:val="20"/>
                <w:szCs w:val="20"/>
                <w:color w:val="auto"/>
              </w:rPr>
            </w:pPr>
            <w:r>
              <w:rPr>
                <w:rFonts w:ascii="Courier New" w:cs="Courier New" w:eastAsia="Courier New" w:hAnsi="Courier New"/>
                <w:sz w:val="14"/>
                <w:szCs w:val="14"/>
                <w:color w:val="auto"/>
              </w:rPr>
              <w:t>Total Company Pro Forma:</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2800" w:type="dxa"/>
            <w:vAlign w:val="bottom"/>
          </w:tcPr>
          <w:p>
            <w:pPr>
              <w:ind w:left="780"/>
              <w:spacing w:after="0"/>
              <w:rPr>
                <w:sz w:val="20"/>
                <w:szCs w:val="20"/>
                <w:color w:val="auto"/>
              </w:rPr>
            </w:pPr>
            <w:r>
              <w:rPr>
                <w:rFonts w:ascii="Courier New" w:cs="Courier New" w:eastAsia="Courier New" w:hAnsi="Courier New"/>
                <w:sz w:val="14"/>
                <w:szCs w:val="14"/>
                <w:color w:val="auto"/>
              </w:rPr>
              <w:t>Revenues</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5,713.3</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5,771.9</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17,167.4</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16,797.4</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6"/>
        </w:trPr>
        <w:tc>
          <w:tcPr>
            <w:tcW w:w="2800" w:type="dxa"/>
            <w:vAlign w:val="bottom"/>
          </w:tcPr>
          <w:p>
            <w:pPr>
              <w:ind w:left="780"/>
              <w:spacing w:after="0"/>
              <w:rPr>
                <w:sz w:val="20"/>
                <w:szCs w:val="20"/>
                <w:color w:val="auto"/>
              </w:rPr>
            </w:pPr>
            <w:r>
              <w:rPr>
                <w:rFonts w:ascii="Courier New" w:cs="Courier New" w:eastAsia="Courier New" w:hAnsi="Courier New"/>
                <w:sz w:val="14"/>
                <w:szCs w:val="14"/>
                <w:color w:val="auto"/>
              </w:rPr>
              <w:t>Operating income</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552.9</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682.6</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1,527.1</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1,374.0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2800" w:type="dxa"/>
            <w:vAlign w:val="bottom"/>
          </w:tcPr>
          <w:p>
            <w:pPr>
              <w:ind w:left="780"/>
              <w:spacing w:after="0"/>
              <w:rPr>
                <w:sz w:val="20"/>
                <w:szCs w:val="20"/>
                <w:color w:val="auto"/>
              </w:rPr>
            </w:pPr>
            <w:r>
              <w:rPr>
                <w:rFonts w:ascii="Courier New" w:cs="Courier New" w:eastAsia="Courier New" w:hAnsi="Courier New"/>
                <w:sz w:val="14"/>
                <w:szCs w:val="14"/>
                <w:color w:val="auto"/>
              </w:rPr>
              <w:t>EBITDA</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1,331.0</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1,430.8</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3,851.8</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3,652.6</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4040"/>
        <w:spacing w:after="0" w:line="251" w:lineRule="auto"/>
        <w:rPr>
          <w:sz w:val="20"/>
          <w:szCs w:val="20"/>
          <w:color w:val="auto"/>
        </w:rPr>
      </w:pPr>
      <w:r>
        <w:rPr>
          <w:rFonts w:ascii="Courier New" w:cs="Courier New" w:eastAsia="Courier New" w:hAnsi="Courier New"/>
          <w:sz w:val="14"/>
          <w:szCs w:val="14"/>
          <w:color w:val="auto"/>
        </w:rPr>
        <w:t>On a reported basis, revenues decreased 2% to $5.71 billion for the third quarter and increased 26% to $17.18 billion for the nine-month period ended September 30, 2001 from $5.81 billion and $13.69 billion, respectively, for the same prior-year periods. Reported operating results for the nine months are not comparable with prior-year period principally due to the Viacom/CBS merger, third quarter 2001 Blockbuster charge and the second quarter 2000 merger-related charges.</w:t>
      </w:r>
    </w:p>
    <w:p>
      <w:pPr>
        <w:spacing w:after="0" w:line="200" w:lineRule="exact"/>
        <w:rPr>
          <w:sz w:val="20"/>
          <w:szCs w:val="20"/>
          <w:color w:val="auto"/>
        </w:rPr>
      </w:pPr>
    </w:p>
    <w:p>
      <w:pPr>
        <w:spacing w:after="0" w:line="29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940"/>
          </w:cols>
          <w:pgMar w:left="220" w:top="616" w:right="739" w:bottom="1440" w:gutter="0" w:footer="0" w:header="0"/>
        </w:sectPr>
      </w:pPr>
    </w:p>
    <w:bookmarkStart w:id="26" w:name="page27"/>
    <w:bookmarkEnd w:id="26"/>
    <w:p>
      <w:pPr>
        <w:jc w:val="center"/>
        <w:ind w:right="3260"/>
        <w:spacing w:after="0"/>
        <w:rPr>
          <w:sz w:val="20"/>
          <w:szCs w:val="20"/>
          <w:color w:val="auto"/>
        </w:rPr>
      </w:pPr>
      <w:r>
        <w:rPr>
          <w:rFonts w:ascii="Courier New" w:cs="Courier New" w:eastAsia="Courier New" w:hAnsi="Courier New"/>
          <w:sz w:val="14"/>
          <w:szCs w:val="14"/>
          <w:color w:val="auto"/>
        </w:rPr>
        <w:t>Management's Discussion and Analysis of</w:t>
      </w:r>
    </w:p>
    <w:p>
      <w:pPr>
        <w:spacing w:after="0" w:line="7" w:lineRule="exact"/>
        <w:rPr>
          <w:sz w:val="20"/>
          <w:szCs w:val="20"/>
          <w:color w:val="auto"/>
        </w:rPr>
      </w:pPr>
    </w:p>
    <w:p>
      <w:pPr>
        <w:jc w:val="center"/>
        <w:ind w:right="3260"/>
        <w:spacing w:after="0"/>
        <w:rPr>
          <w:sz w:val="20"/>
          <w:szCs w:val="20"/>
          <w:color w:val="auto"/>
        </w:rPr>
      </w:pPr>
      <w:r>
        <w:rPr>
          <w:rFonts w:ascii="Courier New" w:cs="Courier New" w:eastAsia="Courier New" w:hAnsi="Courier New"/>
          <w:sz w:val="14"/>
          <w:szCs w:val="14"/>
          <w:color w:val="auto"/>
        </w:rPr>
        <w:t>Results of Operations and Financial Condition</w:t>
      </w:r>
    </w:p>
    <w:p>
      <w:pPr>
        <w:spacing w:after="0" w:line="173" w:lineRule="exact"/>
        <w:rPr>
          <w:sz w:val="20"/>
          <w:szCs w:val="20"/>
          <w:color w:val="auto"/>
        </w:rPr>
      </w:pPr>
    </w:p>
    <w:p>
      <w:pPr>
        <w:ind w:right="3360"/>
        <w:spacing w:after="0" w:line="251" w:lineRule="auto"/>
        <w:rPr>
          <w:sz w:val="20"/>
          <w:szCs w:val="20"/>
          <w:color w:val="auto"/>
        </w:rPr>
      </w:pPr>
      <w:r>
        <w:rPr>
          <w:rFonts w:ascii="Courier New" w:cs="Courier New" w:eastAsia="Courier New" w:hAnsi="Courier New"/>
          <w:sz w:val="14"/>
          <w:szCs w:val="14"/>
          <w:color w:val="auto"/>
        </w:rPr>
        <w:t>On a pro forma basis, revenues decreased 1% to $5.71 billion and increased 2% to $17.17 billion for the three-and nine-month periods ended September 30, 2001, respectively, from $5.77 billion and $16.80 billion for the same prior-year periods. EBITDA, on a pro forma basis, decreased 7% to $1.33 billion and increased 5% to $3.85 billion for the three-and nine-month periods ended September 30, 2001, respectively, from $1.43 billion and $3.65 billion for the same prior-year periods. Pro forma results reflect revenue increases for the quarter in four of six operating segments, and double-digit EBITDA increases for the third quarter and nine months in the Cable Networks and Video segments. The Company's third quarter and nine-month results were impacted by lower revenues and increased costs from the events of September 11 and related events.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Segment Results of Operations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540"/>
        <w:spacing w:after="0" w:line="252" w:lineRule="auto"/>
        <w:rPr>
          <w:sz w:val="20"/>
          <w:szCs w:val="20"/>
          <w:color w:val="auto"/>
        </w:rPr>
      </w:pPr>
      <w:r>
        <w:rPr>
          <w:rFonts w:ascii="Courier New" w:cs="Courier New" w:eastAsia="Courier New" w:hAnsi="Courier New"/>
          <w:sz w:val="14"/>
          <w:szCs w:val="14"/>
          <w:color w:val="auto"/>
        </w:rPr>
        <w:t>Cable Networks (MTV Networks ("MTVN") including MTV, VH1, Nickelodeon, Nick at Nite, TV Land, TNN: The National Network and CMT; BET; and Showtime Networks Inc. ("SNI"))</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3280" w:type="dxa"/>
        <w:tblCellMar>
          <w:top w:w="0" w:type="dxa"/>
          <w:left w:w="0" w:type="dxa"/>
          <w:bottom w:w="0" w:type="dxa"/>
          <w:right w:w="0" w:type="dxa"/>
        </w:tblCellMar>
      </w:tblPr>
      <w:tr>
        <w:trPr>
          <w:trHeight w:val="162"/>
        </w:trPr>
        <w:tc>
          <w:tcPr>
            <w:tcW w:w="22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Three Months Ended</w:t>
            </w:r>
          </w:p>
        </w:tc>
        <w:tc>
          <w:tcPr>
            <w:tcW w:w="15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Nine Months</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Ended</w:t>
            </w:r>
          </w:p>
        </w:tc>
        <w:tc>
          <w:tcPr>
            <w:tcW w:w="900" w:type="dxa"/>
            <w:vAlign w:val="bottom"/>
          </w:tcPr>
          <w:p>
            <w:pPr>
              <w:spacing w:after="0"/>
              <w:rPr>
                <w:sz w:val="14"/>
                <w:szCs w:val="14"/>
                <w:color w:val="auto"/>
              </w:rPr>
            </w:pPr>
          </w:p>
        </w:tc>
      </w:tr>
      <w:tr>
        <w:trPr>
          <w:trHeight w:val="166"/>
        </w:trPr>
        <w:tc>
          <w:tcPr>
            <w:tcW w:w="340" w:type="dxa"/>
            <w:vAlign w:val="bottom"/>
          </w:tcPr>
          <w:p>
            <w:pPr>
              <w:spacing w:after="0"/>
              <w:rPr>
                <w:sz w:val="14"/>
                <w:szCs w:val="14"/>
                <w:color w:val="auto"/>
              </w:rPr>
            </w:pPr>
          </w:p>
        </w:tc>
        <w:tc>
          <w:tcPr>
            <w:tcW w:w="19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September 30,</w:t>
            </w:r>
          </w:p>
        </w:tc>
        <w:tc>
          <w:tcPr>
            <w:tcW w:w="1500" w:type="dxa"/>
            <w:vAlign w:val="bottom"/>
          </w:tcPr>
          <w:p>
            <w:pPr>
              <w:ind w:left="520"/>
              <w:spacing w:after="0"/>
              <w:rPr>
                <w:sz w:val="20"/>
                <w:szCs w:val="20"/>
                <w:color w:val="auto"/>
              </w:rPr>
            </w:pPr>
            <w:r>
              <w:rPr>
                <w:rFonts w:ascii="Courier New" w:cs="Courier New" w:eastAsia="Courier New" w:hAnsi="Courier New"/>
                <w:sz w:val="14"/>
                <w:szCs w:val="14"/>
                <w:color w:val="auto"/>
              </w:rPr>
              <w:t>Percent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September</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30,</w:t>
            </w: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w w:val="98"/>
              </w:rPr>
              <w:t>Percent</w:t>
            </w:r>
          </w:p>
        </w:tc>
      </w:tr>
      <w:tr>
        <w:trPr>
          <w:trHeight w:val="166"/>
        </w:trPr>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2001</w:t>
            </w:r>
          </w:p>
        </w:tc>
        <w:tc>
          <w:tcPr>
            <w:tcW w:w="19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2000</w:t>
            </w:r>
          </w:p>
        </w:tc>
        <w:tc>
          <w:tcPr>
            <w:tcW w:w="1500" w:type="dxa"/>
            <w:vAlign w:val="bottom"/>
          </w:tcPr>
          <w:p>
            <w:pPr>
              <w:ind w:left="520"/>
              <w:spacing w:after="0"/>
              <w:rPr>
                <w:sz w:val="20"/>
                <w:szCs w:val="20"/>
                <w:color w:val="auto"/>
              </w:rPr>
            </w:pPr>
            <w:r>
              <w:rPr>
                <w:rFonts w:ascii="Courier New" w:cs="Courier New" w:eastAsia="Courier New" w:hAnsi="Courier New"/>
                <w:sz w:val="14"/>
                <w:szCs w:val="14"/>
                <w:color w:val="auto"/>
              </w:rPr>
              <w:t>B/(W)</w:t>
            </w:r>
          </w:p>
        </w:tc>
        <w:tc>
          <w:tcPr>
            <w:tcW w:w="13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2001</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2000</w:t>
            </w: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B/(W)</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40" w:type="dxa"/>
            <w:vAlign w:val="bottom"/>
          </w:tcPr>
          <w:p>
            <w:pPr>
              <w:spacing w:after="0"/>
              <w:rPr>
                <w:sz w:val="20"/>
                <w:szCs w:val="20"/>
                <w:color w:val="auto"/>
              </w:rPr>
            </w:pPr>
            <w:r>
              <w:rPr>
                <w:rFonts w:ascii="Courier New" w:cs="Courier New" w:eastAsia="Courier New" w:hAnsi="Courier New"/>
                <w:sz w:val="14"/>
                <w:szCs w:val="14"/>
                <w:color w:val="auto"/>
              </w:rPr>
              <w:t>Pro Forma:</w:t>
            </w: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2340" w:type="dxa"/>
            <w:vAlign w:val="bottom"/>
          </w:tcPr>
          <w:p>
            <w:pPr>
              <w:ind w:left="360"/>
              <w:spacing w:after="0"/>
              <w:rPr>
                <w:sz w:val="20"/>
                <w:szCs w:val="20"/>
                <w:color w:val="auto"/>
              </w:rPr>
            </w:pPr>
            <w:r>
              <w:rPr>
                <w:rFonts w:ascii="Courier New" w:cs="Courier New" w:eastAsia="Courier New" w:hAnsi="Courier New"/>
                <w:sz w:val="14"/>
                <w:szCs w:val="14"/>
                <w:color w:val="auto"/>
              </w:rPr>
              <w:t>Revenues</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1,096.4</w:t>
            </w:r>
          </w:p>
        </w:tc>
        <w:tc>
          <w:tcPr>
            <w:tcW w:w="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1,009.4</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w:t>
            </w: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3,127.0</w:t>
            </w:r>
          </w:p>
        </w:tc>
        <w:tc>
          <w:tcPr>
            <w:tcW w:w="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2,906.8</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6"/>
        </w:trPr>
        <w:tc>
          <w:tcPr>
            <w:tcW w:w="2340" w:type="dxa"/>
            <w:vAlign w:val="bottom"/>
          </w:tcPr>
          <w:p>
            <w:pPr>
              <w:ind w:left="360"/>
              <w:spacing w:after="0"/>
              <w:rPr>
                <w:sz w:val="20"/>
                <w:szCs w:val="20"/>
                <w:color w:val="auto"/>
              </w:rPr>
            </w:pPr>
            <w:r>
              <w:rPr>
                <w:rFonts w:ascii="Courier New" w:cs="Courier New" w:eastAsia="Courier New" w:hAnsi="Courier New"/>
                <w:sz w:val="14"/>
                <w:szCs w:val="14"/>
                <w:color w:val="auto"/>
              </w:rPr>
              <w:t>Operating income</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367.0</w:t>
            </w:r>
          </w:p>
        </w:tc>
        <w:tc>
          <w:tcPr>
            <w:tcW w:w="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289.3</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w:t>
            </w: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911.1</w:t>
            </w:r>
          </w:p>
        </w:tc>
        <w:tc>
          <w:tcPr>
            <w:tcW w:w="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713.8</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w:t>
            </w:r>
          </w:p>
        </w:tc>
      </w:tr>
      <w:tr>
        <w:trPr>
          <w:trHeight w:val="166"/>
        </w:trPr>
        <w:tc>
          <w:tcPr>
            <w:tcW w:w="2340" w:type="dxa"/>
            <w:vAlign w:val="bottom"/>
          </w:tcPr>
          <w:p>
            <w:pPr>
              <w:ind w:left="360"/>
              <w:spacing w:after="0"/>
              <w:rPr>
                <w:sz w:val="20"/>
                <w:szCs w:val="20"/>
                <w:color w:val="auto"/>
              </w:rPr>
            </w:pPr>
            <w:r>
              <w:rPr>
                <w:rFonts w:ascii="Courier New" w:cs="Courier New" w:eastAsia="Courier New" w:hAnsi="Courier New"/>
                <w:sz w:val="14"/>
                <w:szCs w:val="14"/>
                <w:color w:val="auto"/>
              </w:rPr>
              <w:t>EBITDA</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471.6</w:t>
            </w:r>
          </w:p>
        </w:tc>
        <w:tc>
          <w:tcPr>
            <w:tcW w:w="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395.3</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w:t>
            </w: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1,231.3</w:t>
            </w:r>
          </w:p>
        </w:tc>
        <w:tc>
          <w:tcPr>
            <w:tcW w:w="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1,016.3</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3360"/>
        <w:spacing w:after="0" w:line="250" w:lineRule="auto"/>
        <w:rPr>
          <w:sz w:val="20"/>
          <w:szCs w:val="20"/>
          <w:color w:val="auto"/>
        </w:rPr>
      </w:pPr>
      <w:r>
        <w:rPr>
          <w:rFonts w:ascii="Courier New" w:cs="Courier New" w:eastAsia="Courier New" w:hAnsi="Courier New"/>
          <w:sz w:val="14"/>
          <w:szCs w:val="14"/>
          <w:color w:val="auto"/>
        </w:rPr>
        <w:t>For the third quarter and nine months ended September 30, 2001, higher pro forma revenues and EBITDA principally reflect growth in cable affiliate fees, DBS revenues and double-digit advertising revenue gains at MTV, VH1, TV Land and BET. The 2001 MTV Video Music Awards aired in September and averaged more than</w:t>
      </w:r>
    </w:p>
    <w:p>
      <w:pPr>
        <w:spacing w:after="0" w:line="2" w:lineRule="exact"/>
        <w:rPr>
          <w:sz w:val="20"/>
          <w:szCs w:val="20"/>
          <w:color w:val="auto"/>
        </w:rPr>
      </w:pPr>
    </w:p>
    <w:p>
      <w:pPr>
        <w:ind w:right="3360"/>
        <w:spacing w:after="0" w:line="252" w:lineRule="auto"/>
        <w:rPr>
          <w:sz w:val="20"/>
          <w:szCs w:val="20"/>
          <w:color w:val="auto"/>
        </w:rPr>
      </w:pPr>
      <w:r>
        <w:rPr>
          <w:rFonts w:ascii="Courier New" w:cs="Courier New" w:eastAsia="Courier New" w:hAnsi="Courier New"/>
          <w:sz w:val="14"/>
          <w:szCs w:val="14"/>
          <w:color w:val="auto"/>
        </w:rPr>
        <w:t>10 million viewers, ranking it as the No. 1 cable entertainment program for 2001 among households and the second most watched MTV Video Music Awards in the channel's history. Showtime subscriptions increased 16% over the prior year by approximately 4.1 million to 29.6 million subscriptions at September 30, 2001.</w:t>
      </w:r>
    </w:p>
    <w:p>
      <w:pPr>
        <w:spacing w:after="0" w:line="162" w:lineRule="exact"/>
        <w:rPr>
          <w:sz w:val="20"/>
          <w:szCs w:val="20"/>
          <w:color w:val="auto"/>
        </w:rPr>
      </w:pPr>
    </w:p>
    <w:p>
      <w:pPr>
        <w:ind w:right="3540"/>
        <w:spacing w:after="0" w:line="251" w:lineRule="auto"/>
        <w:rPr>
          <w:sz w:val="20"/>
          <w:szCs w:val="20"/>
          <w:color w:val="auto"/>
        </w:rPr>
      </w:pPr>
      <w:r>
        <w:rPr>
          <w:rFonts w:ascii="Courier New" w:cs="Courier New" w:eastAsia="Courier New" w:hAnsi="Courier New"/>
          <w:sz w:val="14"/>
          <w:szCs w:val="14"/>
          <w:color w:val="auto"/>
        </w:rPr>
        <w:t>The Company completed its acquisition of BET on January 23, 2001 for approximately $3 billion consisting principally of Viacom Class B Common Stock and the assumption of debt. Pro forma results assume the acquisition of CBS Cable Networks, TNN and CMT, the acquisition of BET, and dispositions had occurred on January 1, 2000.</w:t>
      </w:r>
    </w:p>
    <w:p>
      <w:pPr>
        <w:spacing w:after="0" w:line="165" w:lineRule="exact"/>
        <w:rPr>
          <w:sz w:val="20"/>
          <w:szCs w:val="20"/>
          <w:color w:val="auto"/>
        </w:rPr>
      </w:pPr>
    </w:p>
    <w:p>
      <w:pPr>
        <w:ind w:right="3440"/>
        <w:spacing w:after="0" w:line="255" w:lineRule="auto"/>
        <w:rPr>
          <w:sz w:val="20"/>
          <w:szCs w:val="20"/>
          <w:color w:val="auto"/>
        </w:rPr>
      </w:pPr>
      <w:r>
        <w:rPr>
          <w:rFonts w:ascii="Courier New" w:cs="Courier New" w:eastAsia="Courier New" w:hAnsi="Courier New"/>
          <w:sz w:val="14"/>
          <w:szCs w:val="14"/>
          <w:color w:val="auto"/>
        </w:rPr>
        <w:t>Television (CBS and UPN Television Networks and Stations; Television Production and Syndication)</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2860" w:type="dxa"/>
        <w:tblCellMar>
          <w:top w:w="0" w:type="dxa"/>
          <w:left w:w="0" w:type="dxa"/>
          <w:bottom w:w="0" w:type="dxa"/>
          <w:right w:w="0" w:type="dxa"/>
        </w:tblCellMar>
      </w:tblPr>
      <w:tr>
        <w:trPr>
          <w:trHeight w:val="162"/>
        </w:trPr>
        <w:tc>
          <w:tcPr>
            <w:tcW w:w="460" w:type="dxa"/>
            <w:vAlign w:val="bottom"/>
          </w:tcPr>
          <w:p>
            <w:pPr>
              <w:jc w:val="right"/>
              <w:spacing w:after="0"/>
              <w:rPr>
                <w:sz w:val="20"/>
                <w:szCs w:val="20"/>
                <w:color w:val="auto"/>
              </w:rPr>
            </w:pPr>
            <w:r>
              <w:rPr>
                <w:rFonts w:ascii="Courier New" w:cs="Courier New" w:eastAsia="Courier New" w:hAnsi="Courier New"/>
                <w:sz w:val="14"/>
                <w:szCs w:val="14"/>
                <w:color w:val="auto"/>
                <w:w w:val="95"/>
              </w:rPr>
              <w:t>Three</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Months</w:t>
            </w:r>
          </w:p>
        </w:tc>
        <w:tc>
          <w:tcPr>
            <w:tcW w:w="1080" w:type="dxa"/>
            <w:vAlign w:val="bottom"/>
          </w:tcPr>
          <w:p>
            <w:pPr>
              <w:ind w:left="60"/>
              <w:spacing w:after="0"/>
              <w:rPr>
                <w:sz w:val="20"/>
                <w:szCs w:val="20"/>
                <w:color w:val="auto"/>
              </w:rPr>
            </w:pPr>
            <w:r>
              <w:rPr>
                <w:rFonts w:ascii="Courier New" w:cs="Courier New" w:eastAsia="Courier New" w:hAnsi="Courier New"/>
                <w:sz w:val="14"/>
                <w:szCs w:val="14"/>
                <w:color w:val="auto"/>
              </w:rPr>
              <w:t>Ended</w:t>
            </w:r>
          </w:p>
        </w:tc>
        <w:tc>
          <w:tcPr>
            <w:tcW w:w="138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Nine Months</w:t>
            </w:r>
          </w:p>
        </w:tc>
        <w:tc>
          <w:tcPr>
            <w:tcW w:w="880" w:type="dxa"/>
            <w:vAlign w:val="bottom"/>
          </w:tcPr>
          <w:p>
            <w:pPr>
              <w:ind w:left="60"/>
              <w:spacing w:after="0"/>
              <w:rPr>
                <w:sz w:val="20"/>
                <w:szCs w:val="20"/>
                <w:color w:val="auto"/>
              </w:rPr>
            </w:pPr>
            <w:r>
              <w:rPr>
                <w:rFonts w:ascii="Courier New" w:cs="Courier New" w:eastAsia="Courier New" w:hAnsi="Courier New"/>
                <w:sz w:val="14"/>
                <w:szCs w:val="14"/>
                <w:color w:val="auto"/>
              </w:rPr>
              <w:t>Ended</w:t>
            </w:r>
          </w:p>
        </w:tc>
        <w:tc>
          <w:tcPr>
            <w:tcW w:w="980" w:type="dxa"/>
            <w:vAlign w:val="bottom"/>
          </w:tcPr>
          <w:p>
            <w:pPr>
              <w:spacing w:after="0"/>
              <w:rPr>
                <w:sz w:val="14"/>
                <w:szCs w:val="14"/>
                <w:color w:val="auto"/>
              </w:rPr>
            </w:pPr>
          </w:p>
        </w:tc>
      </w:tr>
      <w:tr>
        <w:trPr>
          <w:trHeight w:val="166"/>
        </w:trPr>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September</w:t>
            </w:r>
          </w:p>
        </w:tc>
        <w:tc>
          <w:tcPr>
            <w:tcW w:w="1080" w:type="dxa"/>
            <w:vAlign w:val="bottom"/>
          </w:tcPr>
          <w:p>
            <w:pPr>
              <w:ind w:left="60"/>
              <w:spacing w:after="0"/>
              <w:rPr>
                <w:sz w:val="20"/>
                <w:szCs w:val="20"/>
                <w:color w:val="auto"/>
              </w:rPr>
            </w:pPr>
            <w:r>
              <w:rPr>
                <w:rFonts w:ascii="Courier New" w:cs="Courier New" w:eastAsia="Courier New" w:hAnsi="Courier New"/>
                <w:sz w:val="14"/>
                <w:szCs w:val="14"/>
                <w:color w:val="auto"/>
              </w:rPr>
              <w:t>30,</w:t>
            </w:r>
          </w:p>
        </w:tc>
        <w:tc>
          <w:tcPr>
            <w:tcW w:w="1380" w:type="dxa"/>
            <w:vAlign w:val="bottom"/>
          </w:tcPr>
          <w:p>
            <w:pPr>
              <w:ind w:left="440"/>
              <w:spacing w:after="0"/>
              <w:rPr>
                <w:sz w:val="20"/>
                <w:szCs w:val="20"/>
                <w:color w:val="auto"/>
              </w:rPr>
            </w:pPr>
            <w:r>
              <w:rPr>
                <w:rFonts w:ascii="Courier New" w:cs="Courier New" w:eastAsia="Courier New" w:hAnsi="Courier New"/>
                <w:sz w:val="14"/>
                <w:szCs w:val="14"/>
                <w:color w:val="auto"/>
              </w:rPr>
              <w:t>Percent</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September</w:t>
            </w:r>
          </w:p>
        </w:tc>
        <w:tc>
          <w:tcPr>
            <w:tcW w:w="880" w:type="dxa"/>
            <w:vAlign w:val="bottom"/>
          </w:tcPr>
          <w:p>
            <w:pPr>
              <w:ind w:left="60"/>
              <w:spacing w:after="0"/>
              <w:rPr>
                <w:sz w:val="20"/>
                <w:szCs w:val="20"/>
                <w:color w:val="auto"/>
              </w:rPr>
            </w:pPr>
            <w:r>
              <w:rPr>
                <w:rFonts w:ascii="Courier New" w:cs="Courier New" w:eastAsia="Courier New" w:hAnsi="Courier New"/>
                <w:sz w:val="14"/>
                <w:szCs w:val="14"/>
                <w:color w:val="auto"/>
              </w:rPr>
              <w:t>30,</w:t>
            </w:r>
          </w:p>
        </w:tc>
        <w:tc>
          <w:tcPr>
            <w:tcW w:w="980" w:type="dxa"/>
            <w:vAlign w:val="bottom"/>
          </w:tcPr>
          <w:p>
            <w:pPr>
              <w:jc w:val="center"/>
              <w:ind w:left="308"/>
              <w:spacing w:after="0"/>
              <w:rPr>
                <w:sz w:val="20"/>
                <w:szCs w:val="20"/>
                <w:color w:val="auto"/>
              </w:rPr>
            </w:pPr>
            <w:r>
              <w:rPr>
                <w:rFonts w:ascii="Courier New" w:cs="Courier New" w:eastAsia="Courier New" w:hAnsi="Courier New"/>
                <w:sz w:val="14"/>
                <w:szCs w:val="14"/>
                <w:color w:val="auto"/>
              </w:rPr>
              <w:t>Percent</w:t>
            </w:r>
          </w:p>
        </w:tc>
      </w:tr>
      <w:tr>
        <w:trPr>
          <w:trHeight w:val="166"/>
        </w:trPr>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2001</w:t>
            </w:r>
          </w:p>
        </w:tc>
        <w:tc>
          <w:tcPr>
            <w:tcW w:w="600" w:type="dxa"/>
            <w:vAlign w:val="bottom"/>
          </w:tcPr>
          <w:p>
            <w:pPr>
              <w:spacing w:after="0"/>
              <w:rPr>
                <w:sz w:val="14"/>
                <w:szCs w:val="14"/>
                <w:color w:val="auto"/>
              </w:rPr>
            </w:pP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2000</w:t>
            </w:r>
          </w:p>
        </w:tc>
        <w:tc>
          <w:tcPr>
            <w:tcW w:w="1380" w:type="dxa"/>
            <w:vAlign w:val="bottom"/>
          </w:tcPr>
          <w:p>
            <w:pPr>
              <w:ind w:left="440"/>
              <w:spacing w:after="0"/>
              <w:rPr>
                <w:sz w:val="20"/>
                <w:szCs w:val="20"/>
                <w:color w:val="auto"/>
              </w:rPr>
            </w:pPr>
            <w:r>
              <w:rPr>
                <w:rFonts w:ascii="Courier New" w:cs="Courier New" w:eastAsia="Courier New" w:hAnsi="Courier New"/>
                <w:sz w:val="14"/>
                <w:szCs w:val="14"/>
                <w:color w:val="auto"/>
              </w:rPr>
              <w:t>B/(W)</w:t>
            </w:r>
          </w:p>
        </w:tc>
        <w:tc>
          <w:tcPr>
            <w:tcW w:w="150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2001</w:t>
            </w:r>
          </w:p>
        </w:tc>
        <w:tc>
          <w:tcPr>
            <w:tcW w:w="8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2000</w:t>
            </w:r>
          </w:p>
        </w:tc>
        <w:tc>
          <w:tcPr>
            <w:tcW w:w="980" w:type="dxa"/>
            <w:vAlign w:val="bottom"/>
          </w:tcPr>
          <w:p>
            <w:pPr>
              <w:jc w:val="center"/>
              <w:ind w:left="308"/>
              <w:spacing w:after="0"/>
              <w:rPr>
                <w:sz w:val="20"/>
                <w:szCs w:val="20"/>
                <w:color w:val="auto"/>
              </w:rPr>
            </w:pPr>
            <w:r>
              <w:rPr>
                <w:rFonts w:ascii="Courier New" w:cs="Courier New" w:eastAsia="Courier New" w:hAnsi="Courier New"/>
                <w:sz w:val="14"/>
                <w:szCs w:val="14"/>
                <w:color w:val="auto"/>
              </w:rPr>
              <w:t>B/(W)</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60" w:type="dxa"/>
            <w:vAlign w:val="bottom"/>
          </w:tcPr>
          <w:p>
            <w:pPr>
              <w:spacing w:after="0"/>
              <w:rPr>
                <w:sz w:val="20"/>
                <w:szCs w:val="20"/>
                <w:color w:val="auto"/>
              </w:rPr>
            </w:pPr>
            <w:r>
              <w:rPr>
                <w:rFonts w:ascii="Courier New" w:cs="Courier New" w:eastAsia="Courier New" w:hAnsi="Courier New"/>
                <w:sz w:val="14"/>
                <w:szCs w:val="14"/>
                <w:color w:val="auto"/>
              </w:rPr>
              <w:t>Pro Forma:</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160" w:type="dxa"/>
            <w:vAlign w:val="bottom"/>
          </w:tcPr>
          <w:p>
            <w:pPr>
              <w:ind w:left="360"/>
              <w:spacing w:after="0"/>
              <w:rPr>
                <w:sz w:val="20"/>
                <w:szCs w:val="20"/>
                <w:color w:val="auto"/>
              </w:rPr>
            </w:pPr>
            <w:r>
              <w:rPr>
                <w:rFonts w:ascii="Courier New" w:cs="Courier New" w:eastAsia="Courier New" w:hAnsi="Courier New"/>
                <w:sz w:val="14"/>
                <w:szCs w:val="14"/>
                <w:color w:val="auto"/>
              </w:rPr>
              <w:t>Revenues</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1,585.2</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1,687.9</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5,242.4</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5,191.3</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2160" w:type="dxa"/>
            <w:vAlign w:val="bottom"/>
          </w:tcPr>
          <w:p>
            <w:pPr>
              <w:ind w:left="360"/>
              <w:spacing w:after="0"/>
              <w:rPr>
                <w:sz w:val="20"/>
                <w:szCs w:val="20"/>
                <w:color w:val="auto"/>
              </w:rPr>
            </w:pPr>
            <w:r>
              <w:rPr>
                <w:rFonts w:ascii="Courier New" w:cs="Courier New" w:eastAsia="Courier New" w:hAnsi="Courier New"/>
                <w:sz w:val="14"/>
                <w:szCs w:val="14"/>
                <w:color w:val="auto"/>
              </w:rPr>
              <w:t>Operating income</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78.1</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170.1</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(54)</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359.8</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386.9</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66"/>
        </w:trPr>
        <w:tc>
          <w:tcPr>
            <w:tcW w:w="2160" w:type="dxa"/>
            <w:vAlign w:val="bottom"/>
          </w:tcPr>
          <w:p>
            <w:pPr>
              <w:ind w:left="360"/>
              <w:spacing w:after="0"/>
              <w:rPr>
                <w:sz w:val="20"/>
                <w:szCs w:val="20"/>
                <w:color w:val="auto"/>
              </w:rPr>
            </w:pPr>
            <w:r>
              <w:rPr>
                <w:rFonts w:ascii="Courier New" w:cs="Courier New" w:eastAsia="Courier New" w:hAnsi="Courier New"/>
                <w:sz w:val="14"/>
                <w:szCs w:val="14"/>
                <w:color w:val="auto"/>
              </w:rPr>
              <w:t>EBITDA</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282.6</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348.4</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958.1</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949.7</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w:t>
            </w:r>
          </w:p>
        </w:tc>
      </w:tr>
    </w:tbl>
    <w:p>
      <w:pPr>
        <w:spacing w:after="0" w:line="4" w:lineRule="exact"/>
        <w:rPr>
          <w:sz w:val="20"/>
          <w:szCs w:val="20"/>
          <w:color w:val="auto"/>
        </w:rPr>
      </w:pPr>
    </w:p>
    <w:p>
      <w:pPr>
        <w:ind w:left="180" w:hanging="172"/>
        <w:spacing w:after="0"/>
        <w:tabs>
          <w:tab w:leader="none" w:pos="1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3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-27-</w:t>
      </w:r>
    </w:p>
    <w:p>
      <w:pPr>
        <w:sectPr>
          <w:pgSz w:w="11900" w:h="16838" w:orient="portrait"/>
          <w:cols w:equalWidth="0" w:num="1">
            <w:col w:w="10260"/>
          </w:cols>
          <w:pgMar w:left="220" w:top="616" w:right="1419" w:bottom="1440" w:gutter="0" w:footer="0" w:header="0"/>
        </w:sectPr>
      </w:pPr>
    </w:p>
    <w:bookmarkStart w:id="27" w:name="page28"/>
    <w:bookmarkEnd w:id="27"/>
    <w:p>
      <w:pPr>
        <w:jc w:val="center"/>
        <w:ind w:right="3340"/>
        <w:spacing w:after="0"/>
        <w:rPr>
          <w:sz w:val="20"/>
          <w:szCs w:val="20"/>
          <w:color w:val="auto"/>
        </w:rPr>
      </w:pPr>
      <w:r>
        <w:rPr>
          <w:rFonts w:ascii="Courier New" w:cs="Courier New" w:eastAsia="Courier New" w:hAnsi="Courier New"/>
          <w:sz w:val="14"/>
          <w:szCs w:val="14"/>
          <w:color w:val="auto"/>
        </w:rPr>
        <w:t>Management's Discussion and Analysis of</w:t>
      </w:r>
    </w:p>
    <w:p>
      <w:pPr>
        <w:spacing w:after="0" w:line="7" w:lineRule="exact"/>
        <w:rPr>
          <w:sz w:val="20"/>
          <w:szCs w:val="20"/>
          <w:color w:val="auto"/>
        </w:rPr>
      </w:pPr>
    </w:p>
    <w:p>
      <w:pPr>
        <w:jc w:val="center"/>
        <w:ind w:right="3340"/>
        <w:spacing w:after="0"/>
        <w:rPr>
          <w:sz w:val="20"/>
          <w:szCs w:val="20"/>
          <w:color w:val="auto"/>
        </w:rPr>
      </w:pPr>
      <w:r>
        <w:rPr>
          <w:rFonts w:ascii="Courier New" w:cs="Courier New" w:eastAsia="Courier New" w:hAnsi="Courier New"/>
          <w:sz w:val="14"/>
          <w:szCs w:val="14"/>
          <w:color w:val="auto"/>
        </w:rPr>
        <w:t>Results of Operations and Financial Condition</w:t>
      </w:r>
    </w:p>
    <w:p>
      <w:pPr>
        <w:spacing w:after="0" w:line="173" w:lineRule="exact"/>
        <w:rPr>
          <w:sz w:val="20"/>
          <w:szCs w:val="20"/>
          <w:color w:val="auto"/>
        </w:rPr>
      </w:pPr>
    </w:p>
    <w:p>
      <w:pPr>
        <w:ind w:right="3440"/>
        <w:spacing w:after="0" w:line="250" w:lineRule="auto"/>
        <w:rPr>
          <w:sz w:val="20"/>
          <w:szCs w:val="20"/>
          <w:color w:val="auto"/>
        </w:rPr>
      </w:pPr>
      <w:r>
        <w:rPr>
          <w:rFonts w:ascii="Courier New" w:cs="Courier New" w:eastAsia="Courier New" w:hAnsi="Courier New"/>
          <w:sz w:val="14"/>
          <w:szCs w:val="14"/>
          <w:color w:val="auto"/>
        </w:rPr>
        <w:t>For the third quarter ended September 30, 2001, Television's pro forma revenue and EBITDA shortfalls were primarily the result of continuing softness in the advertising market and the impact of the events of September 11. The CBS Network ran sustained news coverage from Tuesday, September 11 through Friday, September 14, which resulted in lower revenue and higher newsgathering costs. The CBS Network also incurred several preemptions to regular scheduled programming, further impacting revenue and newsgathering costs. For the quarter, CBS Network also incurred higher programming costs associated with the earlier premiere of the fall season; the season premiered in the last week of September in 2001 as compared to early October in 2000. Television's results were partially offset by the strong performance of continuing network and first-run syndication shows, including Paramount Television Group's Frasier, Judge Judy, Judge Joe Brown, 7th Heaven, Entertainment Tonight, Ed, That's Life, Soul Food and The Division and the syndication availability of Everybody Loves Raymond. Paramount Television Group's higher revenues for the three and nine month periods were partially offset by lower revenues from the cancelled series Beverly Hills 90210 and Sunset Beach, and the lower revenues from Sabrina, The Teenage Witch and Moesha whose prior year revenues included first time syndication availabilities. Prior year's third quarter benefited from a robust advertising market generated by the tail end of the technology boom.</w:t>
      </w:r>
    </w:p>
    <w:p>
      <w:pPr>
        <w:spacing w:after="0" w:line="174" w:lineRule="exact"/>
        <w:rPr>
          <w:sz w:val="20"/>
          <w:szCs w:val="20"/>
          <w:color w:val="auto"/>
        </w:rPr>
      </w:pPr>
    </w:p>
    <w:p>
      <w:pPr>
        <w:ind w:right="3440"/>
        <w:spacing w:after="0" w:line="251" w:lineRule="auto"/>
        <w:rPr>
          <w:sz w:val="20"/>
          <w:szCs w:val="20"/>
          <w:color w:val="auto"/>
        </w:rPr>
      </w:pPr>
      <w:r>
        <w:rPr>
          <w:rFonts w:ascii="Courier New" w:cs="Courier New" w:eastAsia="Courier New" w:hAnsi="Courier New"/>
          <w:sz w:val="14"/>
          <w:szCs w:val="14"/>
          <w:color w:val="auto"/>
        </w:rPr>
        <w:t>Pro forma results assume that the Viacom/CBS merger and the acquisition of the remaining 50% interest of UPN had occurred January 1, 2000. Pro forma results are also adjusted to exclude transactions with divested investments and operating losses before depreciation for iWon.com of approximately $23 million in the third quarter and $87 million for the nine months ended September 30, 2000. In 2001, iWon.com is accounted for as a deconsolidated investment, whereas in 2000, iWon.com was a minority-owned, consolidated subsidiary.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Infinity (Radio Stations, Outdoor Advertising Properties)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3280" w:type="dxa"/>
        <w:tblCellMar>
          <w:top w:w="0" w:type="dxa"/>
          <w:left w:w="0" w:type="dxa"/>
          <w:bottom w:w="0" w:type="dxa"/>
          <w:right w:w="0" w:type="dxa"/>
        </w:tblCellMar>
      </w:tblPr>
      <w:tr>
        <w:trPr>
          <w:trHeight w:val="162"/>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Three</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Months</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Ended</w:t>
            </w:r>
          </w:p>
        </w:tc>
        <w:tc>
          <w:tcPr>
            <w:tcW w:w="1300" w:type="dxa"/>
            <w:vAlign w:val="bottom"/>
          </w:tcPr>
          <w:p>
            <w:pPr>
              <w:spacing w:after="0"/>
              <w:rPr>
                <w:sz w:val="14"/>
                <w:szCs w:val="14"/>
                <w:color w:val="auto"/>
              </w:rPr>
            </w:pPr>
          </w:p>
        </w:tc>
        <w:tc>
          <w:tcPr>
            <w:tcW w:w="640" w:type="dxa"/>
            <w:vAlign w:val="bottom"/>
          </w:tcPr>
          <w:p>
            <w:pPr>
              <w:ind w:left="260"/>
              <w:spacing w:after="0"/>
              <w:rPr>
                <w:sz w:val="20"/>
                <w:szCs w:val="20"/>
                <w:color w:val="auto"/>
              </w:rPr>
            </w:pPr>
            <w:r>
              <w:rPr>
                <w:rFonts w:ascii="Courier New" w:cs="Courier New" w:eastAsia="Courier New" w:hAnsi="Courier New"/>
                <w:sz w:val="14"/>
                <w:szCs w:val="14"/>
                <w:color w:val="auto"/>
              </w:rPr>
              <w:t>Nine</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Months</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Ended</w:t>
            </w:r>
          </w:p>
        </w:tc>
        <w:tc>
          <w:tcPr>
            <w:tcW w:w="960" w:type="dxa"/>
            <w:vAlign w:val="bottom"/>
          </w:tcPr>
          <w:p>
            <w:pPr>
              <w:spacing w:after="0"/>
              <w:rPr>
                <w:sz w:val="14"/>
                <w:szCs w:val="14"/>
                <w:color w:val="auto"/>
              </w:rPr>
            </w:pPr>
          </w:p>
        </w:tc>
      </w:tr>
      <w:tr>
        <w:trPr>
          <w:trHeight w:val="166"/>
        </w:trPr>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September</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30,</w:t>
            </w:r>
          </w:p>
        </w:tc>
        <w:tc>
          <w:tcPr>
            <w:tcW w:w="1300" w:type="dxa"/>
            <w:vAlign w:val="bottom"/>
          </w:tcPr>
          <w:p>
            <w:pPr>
              <w:ind w:left="440"/>
              <w:spacing w:after="0"/>
              <w:rPr>
                <w:sz w:val="20"/>
                <w:szCs w:val="20"/>
                <w:color w:val="auto"/>
              </w:rPr>
            </w:pPr>
            <w:r>
              <w:rPr>
                <w:rFonts w:ascii="Courier New" w:cs="Courier New" w:eastAsia="Courier New" w:hAnsi="Courier New"/>
                <w:sz w:val="14"/>
                <w:szCs w:val="14"/>
                <w:color w:val="auto"/>
              </w:rPr>
              <w:t>Percent</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September</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30,</w:t>
            </w:r>
          </w:p>
        </w:tc>
        <w:tc>
          <w:tcPr>
            <w:tcW w:w="96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Percent</w:t>
            </w:r>
          </w:p>
        </w:tc>
      </w:tr>
      <w:tr>
        <w:trPr>
          <w:trHeight w:val="166"/>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2001</w:t>
            </w:r>
          </w:p>
        </w:tc>
        <w:tc>
          <w:tcPr>
            <w:tcW w:w="600" w:type="dxa"/>
            <w:vAlign w:val="bottom"/>
          </w:tcPr>
          <w:p>
            <w:pPr>
              <w:spacing w:after="0"/>
              <w:rPr>
                <w:sz w:val="14"/>
                <w:szCs w:val="14"/>
                <w:color w:val="auto"/>
              </w:rPr>
            </w:pP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2000</w:t>
            </w:r>
          </w:p>
        </w:tc>
        <w:tc>
          <w:tcPr>
            <w:tcW w:w="1300" w:type="dxa"/>
            <w:vAlign w:val="bottom"/>
          </w:tcPr>
          <w:p>
            <w:pPr>
              <w:ind w:left="440"/>
              <w:spacing w:after="0"/>
              <w:rPr>
                <w:sz w:val="20"/>
                <w:szCs w:val="20"/>
                <w:color w:val="auto"/>
              </w:rPr>
            </w:pPr>
            <w:r>
              <w:rPr>
                <w:rFonts w:ascii="Courier New" w:cs="Courier New" w:eastAsia="Courier New" w:hAnsi="Courier New"/>
                <w:sz w:val="14"/>
                <w:szCs w:val="14"/>
                <w:color w:val="auto"/>
              </w:rPr>
              <w:t>B/(W)</w:t>
            </w:r>
          </w:p>
        </w:tc>
        <w:tc>
          <w:tcPr>
            <w:tcW w:w="640" w:type="dxa"/>
            <w:vAlign w:val="bottom"/>
          </w:tcPr>
          <w:p>
            <w:pPr>
              <w:ind w:left="260"/>
              <w:spacing w:after="0"/>
              <w:rPr>
                <w:sz w:val="20"/>
                <w:szCs w:val="20"/>
                <w:color w:val="auto"/>
              </w:rPr>
            </w:pPr>
            <w:r>
              <w:rPr>
                <w:rFonts w:ascii="Courier New" w:cs="Courier New" w:eastAsia="Courier New" w:hAnsi="Courier New"/>
                <w:sz w:val="14"/>
                <w:szCs w:val="14"/>
                <w:color w:val="auto"/>
              </w:rPr>
              <w:t>2001</w:t>
            </w:r>
          </w:p>
        </w:tc>
        <w:tc>
          <w:tcPr>
            <w:tcW w:w="60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960" w:type="dxa"/>
            <w:vAlign w:val="bottom"/>
          </w:tcPr>
          <w:p>
            <w:pPr>
              <w:jc w:val="center"/>
              <w:ind w:left="268"/>
              <w:spacing w:after="0"/>
              <w:rPr>
                <w:sz w:val="20"/>
                <w:szCs w:val="20"/>
                <w:color w:val="auto"/>
              </w:rPr>
            </w:pPr>
            <w:r>
              <w:rPr>
                <w:rFonts w:ascii="Courier New" w:cs="Courier New" w:eastAsia="Courier New" w:hAnsi="Courier New"/>
                <w:sz w:val="14"/>
                <w:szCs w:val="14"/>
                <w:color w:val="auto"/>
                <w:w w:val="99"/>
              </w:rPr>
              <w:t>B/(W)</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80" w:type="dxa"/>
            <w:vAlign w:val="bottom"/>
          </w:tcPr>
          <w:p>
            <w:pPr>
              <w:spacing w:after="0"/>
              <w:rPr>
                <w:sz w:val="20"/>
                <w:szCs w:val="20"/>
                <w:color w:val="auto"/>
              </w:rPr>
            </w:pPr>
            <w:r>
              <w:rPr>
                <w:rFonts w:ascii="Courier New" w:cs="Courier New" w:eastAsia="Courier New" w:hAnsi="Courier New"/>
                <w:sz w:val="14"/>
                <w:szCs w:val="14"/>
                <w:color w:val="auto"/>
              </w:rPr>
              <w:t>Pro Forma:</w:t>
            </w: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2680" w:type="dxa"/>
            <w:vAlign w:val="bottom"/>
          </w:tcPr>
          <w:p>
            <w:pPr>
              <w:ind w:left="700"/>
              <w:spacing w:after="0"/>
              <w:rPr>
                <w:sz w:val="20"/>
                <w:szCs w:val="20"/>
                <w:color w:val="auto"/>
              </w:rPr>
            </w:pPr>
            <w:r>
              <w:rPr>
                <w:rFonts w:ascii="Courier New" w:cs="Courier New" w:eastAsia="Courier New" w:hAnsi="Courier New"/>
                <w:sz w:val="14"/>
                <w:szCs w:val="14"/>
                <w:color w:val="auto"/>
              </w:rPr>
              <w:t>Revenues</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910.0</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1,013.5</w:t>
            </w:r>
          </w:p>
        </w:tc>
        <w:tc>
          <w:tcPr>
            <w:tcW w:w="1000" w:type="dxa"/>
            <w:vAlign w:val="bottom"/>
          </w:tcPr>
          <w:p>
            <w:pPr>
              <w:ind w:left="340"/>
              <w:spacing w:after="0"/>
              <w:rPr>
                <w:sz w:val="20"/>
                <w:szCs w:val="20"/>
                <w:color w:val="auto"/>
              </w:rPr>
            </w:pPr>
            <w:r>
              <w:rPr>
                <w:rFonts w:ascii="Courier New" w:cs="Courier New" w:eastAsia="Courier New" w:hAnsi="Courier New"/>
                <w:sz w:val="14"/>
                <w:szCs w:val="14"/>
                <w:color w:val="auto"/>
              </w:rPr>
              <w:t>(10)%</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2,729.8</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2,913.0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6"/>
        </w:trPr>
        <w:tc>
          <w:tcPr>
            <w:tcW w:w="2680" w:type="dxa"/>
            <w:vAlign w:val="bottom"/>
          </w:tcPr>
          <w:p>
            <w:pPr>
              <w:ind w:left="700"/>
              <w:spacing w:after="0"/>
              <w:rPr>
                <w:sz w:val="20"/>
                <w:szCs w:val="20"/>
                <w:color w:val="auto"/>
              </w:rPr>
            </w:pPr>
            <w:r>
              <w:rPr>
                <w:rFonts w:ascii="Courier New" w:cs="Courier New" w:eastAsia="Courier New" w:hAnsi="Courier New"/>
                <w:sz w:val="14"/>
                <w:szCs w:val="14"/>
                <w:color w:val="auto"/>
              </w:rPr>
              <w:t>Operating income</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60.9</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147.6</w:t>
            </w:r>
          </w:p>
        </w:tc>
        <w:tc>
          <w:tcPr>
            <w:tcW w:w="1000" w:type="dxa"/>
            <w:vAlign w:val="bottom"/>
          </w:tcPr>
          <w:p>
            <w:pPr>
              <w:ind w:left="340"/>
              <w:spacing w:after="0"/>
              <w:rPr>
                <w:sz w:val="20"/>
                <w:szCs w:val="20"/>
                <w:color w:val="auto"/>
              </w:rPr>
            </w:pPr>
            <w:r>
              <w:rPr>
                <w:rFonts w:ascii="Courier New" w:cs="Courier New" w:eastAsia="Courier New" w:hAnsi="Courier New"/>
                <w:sz w:val="14"/>
                <w:szCs w:val="14"/>
                <w:color w:val="auto"/>
              </w:rPr>
              <w:t>(59)</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191.3</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309.5</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w:t>
            </w:r>
          </w:p>
        </w:tc>
      </w:tr>
      <w:tr>
        <w:trPr>
          <w:trHeight w:val="166"/>
        </w:trPr>
        <w:tc>
          <w:tcPr>
            <w:tcW w:w="2680" w:type="dxa"/>
            <w:vAlign w:val="bottom"/>
          </w:tcPr>
          <w:p>
            <w:pPr>
              <w:ind w:left="700"/>
              <w:spacing w:after="0"/>
              <w:rPr>
                <w:sz w:val="20"/>
                <w:szCs w:val="20"/>
                <w:color w:val="auto"/>
              </w:rPr>
            </w:pPr>
            <w:r>
              <w:rPr>
                <w:rFonts w:ascii="Courier New" w:cs="Courier New" w:eastAsia="Courier New" w:hAnsi="Courier New"/>
                <w:sz w:val="14"/>
                <w:szCs w:val="14"/>
                <w:color w:val="auto"/>
              </w:rPr>
              <w:t>EBITDA</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373.1</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457.1</w:t>
            </w:r>
          </w:p>
        </w:tc>
        <w:tc>
          <w:tcPr>
            <w:tcW w:w="1000" w:type="dxa"/>
            <w:vAlign w:val="bottom"/>
          </w:tcPr>
          <w:p>
            <w:pPr>
              <w:ind w:left="340"/>
              <w:spacing w:after="0"/>
              <w:rPr>
                <w:sz w:val="20"/>
                <w:szCs w:val="20"/>
                <w:color w:val="auto"/>
              </w:rPr>
            </w:pPr>
            <w:r>
              <w:rPr>
                <w:rFonts w:ascii="Courier New" w:cs="Courier New" w:eastAsia="Courier New" w:hAnsi="Courier New"/>
                <w:sz w:val="14"/>
                <w:szCs w:val="14"/>
                <w:color w:val="auto"/>
              </w:rPr>
              <w:t>(18)</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1,131.2</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1,254.0</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3440"/>
        <w:spacing w:after="0" w:line="251" w:lineRule="auto"/>
        <w:rPr>
          <w:sz w:val="20"/>
          <w:szCs w:val="20"/>
          <w:color w:val="auto"/>
        </w:rPr>
      </w:pPr>
      <w:r>
        <w:rPr>
          <w:rFonts w:ascii="Courier New" w:cs="Courier New" w:eastAsia="Courier New" w:hAnsi="Courier New"/>
          <w:sz w:val="14"/>
          <w:szCs w:val="14"/>
          <w:color w:val="auto"/>
        </w:rPr>
        <w:t>For both the third quarter and nine months ended September 30, 2001, Infinity's pro forma revenues, EBITDA and operating income declines reflect difficult comparisons with the same periods last year resulting from reduced revenues due to the events of September 11, continuing softness in the advertising market and lower demand from the technology sector. Operating expenses, as a percentage of revenues, for the third quarter and nine months, were essentially flat as compared with the comparable prior-year periods. In the third quarter of 2001, Infinity continued to be a leader in market share and was No. 1 in radio revenue billings in seven of the top 10 markets.</w:t>
      </w:r>
    </w:p>
    <w:p>
      <w:pPr>
        <w:spacing w:after="0" w:line="164" w:lineRule="exact"/>
        <w:rPr>
          <w:sz w:val="20"/>
          <w:szCs w:val="20"/>
          <w:color w:val="auto"/>
        </w:rPr>
      </w:pPr>
    </w:p>
    <w:p>
      <w:pPr>
        <w:ind w:right="3440"/>
        <w:spacing w:after="0" w:line="251" w:lineRule="auto"/>
        <w:rPr>
          <w:sz w:val="20"/>
          <w:szCs w:val="20"/>
          <w:color w:val="auto"/>
        </w:rPr>
      </w:pPr>
      <w:r>
        <w:rPr>
          <w:rFonts w:ascii="Courier New" w:cs="Courier New" w:eastAsia="Courier New" w:hAnsi="Courier New"/>
          <w:sz w:val="14"/>
          <w:szCs w:val="14"/>
          <w:color w:val="auto"/>
        </w:rPr>
        <w:t>On February 21, 2001, the Company completed its merger with Infinity, acquiring all of the issued and outstanding shares of Infinity common stock that it did not already own, or approximately 36%, for a total purchase price of approximately $13.4 billion. Pro forma results assume the acquisition of Infinity as part of the Viacom/CBS merger, and the subsequent acquisition of the minority interest of Infinity, had occurred on January 1, 2000 and also assume the completion of acquisitions and divestitures of radio and outdoor properties by Infinity had occurred at the beginning of each period presented. Pro forma results are also adjusted to exclude transactions with divested investments.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340"/>
          </w:cols>
          <w:pgMar w:left="220" w:top="616" w:right="1339" w:bottom="1440" w:gutter="0" w:footer="0" w:header="0"/>
        </w:sectPr>
      </w:pPr>
    </w:p>
    <w:bookmarkStart w:id="28" w:name="page29"/>
    <w:bookmarkEnd w:id="28"/>
    <w:p>
      <w:pPr>
        <w:jc w:val="center"/>
        <w:ind w:right="3259"/>
        <w:spacing w:after="0"/>
        <w:rPr>
          <w:sz w:val="20"/>
          <w:szCs w:val="20"/>
          <w:color w:val="auto"/>
        </w:rPr>
      </w:pPr>
      <w:r>
        <w:rPr>
          <w:rFonts w:ascii="Courier New" w:cs="Courier New" w:eastAsia="Courier New" w:hAnsi="Courier New"/>
          <w:sz w:val="14"/>
          <w:szCs w:val="14"/>
          <w:color w:val="auto"/>
        </w:rPr>
        <w:t>Management's Discussion and Analysis of</w:t>
      </w:r>
    </w:p>
    <w:p>
      <w:pPr>
        <w:spacing w:after="0" w:line="7"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Results of Operations and Financial Condition</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Entertainment (Paramount Pictures, Famous Players, Famous Music Publishing and Paramount Parks)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2860" w:type="dxa"/>
        <w:tblCellMar>
          <w:top w:w="0" w:type="dxa"/>
          <w:left w:w="0" w:type="dxa"/>
          <w:bottom w:w="0" w:type="dxa"/>
          <w:right w:w="0" w:type="dxa"/>
        </w:tblCellMar>
      </w:tblPr>
      <w:tr>
        <w:trPr>
          <w:trHeight w:val="162"/>
        </w:trPr>
        <w:tc>
          <w:tcPr>
            <w:tcW w:w="460" w:type="dxa"/>
            <w:vAlign w:val="bottom"/>
          </w:tcPr>
          <w:p>
            <w:pPr>
              <w:jc w:val="right"/>
              <w:spacing w:after="0"/>
              <w:rPr>
                <w:sz w:val="20"/>
                <w:szCs w:val="20"/>
                <w:color w:val="auto"/>
              </w:rPr>
            </w:pPr>
            <w:r>
              <w:rPr>
                <w:rFonts w:ascii="Courier New" w:cs="Courier New" w:eastAsia="Courier New" w:hAnsi="Courier New"/>
                <w:sz w:val="14"/>
                <w:szCs w:val="14"/>
                <w:color w:val="auto"/>
                <w:w w:val="95"/>
              </w:rPr>
              <w:t>Three</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Months</w:t>
            </w:r>
          </w:p>
        </w:tc>
        <w:tc>
          <w:tcPr>
            <w:tcW w:w="660" w:type="dxa"/>
            <w:vAlign w:val="bottom"/>
          </w:tcPr>
          <w:p>
            <w:pPr>
              <w:ind w:left="60"/>
              <w:spacing w:after="0"/>
              <w:rPr>
                <w:sz w:val="20"/>
                <w:szCs w:val="20"/>
                <w:color w:val="auto"/>
              </w:rPr>
            </w:pPr>
            <w:r>
              <w:rPr>
                <w:rFonts w:ascii="Courier New" w:cs="Courier New" w:eastAsia="Courier New" w:hAnsi="Courier New"/>
                <w:sz w:val="14"/>
                <w:szCs w:val="14"/>
                <w:color w:val="auto"/>
              </w:rPr>
              <w:t>Ended</w:t>
            </w:r>
          </w:p>
        </w:tc>
        <w:tc>
          <w:tcPr>
            <w:tcW w:w="1080" w:type="dxa"/>
            <w:vAlign w:val="bottom"/>
          </w:tcPr>
          <w:p>
            <w:pPr>
              <w:spacing w:after="0"/>
              <w:rPr>
                <w:sz w:val="14"/>
                <w:szCs w:val="14"/>
                <w:color w:val="auto"/>
              </w:rPr>
            </w:pPr>
          </w:p>
        </w:tc>
        <w:tc>
          <w:tcPr>
            <w:tcW w:w="680" w:type="dxa"/>
            <w:vAlign w:val="bottom"/>
          </w:tcPr>
          <w:p>
            <w:pPr>
              <w:ind w:left="300"/>
              <w:spacing w:after="0"/>
              <w:rPr>
                <w:sz w:val="20"/>
                <w:szCs w:val="20"/>
                <w:color w:val="auto"/>
              </w:rPr>
            </w:pPr>
            <w:r>
              <w:rPr>
                <w:rFonts w:ascii="Courier New" w:cs="Courier New" w:eastAsia="Courier New" w:hAnsi="Courier New"/>
                <w:sz w:val="14"/>
                <w:szCs w:val="14"/>
                <w:color w:val="auto"/>
              </w:rPr>
              <w:t>Nine</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Months Ended</w:t>
            </w:r>
          </w:p>
        </w:tc>
        <w:tc>
          <w:tcPr>
            <w:tcW w:w="820" w:type="dxa"/>
            <w:vAlign w:val="bottom"/>
          </w:tcPr>
          <w:p>
            <w:pPr>
              <w:spacing w:after="0"/>
              <w:rPr>
                <w:sz w:val="14"/>
                <w:szCs w:val="14"/>
                <w:color w:val="auto"/>
              </w:rPr>
            </w:pPr>
          </w:p>
        </w:tc>
      </w:tr>
      <w:tr>
        <w:trPr>
          <w:trHeight w:val="166"/>
        </w:trPr>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September</w:t>
            </w:r>
          </w:p>
        </w:tc>
        <w:tc>
          <w:tcPr>
            <w:tcW w:w="660" w:type="dxa"/>
            <w:vAlign w:val="bottom"/>
          </w:tcPr>
          <w:p>
            <w:pPr>
              <w:ind w:left="60"/>
              <w:spacing w:after="0"/>
              <w:rPr>
                <w:sz w:val="20"/>
                <w:szCs w:val="20"/>
                <w:color w:val="auto"/>
              </w:rPr>
            </w:pPr>
            <w:r>
              <w:rPr>
                <w:rFonts w:ascii="Courier New" w:cs="Courier New" w:eastAsia="Courier New" w:hAnsi="Courier New"/>
                <w:sz w:val="14"/>
                <w:szCs w:val="14"/>
                <w:color w:val="auto"/>
              </w:rPr>
              <w:t>30,</w:t>
            </w:r>
          </w:p>
        </w:tc>
        <w:tc>
          <w:tcPr>
            <w:tcW w:w="108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Percent</w:t>
            </w:r>
          </w:p>
        </w:tc>
        <w:tc>
          <w:tcPr>
            <w:tcW w:w="206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September 30,</w:t>
            </w:r>
          </w:p>
        </w:tc>
        <w:tc>
          <w:tcPr>
            <w:tcW w:w="82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Percent</w:t>
            </w:r>
          </w:p>
        </w:tc>
      </w:tr>
      <w:tr>
        <w:trPr>
          <w:trHeight w:val="166"/>
        </w:trPr>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2001</w:t>
            </w:r>
          </w:p>
        </w:tc>
        <w:tc>
          <w:tcPr>
            <w:tcW w:w="60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Courier New" w:cs="Courier New" w:eastAsia="Courier New" w:hAnsi="Courier New"/>
                <w:sz w:val="14"/>
                <w:szCs w:val="14"/>
                <w:color w:val="auto"/>
              </w:rPr>
              <w:t>2000</w:t>
            </w:r>
          </w:p>
        </w:tc>
        <w:tc>
          <w:tcPr>
            <w:tcW w:w="1080" w:type="dxa"/>
            <w:vAlign w:val="bottom"/>
          </w:tcPr>
          <w:p>
            <w:pPr>
              <w:jc w:val="center"/>
              <w:ind w:right="68"/>
              <w:spacing w:after="0"/>
              <w:rPr>
                <w:sz w:val="20"/>
                <w:szCs w:val="20"/>
                <w:color w:val="auto"/>
              </w:rPr>
            </w:pPr>
            <w:r>
              <w:rPr>
                <w:rFonts w:ascii="Courier New" w:cs="Courier New" w:eastAsia="Courier New" w:hAnsi="Courier New"/>
                <w:sz w:val="14"/>
                <w:szCs w:val="14"/>
                <w:color w:val="auto"/>
                <w:w w:val="99"/>
              </w:rPr>
              <w:t>B/(W)</w:t>
            </w:r>
          </w:p>
        </w:tc>
        <w:tc>
          <w:tcPr>
            <w:tcW w:w="680" w:type="dxa"/>
            <w:vAlign w:val="bottom"/>
          </w:tcPr>
          <w:p>
            <w:pPr>
              <w:ind w:left="300"/>
              <w:spacing w:after="0"/>
              <w:rPr>
                <w:sz w:val="20"/>
                <w:szCs w:val="20"/>
                <w:color w:val="auto"/>
              </w:rPr>
            </w:pPr>
            <w:r>
              <w:rPr>
                <w:rFonts w:ascii="Courier New" w:cs="Courier New" w:eastAsia="Courier New" w:hAnsi="Courier New"/>
                <w:sz w:val="14"/>
                <w:szCs w:val="14"/>
                <w:color w:val="auto"/>
              </w:rPr>
              <w:t>2001</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2000</w:t>
            </w:r>
          </w:p>
        </w:tc>
        <w:tc>
          <w:tcPr>
            <w:tcW w:w="820" w:type="dxa"/>
            <w:vAlign w:val="bottom"/>
          </w:tcPr>
          <w:p>
            <w:pPr>
              <w:jc w:val="center"/>
              <w:ind w:left="128"/>
              <w:spacing w:after="0"/>
              <w:rPr>
                <w:sz w:val="20"/>
                <w:szCs w:val="20"/>
                <w:color w:val="auto"/>
              </w:rPr>
            </w:pPr>
            <w:r>
              <w:rPr>
                <w:rFonts w:ascii="Courier New" w:cs="Courier New" w:eastAsia="Courier New" w:hAnsi="Courier New"/>
                <w:sz w:val="14"/>
                <w:szCs w:val="14"/>
                <w:color w:val="auto"/>
                <w:w w:val="99"/>
              </w:rPr>
              <w:t>B/(W)</w:t>
            </w:r>
          </w:p>
        </w:tc>
      </w:tr>
    </w:tbl>
    <w:p>
      <w:pPr>
        <w:spacing w:after="0" w:line="4" w:lineRule="exact"/>
        <w:rPr>
          <w:sz w:val="20"/>
          <w:szCs w:val="20"/>
          <w:color w:val="auto"/>
        </w:rPr>
      </w:pPr>
    </w:p>
    <w:p>
      <w:pPr>
        <w:ind w:left="180" w:hanging="172"/>
        <w:spacing w:after="0"/>
        <w:tabs>
          <w:tab w:leader="none" w:pos="1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As Reported and Pro Forma:</w:t>
      </w:r>
    </w:p>
    <w:p>
      <w:pPr>
        <w:spacing w:after="0" w:line="173"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184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796.8</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786.3</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2,164.8</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2,057.6</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184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52.7</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132.5</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169.1</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223.6</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166"/>
        </w:trPr>
        <w:tc>
          <w:tcPr>
            <w:tcW w:w="1840" w:type="dxa"/>
            <w:vAlign w:val="bottom"/>
          </w:tcPr>
          <w:p>
            <w:pPr>
              <w:spacing w:after="0"/>
              <w:rPr>
                <w:sz w:val="20"/>
                <w:szCs w:val="20"/>
                <w:color w:val="auto"/>
              </w:rPr>
            </w:pPr>
            <w:r>
              <w:rPr>
                <w:rFonts w:ascii="Courier New" w:cs="Courier New" w:eastAsia="Courier New" w:hAnsi="Courier New"/>
                <w:sz w:val="14"/>
                <w:szCs w:val="14"/>
                <w:color w:val="auto"/>
              </w:rPr>
              <w:t>EBITDA</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92.8</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174.9</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288.6</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344.0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For the three and nine months ended September 30, 2001, Entertainment revenues increased 1% to $796.8 million and 5% to $2.2 billion, respectively, compared with the same prior-year periods. Revenues for the three and nine months principally reflect higher Features and Theaters revenues while the nine-month period also reflects higher Parks revenues. Features revenues for the three- and nine-month periods were higher mainly due to higher home video revenues, which were partially offset by lower theatrical revenues. Domestic home video revenues for the three- and nine-month periods were higher compared to last year and included contributions from Along Came A Spider, Enemy at the Gates and Down to Earth, while the nine-month period also includes contributions from What Women Want, Rugrats in Paris: The Movie, Save the Last Dance and The Original Kings of Comedy. Foreign home video revenues for the three-month period were comparable with last year, while the nine-month period revenues were higher than last year and included significant contributions from Mission: Impossible 2 and Shaft. Domestic theatrical revenues for the three- and nine-month periods were higher than last year and included contributions from The Score, Rat Race, Hardball and Zoolander, while the nine-month period also included Lara Croft: Tomb Raider, Along Came A Spider, Save The Last Dance, Down to Earth and Enemy at the Gates as well as continuing contributions from What Women Want. Foreign theatrical revenues for the three-and nine-month periods did not match last year's revenues, which included Mission: Impossible 2. Theaters' revenues for the three-month period increased due to higher per capita spending and slightly higher attendance, whereas revenues for the nine-month period increased due to higher per capita spending which was partially offset by slightly lower attendance. Parks revenues for the three-month period were lower due to lower attendance which was partially offset by higher per capita spending, while revenues for the nine-month period increased principally due to higher per capita spending.</w:t>
      </w:r>
    </w:p>
    <w:p>
      <w:pPr>
        <w:spacing w:after="0" w:line="34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For the three-and nine-month periods, Entertainment's operating income and EBITDA decreases principally reflect the revenue items noted above and lower operating expenses for Theatres which were more than offset by higher Features distribution costs due to a higher number of pictures in theatrical release and the recognition of advertising expenses in connection with these releases.</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616" w:right="1440" w:bottom="1440" w:gutter="0" w:footer="0" w:header="0"/>
        </w:sectPr>
      </w:pPr>
    </w:p>
    <w:bookmarkStart w:id="29" w:name="page30"/>
    <w:bookmarkEnd w:id="29"/>
    <w:p>
      <w:pPr>
        <w:jc w:val="center"/>
        <w:ind w:right="3259"/>
        <w:spacing w:after="0"/>
        <w:rPr>
          <w:sz w:val="20"/>
          <w:szCs w:val="20"/>
          <w:color w:val="auto"/>
        </w:rPr>
      </w:pPr>
      <w:r>
        <w:rPr>
          <w:rFonts w:ascii="Courier New" w:cs="Courier New" w:eastAsia="Courier New" w:hAnsi="Courier New"/>
          <w:sz w:val="14"/>
          <w:szCs w:val="14"/>
          <w:color w:val="auto"/>
        </w:rPr>
        <w:t>Management's Discussion and Analysis of</w:t>
      </w:r>
    </w:p>
    <w:p>
      <w:pPr>
        <w:spacing w:after="0" w:line="7"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Results of Operations and Financial Condition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Video (Blockbuster)</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2340" w:type="dxa"/>
        <w:tblCellMar>
          <w:top w:w="0" w:type="dxa"/>
          <w:left w:w="0" w:type="dxa"/>
          <w:bottom w:w="0" w:type="dxa"/>
          <w:right w:w="0" w:type="dxa"/>
        </w:tblCellMar>
      </w:tblPr>
      <w:tr>
        <w:trPr>
          <w:trHeight w:val="162"/>
        </w:trPr>
        <w:tc>
          <w:tcPr>
            <w:tcW w:w="460" w:type="dxa"/>
            <w:vAlign w:val="bottom"/>
          </w:tcPr>
          <w:p>
            <w:pPr>
              <w:jc w:val="right"/>
              <w:spacing w:after="0"/>
              <w:rPr>
                <w:sz w:val="20"/>
                <w:szCs w:val="20"/>
                <w:color w:val="auto"/>
              </w:rPr>
            </w:pPr>
            <w:r>
              <w:rPr>
                <w:rFonts w:ascii="Courier New" w:cs="Courier New" w:eastAsia="Courier New" w:hAnsi="Courier New"/>
                <w:sz w:val="14"/>
                <w:szCs w:val="14"/>
                <w:color w:val="auto"/>
                <w:w w:val="95"/>
              </w:rPr>
              <w:t>Three</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Months</w:t>
            </w:r>
          </w:p>
        </w:tc>
        <w:tc>
          <w:tcPr>
            <w:tcW w:w="800" w:type="dxa"/>
            <w:vAlign w:val="bottom"/>
          </w:tcPr>
          <w:p>
            <w:pPr>
              <w:ind w:left="40"/>
              <w:spacing w:after="0"/>
              <w:rPr>
                <w:sz w:val="20"/>
                <w:szCs w:val="20"/>
                <w:color w:val="auto"/>
              </w:rPr>
            </w:pPr>
            <w:r>
              <w:rPr>
                <w:rFonts w:ascii="Courier New" w:cs="Courier New" w:eastAsia="Courier New" w:hAnsi="Courier New"/>
                <w:sz w:val="14"/>
                <w:szCs w:val="14"/>
                <w:color w:val="auto"/>
              </w:rPr>
              <w:t>Ended</w:t>
            </w:r>
          </w:p>
        </w:tc>
        <w:tc>
          <w:tcPr>
            <w:tcW w:w="11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Nine Months</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Ended</w:t>
            </w:r>
          </w:p>
        </w:tc>
        <w:tc>
          <w:tcPr>
            <w:tcW w:w="940" w:type="dxa"/>
            <w:vAlign w:val="bottom"/>
          </w:tcPr>
          <w:p>
            <w:pPr>
              <w:spacing w:after="0"/>
              <w:rPr>
                <w:sz w:val="14"/>
                <w:szCs w:val="14"/>
                <w:color w:val="auto"/>
              </w:rPr>
            </w:pPr>
          </w:p>
        </w:tc>
      </w:tr>
      <w:tr>
        <w:trPr>
          <w:trHeight w:val="166"/>
        </w:trPr>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September</w:t>
            </w:r>
          </w:p>
        </w:tc>
        <w:tc>
          <w:tcPr>
            <w:tcW w:w="800" w:type="dxa"/>
            <w:vAlign w:val="bottom"/>
          </w:tcPr>
          <w:p>
            <w:pPr>
              <w:ind w:left="40"/>
              <w:spacing w:after="0"/>
              <w:rPr>
                <w:sz w:val="20"/>
                <w:szCs w:val="20"/>
                <w:color w:val="auto"/>
              </w:rPr>
            </w:pPr>
            <w:r>
              <w:rPr>
                <w:rFonts w:ascii="Courier New" w:cs="Courier New" w:eastAsia="Courier New" w:hAnsi="Courier New"/>
                <w:sz w:val="14"/>
                <w:szCs w:val="14"/>
                <w:color w:val="auto"/>
              </w:rPr>
              <w:t>30,</w:t>
            </w:r>
          </w:p>
        </w:tc>
        <w:tc>
          <w:tcPr>
            <w:tcW w:w="11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Percent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September</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30,</w:t>
            </w:r>
          </w:p>
        </w:tc>
        <w:tc>
          <w:tcPr>
            <w:tcW w:w="94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Percent</w:t>
            </w:r>
          </w:p>
        </w:tc>
      </w:tr>
      <w:tr>
        <w:trPr>
          <w:trHeight w:val="166"/>
        </w:trPr>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2001</w:t>
            </w:r>
          </w:p>
        </w:tc>
        <w:tc>
          <w:tcPr>
            <w:tcW w:w="620" w:type="dxa"/>
            <w:vAlign w:val="bottom"/>
          </w:tcPr>
          <w:p>
            <w:pPr>
              <w:spacing w:after="0"/>
              <w:rPr>
                <w:sz w:val="14"/>
                <w:szCs w:val="14"/>
                <w:color w:val="auto"/>
              </w:rPr>
            </w:pPr>
          </w:p>
        </w:tc>
        <w:tc>
          <w:tcPr>
            <w:tcW w:w="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1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B/(W)</w:t>
            </w:r>
          </w:p>
        </w:tc>
        <w:tc>
          <w:tcPr>
            <w:tcW w:w="128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2001</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940" w:type="dxa"/>
            <w:vAlign w:val="bottom"/>
          </w:tcPr>
          <w:p>
            <w:pPr>
              <w:jc w:val="center"/>
              <w:ind w:left="288"/>
              <w:spacing w:after="0"/>
              <w:rPr>
                <w:sz w:val="20"/>
                <w:szCs w:val="20"/>
                <w:color w:val="auto"/>
              </w:rPr>
            </w:pPr>
            <w:r>
              <w:rPr>
                <w:rFonts w:ascii="Courier New" w:cs="Courier New" w:eastAsia="Courier New" w:hAnsi="Courier New"/>
                <w:sz w:val="14"/>
                <w:szCs w:val="14"/>
                <w:color w:val="auto"/>
                <w:w w:val="99"/>
              </w:rPr>
              <w:t>B/(W)</w:t>
            </w:r>
          </w:p>
        </w:tc>
      </w:tr>
    </w:tbl>
    <w:p>
      <w:pPr>
        <w:spacing w:after="0" w:line="4" w:lineRule="exact"/>
        <w:rPr>
          <w:sz w:val="20"/>
          <w:szCs w:val="20"/>
          <w:color w:val="auto"/>
        </w:rPr>
      </w:pPr>
    </w:p>
    <w:p>
      <w:pPr>
        <w:ind w:left="180" w:hanging="172"/>
        <w:spacing w:after="0"/>
        <w:tabs>
          <w:tab w:leader="none" w:pos="1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Pro Forma:</w:t>
      </w:r>
    </w:p>
    <w:p>
      <w:pPr>
        <w:spacing w:after="0" w:line="173"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164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1,264.7</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1,193.8</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3,798.6</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8"/>
              </w:rPr>
              <w:t>3,619.3</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37.8</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17.7</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114</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107.8</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69.4</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w:t>
            </w: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EBITDA</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142.3</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119.1</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421.2</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382.6</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For the third quarter, Video's pro forma EBITDA increased 19% to $142.3 million on revenue increases of 6% to $1.26 billion primarily driven by higher worldwide same store sales and an increase in the number of company-operated stores. Worldwide same store sales, including rental and retail product, increased 4.9%, due to a 3.3% increase in domestic same store revenues and a 12.5% increase in same store revenues from Blockbuster's international operations. For the nine months ended September 30, 2001, Video's pro forma revenues and EBITDA increased primarily driven by the increase in the number of company-operated stores and increases in worldwide same-store sales of 2.5%. Blockbuster ended the third quarter of 2001 with 7,851 company-owned and franchise stores, a net increase of 332 stores over the third quarter of 2000, of which 34 company-owned stores were added in the third quarter 2001.</w:t>
      </w:r>
    </w:p>
    <w:p>
      <w:pPr>
        <w:spacing w:after="0" w:line="16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Video's gross margin excluding the charge was relatively constant at 59.9% for the third quarter of 2001, versus 60.5% for the third quarter of 2000 and 59.9% for the nine months ended September 30, 2001, versus 59.4% for the comparable prior-year period.</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the third quarter, Blockbuster eliminated approximately 25% of its VHS library, and selected video games, as part of a dramatic re-merchandising of its stores to accommodate in-store DVD expansion. Additionally, Blockbuster reduced the residual value of VHS rental inventory and games to approximately $2 and $5 per unit, respectively, to reflect the rapid shift in consumer demand from VHS to DVD and the evolution in game platforms. Blockbuster also changed the amortization period of its VHS library from 36 months to nine months. As a result of these actions, Blockbuster recorded a pre-tax primarily non-cash charge of $356 million, of which $353 million impacted EBITDA. Pro forma results exclude this charge.</w:t>
      </w:r>
    </w:p>
    <w:p>
      <w:pPr>
        <w:spacing w:after="0" w:line="329"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Publishing (Simon &amp; Schuster, including other flagship imprints such as Pocket Books, Scribner and The Free Press)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2160" w:type="dxa"/>
        <w:tblCellMar>
          <w:top w:w="0" w:type="dxa"/>
          <w:left w:w="0" w:type="dxa"/>
          <w:bottom w:w="0" w:type="dxa"/>
          <w:right w:w="0" w:type="dxa"/>
        </w:tblCellMar>
      </w:tblPr>
      <w:tr>
        <w:trPr>
          <w:trHeight w:val="162"/>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Three Months</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Ended</w:t>
            </w:r>
          </w:p>
        </w:tc>
        <w:tc>
          <w:tcPr>
            <w:tcW w:w="1080" w:type="dxa"/>
            <w:vAlign w:val="bottom"/>
          </w:tcPr>
          <w:p>
            <w:pPr>
              <w:spacing w:after="0"/>
              <w:rPr>
                <w:sz w:val="14"/>
                <w:szCs w:val="14"/>
                <w:color w:val="auto"/>
              </w:rPr>
            </w:pPr>
          </w:p>
        </w:tc>
        <w:tc>
          <w:tcPr>
            <w:tcW w:w="520" w:type="dxa"/>
            <w:vAlign w:val="bottom"/>
          </w:tcPr>
          <w:p>
            <w:pPr>
              <w:ind w:left="120"/>
              <w:spacing w:after="0"/>
              <w:rPr>
                <w:sz w:val="20"/>
                <w:szCs w:val="20"/>
                <w:color w:val="auto"/>
              </w:rPr>
            </w:pPr>
            <w:r>
              <w:rPr>
                <w:rFonts w:ascii="Courier New" w:cs="Courier New" w:eastAsia="Courier New" w:hAnsi="Courier New"/>
                <w:sz w:val="14"/>
                <w:szCs w:val="14"/>
                <w:color w:val="auto"/>
              </w:rPr>
              <w:t>Nine</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Months</w:t>
            </w:r>
          </w:p>
        </w:tc>
        <w:tc>
          <w:tcPr>
            <w:tcW w:w="760" w:type="dxa"/>
            <w:vAlign w:val="bottom"/>
          </w:tcPr>
          <w:p>
            <w:pPr>
              <w:ind w:left="40"/>
              <w:spacing w:after="0"/>
              <w:rPr>
                <w:sz w:val="20"/>
                <w:szCs w:val="20"/>
                <w:color w:val="auto"/>
              </w:rPr>
            </w:pPr>
            <w:r>
              <w:rPr>
                <w:rFonts w:ascii="Courier New" w:cs="Courier New" w:eastAsia="Courier New" w:hAnsi="Courier New"/>
                <w:sz w:val="14"/>
                <w:szCs w:val="14"/>
                <w:color w:val="auto"/>
              </w:rPr>
              <w:t>Ended</w:t>
            </w:r>
          </w:p>
        </w:tc>
        <w:tc>
          <w:tcPr>
            <w:tcW w:w="920" w:type="dxa"/>
            <w:vAlign w:val="bottom"/>
          </w:tcPr>
          <w:p>
            <w:pPr>
              <w:spacing w:after="0"/>
              <w:rPr>
                <w:sz w:val="14"/>
                <w:szCs w:val="14"/>
                <w:color w:val="auto"/>
              </w:rPr>
            </w:pP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September</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30,</w:t>
            </w:r>
          </w:p>
        </w:tc>
        <w:tc>
          <w:tcPr>
            <w:tcW w:w="108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Percent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September</w:t>
            </w:r>
          </w:p>
        </w:tc>
        <w:tc>
          <w:tcPr>
            <w:tcW w:w="760" w:type="dxa"/>
            <w:vAlign w:val="bottom"/>
          </w:tcPr>
          <w:p>
            <w:pPr>
              <w:ind w:left="40"/>
              <w:spacing w:after="0"/>
              <w:rPr>
                <w:sz w:val="20"/>
                <w:szCs w:val="20"/>
                <w:color w:val="auto"/>
              </w:rPr>
            </w:pPr>
            <w:r>
              <w:rPr>
                <w:rFonts w:ascii="Courier New" w:cs="Courier New" w:eastAsia="Courier New" w:hAnsi="Courier New"/>
                <w:sz w:val="14"/>
                <w:szCs w:val="14"/>
                <w:color w:val="auto"/>
              </w:rPr>
              <w:t>30,</w:t>
            </w:r>
          </w:p>
        </w:tc>
        <w:tc>
          <w:tcPr>
            <w:tcW w:w="92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Percent</w:t>
            </w:r>
          </w:p>
        </w:tc>
      </w:tr>
      <w:tr>
        <w:trPr>
          <w:trHeight w:val="166"/>
        </w:trPr>
        <w:tc>
          <w:tcPr>
            <w:tcW w:w="10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2001</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2000</w:t>
            </w:r>
          </w:p>
        </w:tc>
        <w:tc>
          <w:tcPr>
            <w:tcW w:w="108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B/(W)</w:t>
            </w:r>
          </w:p>
        </w:tc>
        <w:tc>
          <w:tcPr>
            <w:tcW w:w="520" w:type="dxa"/>
            <w:vAlign w:val="bottom"/>
          </w:tcPr>
          <w:p>
            <w:pPr>
              <w:ind w:left="120"/>
              <w:spacing w:after="0"/>
              <w:rPr>
                <w:sz w:val="20"/>
                <w:szCs w:val="20"/>
                <w:color w:val="auto"/>
              </w:rPr>
            </w:pPr>
            <w:r>
              <w:rPr>
                <w:rFonts w:ascii="Courier New" w:cs="Courier New" w:eastAsia="Courier New" w:hAnsi="Courier New"/>
                <w:sz w:val="14"/>
                <w:szCs w:val="14"/>
                <w:color w:val="auto"/>
              </w:rPr>
              <w:t>2001</w:t>
            </w:r>
          </w:p>
        </w:tc>
        <w:tc>
          <w:tcPr>
            <w:tcW w:w="600" w:type="dxa"/>
            <w:vAlign w:val="bottom"/>
          </w:tcPr>
          <w:p>
            <w:pPr>
              <w:spacing w:after="0"/>
              <w:rPr>
                <w:sz w:val="14"/>
                <w:szCs w:val="14"/>
                <w:color w:val="auto"/>
              </w:rPr>
            </w:pPr>
          </w:p>
        </w:tc>
        <w:tc>
          <w:tcPr>
            <w:tcW w:w="760" w:type="dxa"/>
            <w:vAlign w:val="bottom"/>
          </w:tcPr>
          <w:p>
            <w:pPr>
              <w:ind w:left="40"/>
              <w:spacing w:after="0"/>
              <w:rPr>
                <w:sz w:val="20"/>
                <w:szCs w:val="20"/>
                <w:color w:val="auto"/>
              </w:rPr>
            </w:pPr>
            <w:r>
              <w:rPr>
                <w:rFonts w:ascii="Courier New" w:cs="Courier New" w:eastAsia="Courier New" w:hAnsi="Courier New"/>
                <w:sz w:val="14"/>
                <w:szCs w:val="14"/>
                <w:color w:val="auto"/>
              </w:rPr>
              <w:t>2000</w:t>
            </w:r>
          </w:p>
        </w:tc>
        <w:tc>
          <w:tcPr>
            <w:tcW w:w="920" w:type="dxa"/>
            <w:vAlign w:val="bottom"/>
          </w:tcPr>
          <w:p>
            <w:pPr>
              <w:jc w:val="center"/>
              <w:ind w:left="228"/>
              <w:spacing w:after="0"/>
              <w:rPr>
                <w:sz w:val="20"/>
                <w:szCs w:val="20"/>
                <w:color w:val="auto"/>
              </w:rPr>
            </w:pPr>
            <w:r>
              <w:rPr>
                <w:rFonts w:ascii="Courier New" w:cs="Courier New" w:eastAsia="Courier New" w:hAnsi="Courier New"/>
                <w:sz w:val="14"/>
                <w:szCs w:val="14"/>
                <w:color w:val="auto"/>
                <w:w w:val="99"/>
              </w:rPr>
              <w:t>B/(W)</w:t>
            </w:r>
          </w:p>
        </w:tc>
      </w:tr>
    </w:tbl>
    <w:p>
      <w:pPr>
        <w:spacing w:after="0" w:line="4" w:lineRule="exact"/>
        <w:rPr>
          <w:sz w:val="20"/>
          <w:szCs w:val="20"/>
          <w:color w:val="auto"/>
        </w:rPr>
      </w:pPr>
    </w:p>
    <w:p>
      <w:pPr>
        <w:ind w:left="180" w:hanging="172"/>
        <w:spacing w:after="0"/>
        <w:tabs>
          <w:tab w:leader="none" w:pos="1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As Reported and Pro Forma:</w:t>
      </w:r>
    </w:p>
    <w:p>
      <w:pPr>
        <w:spacing w:after="0" w:line="173"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164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183.6</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9"/>
              </w:rPr>
              <w:t>167.0</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454.9</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5"/>
              </w:rPr>
              <w:t>413.0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16.3</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22.2</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18.4</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EBITDA</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22.4</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27.6</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33.8</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34.4</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For the quarter and nine months ended September 30, 2001, Publishing's revenue increases are principally due to increased sales in the Trade, Pocket Books and Children's divisions. Publishing EBITDA and operating income declines for the third quarter and nine months are principally due to higher</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616" w:right="1440" w:bottom="1440" w:gutter="0" w:footer="0" w:header="0"/>
        </w:sectPr>
      </w:pPr>
    </w:p>
    <w:bookmarkStart w:id="30" w:name="page31"/>
    <w:bookmarkEnd w:id="30"/>
    <w:p>
      <w:pPr>
        <w:jc w:val="center"/>
        <w:ind w:right="3239"/>
        <w:spacing w:after="0"/>
        <w:rPr>
          <w:sz w:val="20"/>
          <w:szCs w:val="20"/>
          <w:color w:val="auto"/>
        </w:rPr>
      </w:pPr>
      <w:r>
        <w:rPr>
          <w:rFonts w:ascii="Courier New" w:cs="Courier New" w:eastAsia="Courier New" w:hAnsi="Courier New"/>
          <w:sz w:val="14"/>
          <w:szCs w:val="14"/>
          <w:color w:val="auto"/>
        </w:rPr>
        <w:t>Management's Discussion and Analysis of</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Results of Operations and Financial Condition</w:t>
      </w:r>
    </w:p>
    <w:p>
      <w:pPr>
        <w:spacing w:after="0" w:line="33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information systems costs in the current year. Publishing has benefited from the continuing success of John Adams by David McCullough, which was No. 1 on the New York Times nonfiction hardcover best-seller list for 13 weeks through September 30 and 17 weeks overall. Other best-selling titles in the third quarter included The Wild Blue by Stephen Ambrose and Heartbreaker by Julie Garwood.</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Income and Expense Information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Expenses/Eliminations</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Corporate expenses/eliminations, excluding depreciation expense, decreased to $32.8 million for the third quarter of 2001 from $62.6 million for the third quarter of 2000. Pro forma corporate expenses, excluding intersegment profit eliminations and merger-related charges, decreased 20% and 29%, respectively, for the third quarter and nine months ended September 30, 2001 to $36.8 million and $105.4 million, principally due to effective cost containment measures.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Expense</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For the three-month period ended September 30, 2001, interest expense decreased 8% to $226.5 million and for the nine-month period ended September 30, 2001, interest expense increased 33% to $746.6 million. The Company had approximately $12.0 billion and $12.9 billion principal amount of debt outstanding (including current maturities) as of September 30, 2001 and 2000, respectively, at weighted average interest rates of 6.8% and 7.7%, respectively.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Income</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For the three-and nine-month periods ended September 30, 2001, interest income decreased to $6.5 million and $25.9 million, respectively, from $13.3 million and $36.7 million, respectively, for the third quarter and nine months ended September 30, 2000.</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Items, Net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"Other items, net" reflects net losses of $28.3 million and $36.1 million for the third quarter and nine months ended September 30, 2001 as compared to net earnings of $.5 million for the third quarter and net losses of $14.5 million for the nine months ended September 30, 2000. Other items, net, for all periods presented principally reflects gains and losses associated with foreign exchange and the sale of assets.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Provision for Income Taxes</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provision for income taxes represents federal, state and foreign income taxes on earnings before income taxes. The reported estimated annual effective tax rates of 97.8% for 2001, excluding the 2001 Blockbuster charge of $356 million, and 76.7% for 2000, excluding the 2000 merger-related charges of $698 million, were adversely affected by amortization of intangibles in excess of the amounts deductible for tax purposes. The third quarter and year to date income tax expense for 2001 includes a $135 million benefit recognized on the $356 million pretax Blockbuster charge. Income tax expense for the three months ending September 30, 2001 also includes a tax benefit of $59 million recognized to record the excess of tax bases over the historical financial statement value that is expected to be realized in the near-term. Excluding the non-deductible amortization of intangibles and the charges, the estimated annual effective tax rates would have been 39.1% for 2001 and 38.8% for 2000.</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Equity in Loss of Affiliated Companies, Net of Tax</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"Equity in loss of affiliated companies, net of tax" was $7.7 million and $41.9 million for the third quarter and nine months ended September 30, 2001, respectively, as compared to $44.0 million and $71.4 million in the comparable prior-year periods. The year to date period principally reflects operating losses from international ventures and internet investments partially offset by</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616" w:right="1440" w:bottom="1440" w:gutter="0" w:footer="0" w:header="0"/>
        </w:sectPr>
      </w:pPr>
    </w:p>
    <w:bookmarkStart w:id="31" w:name="page32"/>
    <w:bookmarkEnd w:id="31"/>
    <w:p>
      <w:pPr>
        <w:jc w:val="center"/>
        <w:ind w:right="3239"/>
        <w:spacing w:after="0"/>
        <w:rPr>
          <w:sz w:val="20"/>
          <w:szCs w:val="20"/>
          <w:color w:val="auto"/>
        </w:rPr>
      </w:pPr>
      <w:r>
        <w:rPr>
          <w:rFonts w:ascii="Courier New" w:cs="Courier New" w:eastAsia="Courier New" w:hAnsi="Courier New"/>
          <w:sz w:val="14"/>
          <w:szCs w:val="14"/>
          <w:color w:val="auto"/>
        </w:rPr>
        <w:t>Management's Discussion and Analysis of</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Results of Operations and Financial Condition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positive results from Comedy Central while the prior period nine month results include losses from CBS online equity ventures that were subsequently written down as well as equity losses of UPN, partially offset by results from Comedy Central. The remaining 50% interest of UPN was acquired by the Company in March 2000 and its results are now consolidated with the Company.</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Minority Interest</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Minority interest for the nine months ended September 30, 2001 primarily represents the minority ownership of Infinity, prior to its merger with the Company on February 21, 2001, and the minority ownership of Blockbuster common stock. Minority interest for the prior year's comparable period primarily reflects the minority ownership of Infinity, from the date of the Viacom/CBS merger, and the minority ownership of Blockbuster common stock.</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Cumulative Effect of Change in Accounting Principle, Net of Tax</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2000, the Company elected early adoption of Statement of Position 00-2, "Accounting by Producers or Distributors of Films." As a result of this early adoption, the Company recorded an after-tax non-cash charge of $452 million as a cumulative effect of a change in accounting principle in the consolidated statement of operations.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Earnings (Loss)</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For the reasons described above, the Company reported a net loss of $190.4 million for the third quarter of 2001 as compared to net earnings of $33.4 million for the third quarter of 2000 and a net loss of $181.0 million for the nine months ended September 30, 2001 versus a net loss of $846.5 million for the nine months ended September 30, 2000.</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February 21, 2001, the Company completed a merger with Infinity acquiring approximately 36% of the issued and outstanding shares of Infinity common stock that it did not already own. Under the terms of the merger, which was tax free for the stockholders of Infinity and Viacom, each share of Infinity Class A common stock was converted into the right to receive 0.592 of a share of Viacom Class B Common Stock. The Infinity merger was accounted for at historical cost, with the exception of minority interest, which was accounted for under the purchase method of accounting. The total purchase price of approximately $13.4 billion represented the issuance of approximately 232 million shares of Viacom Class B Common Stock and the fair value of Infinity stock options assumed by the Company. Infinity stockholders received a cash payment in lieu of any fractional shares. The goodwill attributable to this transaction of approximately $7.7 billion is being amortized on a straight-line basis over 40 years.</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January 23, 2001, the Company completed its acquisition of BET for approximately $3 billion, which principally represented the issuance of approximately 43.4 million shares of Viacom Class B Common Stock from treasury stock and the assumption by the Company of approximately $590 million in debt. The total cost to acquire BET has been allocated based on the fair value of the assets acquired and liabilities assumed at the time of the acquisition. The excess purchase price over the fair value of the tangible net assets acquired of approximately $2.9 billion was allocated to intangibles and is being amortized on a straight-line basis not to exceed 40 years. The final allocation of the purchase price will be based on comprehensive final evaluations of the fair value of BET's tangible and identifiable assets acquired and liabilities assumed.</w:t>
      </w:r>
    </w:p>
    <w:p>
      <w:pPr>
        <w:spacing w:after="0" w:line="200" w:lineRule="exact"/>
        <w:rPr>
          <w:sz w:val="20"/>
          <w:szCs w:val="20"/>
          <w:color w:val="auto"/>
        </w:rPr>
      </w:pPr>
    </w:p>
    <w:p>
      <w:pPr>
        <w:spacing w:after="0" w:line="29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782" w:right="1440" w:bottom="1440" w:gutter="0" w:footer="0" w:header="0"/>
        </w:sectPr>
      </w:pPr>
    </w:p>
    <w:bookmarkStart w:id="32" w:name="page33"/>
    <w:bookmarkEnd w:id="32"/>
    <w:p>
      <w:pPr>
        <w:jc w:val="center"/>
        <w:ind w:right="3239"/>
        <w:spacing w:after="0"/>
        <w:rPr>
          <w:sz w:val="20"/>
          <w:szCs w:val="20"/>
          <w:color w:val="auto"/>
        </w:rPr>
      </w:pPr>
      <w:r>
        <w:rPr>
          <w:rFonts w:ascii="Courier New" w:cs="Courier New" w:eastAsia="Courier New" w:hAnsi="Courier New"/>
          <w:sz w:val="14"/>
          <w:szCs w:val="14"/>
          <w:color w:val="auto"/>
        </w:rPr>
        <w:t>Management's Discussion and Analysis of</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Results of Operations and Financial Condition</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expects to fund its anticipated cash requirements (including the anticipated cash requirements of its capital expenditures, share repurchase programs, joint ventures, commitments and payments of principal and interest on its outstanding indebtedness) with internally generated funds, in addition to various external sources of funds. The external sources of funds may include the Company's access to commercial paper and the Company's credit agreements, co-financing arrangements by the Company's various divisions relating to the production of entertainment products, and/or additional financings.</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Subsequent to its August 1999 initial public offering, Blockbuster no longer participates in the Company's centralized cash management system. Cash generated by Blockbuster's operations is expected to be retained by Blockbuster to fund its anticipated cash requirements.</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filed a shelf registration statement with the Securities and Exchange Commission registering debt securities, preferred stock and warrants of Viacom that may be issued for aggregate gross proceeds of $5.0 billion. The registration statement was declared effective on January 8, 2001. The net proceeds from the sale of the offered securities may be used by Viacom for general corporate purposes, including repayment of borrowings, working capital and capital expenditures; or for such other purposes as may be specified in the applicable Prospectus Supplement. To date, the Company has issued $335 million of securities under the shelf registration statement.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Repurchase Programs</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For the nine months ended September 30, 2001, the Company repurchased approximately 18.1 million shares of the Company's Class B Common Stock for approximately $779.2 million under its stock repurchase programs, of which $347 million was spent in the third quarter for 9.6 million shares. From October 1 through October 31, 2001, the Company spent approximately $25.1 million for approximately 724,000 shares.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Commitments and Contingencies</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commitments of the Company for program license fees, estimated to aggregate approximately $15.1 billion, are not reflected in the balance sheet as of September 30, 2001. These commitments include approximately $10.6 billion for the acquisition of sports programming rights. A majority of such fees are payable over several years, as part of normal programming expenditures.</w:t>
      </w:r>
    </w:p>
    <w:p>
      <w:pPr>
        <w:spacing w:after="0" w:line="165"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Company, Blockbuster and Paramount Home Entertainment are among the defendants in a lawsuit filed on July 21, 1999 in the United States District Court for the Western District of Texas by one former and three present independent video retailers against the major motion picture studios and the Company. The plaintiffs, purporting to act as class representatives on behalf of themselves and all others similarly situated, alleged that the Company and the studios conspired among themselves and with Blockbuster to restrain competition in the nationwide market for distribution of videocassettes for rental to the public in violation of federal and California law. Plaintiffs sought injunctive relief under federal law as well as triple the amount of the alleged actual damages to themselves and those similarly situated under California statutes. In January 2001, plaintiffs moved to withdraw their California state law claims from the federal lawsuit in Texas and filed a substantially similar complaint with approximately 200 additional named plaintiffs in Superior Court for the County of Los Angeles. This complaint also sought certification of a nationwide class of similarly situated plaintiffs. In March 2001, the Texas court denied the plaintiffs' motion for class certification of both the federal and the California state law claims in the federal action and denied the plaintiffs' motion to withdraw their California state law claims from that action. The Company believes that the plaintiffs' position in these litigations is without merit and intends to defend itself vigorously in the litigations.</w:t>
      </w:r>
    </w:p>
    <w:p>
      <w:pPr>
        <w:spacing w:after="0" w:line="200" w:lineRule="exact"/>
        <w:rPr>
          <w:sz w:val="20"/>
          <w:szCs w:val="20"/>
          <w:color w:val="auto"/>
        </w:rPr>
      </w:pPr>
    </w:p>
    <w:p>
      <w:pPr>
        <w:spacing w:after="0" w:line="30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616" w:right="1440" w:bottom="1440" w:gutter="0" w:footer="0" w:header="0"/>
        </w:sectPr>
      </w:pPr>
    </w:p>
    <w:bookmarkStart w:id="33" w:name="page34"/>
    <w:bookmarkEnd w:id="33"/>
    <w:p>
      <w:pPr>
        <w:jc w:val="center"/>
        <w:ind w:right="3239"/>
        <w:spacing w:after="0"/>
        <w:rPr>
          <w:sz w:val="20"/>
          <w:szCs w:val="20"/>
          <w:color w:val="auto"/>
        </w:rPr>
      </w:pPr>
      <w:r>
        <w:rPr>
          <w:rFonts w:ascii="Courier New" w:cs="Courier New" w:eastAsia="Courier New" w:hAnsi="Courier New"/>
          <w:sz w:val="14"/>
          <w:szCs w:val="14"/>
          <w:color w:val="auto"/>
        </w:rPr>
        <w:t>Management's Discussion and Analysis of</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Results of Operations and Financial Condition</w:t>
      </w:r>
    </w:p>
    <w:p>
      <w:pPr>
        <w:spacing w:after="0" w:line="338"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Company is a defendant in numerous lawsuits claiming various asbestos-related personal injuries, which allegedly occurred from use or inclusion of asbestos in certain products supplied by previously divested industrial business, generally in the pre-1970 time period. Typically, these lawsuits are brought against multiple defendants in state and federal courts. The Company was neither a manufacturer nor a producer of asbestos. As of September 30, 2001, the Company had pending approximately 129,910 asbestos cases, excluding cases in various stages of settlement. The Company has brought suit against certain of its insurance carriers with respect to asbestos claims. Under the terms of a settlement agreement resulting from this suit, carriers that have agreed to the settlement are now reimbursing the Company for a substantial portion of its current costs and settlement associated with asbestos claims. The Company believes that it has meritorious defenses to asbestos matters, that where appropriate it has adequately provided for resolution of matters and that any ultimate liability resulting from asbestos matters is not likely to have a material adverse effect on its results of operations, financial position or cash flows.</w:t>
      </w:r>
    </w:p>
    <w:p>
      <w:pPr>
        <w:spacing w:after="0" w:line="33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from time to time receives claims from federal and state environmental regulatory agencies and other entities asserting that it is or may be liable for environmental cleanup costs and related damages, principally relating to discontinued operations conducted by companies acquired by the Company. The Company's liabilities reflect management's best estimate of its environmental exposure. Such liability was not discounted or reduced by potential insurance recoveries and reflects management's estimate of cost sharing at multiparty sites. The estimated liability was calculated based upon currently available facts, existing technology and presently enacted laws and regulations. On the basis of its experience and the information currently available to it, the Company believes that the claims it has received will not have a material adverse effect on its results of operations, financial position or cash flows.</w:t>
      </w:r>
    </w:p>
    <w:p>
      <w:pPr>
        <w:spacing w:after="0" w:line="329"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In addition to the above matters, the Company and various of its subsidiaries are parties to certain other legal proceedings. Litigation is inherently uncertain and always difficult to predict. However, based on its understanding and evaluation of the relevant facts and circumstances, the Company believes that these matters are not likely to have a material adverse effect on its results of operations, financial position or cash flows.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Position</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Current assets decreased to $7.1 billion at September 30, 2001 from $7.8 billion at December 31, 2000, due to reductions in cash and receivables and a decrease in deferred tax assets. The decrease in cash of approximately $409 million principally represents the timing of payments of commercial paper obligations. The allowance for doubtful accounts as a percentage of receivables was 6.3% at September 30, 2001 compared to 5.8% at December 31, 2000. The change in property and equipment reflects depreciation expense of $636.4 million partially offset by acquired assets and $329.5 million of capital expenditures related to capital additions principally for cable networks, radio equipment and new and existing video stores. Non-current inventory remained constant at $3.6 billion at September 30, 2001 from December 31, 2000, reflecting a reduction in the third quarter of VHS rental inventory offset by an increase of theatrical inventory due to accelerated timing of motion picture production schedules. Intangibles of $71.3 billion at September 30, 2001 increased by $9.3 billion as compared to $62.0 billion at December 31, 2000, principally reflecting the first quarter 2001 acquisition of BET and the merger with Infinity, partially offset by amortization expense of $1.7 billion. Current liabilities decreased to $7.6 billion at September 30, 2001 from $7.8 billion at December 31, 2000</w:t>
      </w:r>
    </w:p>
    <w:p>
      <w:pPr>
        <w:spacing w:after="0" w:line="33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616" w:right="1440" w:bottom="1440" w:gutter="0" w:footer="0" w:header="0"/>
        </w:sectPr>
      </w:pPr>
    </w:p>
    <w:bookmarkStart w:id="34" w:name="page35"/>
    <w:bookmarkEnd w:id="34"/>
    <w:p>
      <w:pPr>
        <w:jc w:val="center"/>
        <w:ind w:right="3259"/>
        <w:spacing w:after="0"/>
        <w:rPr>
          <w:sz w:val="20"/>
          <w:szCs w:val="20"/>
          <w:color w:val="auto"/>
        </w:rPr>
      </w:pPr>
      <w:r>
        <w:rPr>
          <w:rFonts w:ascii="Courier New" w:cs="Courier New" w:eastAsia="Courier New" w:hAnsi="Courier New"/>
          <w:sz w:val="14"/>
          <w:szCs w:val="14"/>
          <w:color w:val="auto"/>
        </w:rPr>
        <w:t>Management's Discussion and Analysis of</w:t>
      </w:r>
    </w:p>
    <w:p>
      <w:pPr>
        <w:spacing w:after="0" w:line="7"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Results of Operations and Financial Condition</w:t>
      </w:r>
    </w:p>
    <w:p>
      <w:pPr>
        <w:spacing w:after="0" w:line="338"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due to normal reductions in accounts payable and accrued expenses, partially offset by increases in accrued participations and program rights. Long-term debt, including current maturities, decreased $0.7 billion to $12.0 billion as of September 30, 2001 from $12.7 billion as of December 31, 2000. The minority interest balance of $1.2 billion as of September 30, 2001 decreased from $7.0 billion as of December 31, 2000 reflecting the merger with Infinity.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Flows</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Net cash flow from operating activities of $1.95 billion for the nine months ended September 30, 2001 principally reflects a net loss of $181 million adjusted for $2.3 billion of depreciation and amortization expense and $352.7 million for the third quarter Blockbuster charge, partially offset by decreases in accounts payable and accrued expenses. Net cash flow from operating activities of $1.1 billion for the nine months ended September 30, 2000 principally reflects the impact of the merger and, excluding non-cash items, the improved operating results of the Company's businesses, partially offset by the payment of accrued liabilities. Net cash expenditures for investing activities of $879.2 million for the nine months ended September 30, 2001 principally reflect the acquisition of BET and outdoor businesses and capital expenditures of $329.5 million partially offset by proceeds from dispositions of radio stations and other assets. Net cash expenditures for investing activities of $2.2 billion for the nine months ended September 30, 2000 principally reflect capital expenditures of $422.1 million and acquisitions of $1.9 billion. For the nine months ended September 30, 2001, financing activities principally reflect the payment of bank debt, repayment of notes and debentures and purchase of treasury stock partially offset by proceeds from the issuance of senior notes and debentures. Financing activities for the nine months ended September 30,</w:t>
      </w:r>
    </w:p>
    <w:p>
      <w:pPr>
        <w:spacing w:after="0" w:line="8"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2000 principally reflect borrowings from banks and proceeds from the issuance of $1.6 billion of senior notes and debentures partially offset by the purchase of treasury stock.</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Structure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The following table sets forth the Company's long-term debt, net of current portion:</w:t>
      </w:r>
    </w:p>
    <w:p>
      <w:pPr>
        <w:spacing w:after="0" w:line="200" w:lineRule="exact"/>
        <w:rPr>
          <w:sz w:val="20"/>
          <w:szCs w:val="20"/>
          <w:color w:val="auto"/>
        </w:rPr>
      </w:pPr>
    </w:p>
    <w:p>
      <w:pPr>
        <w:spacing w:after="0" w:line="29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 -------------------------------- ----------------------------------</w:t>
      </w:r>
    </w:p>
    <w:p>
      <w:pPr>
        <w:spacing w:after="0" w:line="7" w:lineRule="exact"/>
        <w:rPr>
          <w:sz w:val="20"/>
          <w:szCs w:val="20"/>
          <w:color w:val="auto"/>
        </w:rPr>
      </w:pPr>
    </w:p>
    <w:p>
      <w:pPr>
        <w:ind w:left="4840"/>
        <w:spacing w:after="0"/>
        <w:tabs>
          <w:tab w:leader="none" w:pos="7660" w:val="left"/>
        </w:tabs>
        <w:rPr>
          <w:sz w:val="20"/>
          <w:szCs w:val="20"/>
          <w:color w:val="auto"/>
        </w:rPr>
      </w:pPr>
      <w:r>
        <w:rPr>
          <w:rFonts w:ascii="Courier New" w:cs="Courier New" w:eastAsia="Courier New" w:hAnsi="Courier New"/>
          <w:sz w:val="14"/>
          <w:szCs w:val="14"/>
          <w:color w:val="auto"/>
        </w:rPr>
        <w:t>At September 30, 2001</w:t>
      </w:r>
      <w:r>
        <w:rPr>
          <w:sz w:val="20"/>
          <w:szCs w:val="20"/>
          <w:color w:val="auto"/>
        </w:rPr>
        <w:tab/>
      </w:r>
      <w:r>
        <w:rPr>
          <w:rFonts w:ascii="Courier New" w:cs="Courier New" w:eastAsia="Courier New" w:hAnsi="Courier New"/>
          <w:sz w:val="14"/>
          <w:szCs w:val="14"/>
          <w:color w:val="auto"/>
        </w:rPr>
        <w:t>At December 31, 2000</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 -------------------------------- ----------------------------------</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660" w:type="dxa"/>
            <w:vAlign w:val="bottom"/>
          </w:tcPr>
          <w:p>
            <w:pPr>
              <w:spacing w:after="0"/>
              <w:rPr>
                <w:sz w:val="20"/>
                <w:szCs w:val="20"/>
                <w:color w:val="auto"/>
              </w:rPr>
            </w:pPr>
            <w:r>
              <w:rPr>
                <w:rFonts w:ascii="Courier New" w:cs="Courier New" w:eastAsia="Courier New" w:hAnsi="Courier New"/>
                <w:sz w:val="14"/>
                <w:szCs w:val="14"/>
                <w:color w:val="auto"/>
              </w:rPr>
              <w:t>Notes payable to banks (including</w:t>
            </w:r>
          </w:p>
        </w:tc>
        <w:tc>
          <w:tcPr>
            <w:tcW w:w="1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660" w:type="dxa"/>
            <w:vAlign w:val="bottom"/>
          </w:tcPr>
          <w:p>
            <w:pPr>
              <w:ind w:left="680"/>
              <w:spacing w:after="0"/>
              <w:rPr>
                <w:sz w:val="20"/>
                <w:szCs w:val="20"/>
                <w:color w:val="auto"/>
              </w:rPr>
            </w:pPr>
            <w:r>
              <w:rPr>
                <w:rFonts w:ascii="Courier New" w:cs="Courier New" w:eastAsia="Courier New" w:hAnsi="Courier New"/>
                <w:sz w:val="14"/>
                <w:szCs w:val="14"/>
                <w:color w:val="auto"/>
              </w:rPr>
              <w:t>commercial paper)</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2,135.4</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5,735.5</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Senior debt</w:t>
            </w:r>
          </w:p>
        </w:tc>
        <w:tc>
          <w:tcPr>
            <w:tcW w:w="1120" w:type="dxa"/>
            <w:vAlign w:val="bottom"/>
          </w:tcPr>
          <w:p>
            <w:pPr>
              <w:spacing w:after="0"/>
              <w:rPr>
                <w:sz w:val="14"/>
                <w:szCs w:val="14"/>
                <w:color w:val="auto"/>
              </w:rPr>
            </w:pPr>
          </w:p>
        </w:tc>
        <w:tc>
          <w:tcPr>
            <w:tcW w:w="176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8,885.1</w:t>
            </w:r>
          </w:p>
        </w:tc>
        <w:tc>
          <w:tcPr>
            <w:tcW w:w="1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5,662.7</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Senior subordinated debt</w:t>
            </w:r>
          </w:p>
        </w:tc>
        <w:tc>
          <w:tcPr>
            <w:tcW w:w="1120" w:type="dxa"/>
            <w:vAlign w:val="bottom"/>
          </w:tcPr>
          <w:p>
            <w:pPr>
              <w:spacing w:after="0"/>
              <w:rPr>
                <w:sz w:val="14"/>
                <w:szCs w:val="14"/>
                <w:color w:val="auto"/>
              </w:rPr>
            </w:pPr>
          </w:p>
        </w:tc>
        <w:tc>
          <w:tcPr>
            <w:tcW w:w="176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458.0</w:t>
            </w:r>
          </w:p>
        </w:tc>
        <w:tc>
          <w:tcPr>
            <w:tcW w:w="1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664.4</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Subordinated debt</w:t>
            </w:r>
          </w:p>
        </w:tc>
        <w:tc>
          <w:tcPr>
            <w:tcW w:w="1120" w:type="dxa"/>
            <w:vAlign w:val="bottom"/>
          </w:tcPr>
          <w:p>
            <w:pPr>
              <w:spacing w:after="0"/>
              <w:rPr>
                <w:sz w:val="14"/>
                <w:szCs w:val="14"/>
                <w:color w:val="auto"/>
              </w:rPr>
            </w:pPr>
          </w:p>
        </w:tc>
        <w:tc>
          <w:tcPr>
            <w:tcW w:w="176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20.0</w:t>
            </w:r>
          </w:p>
        </w:tc>
        <w:tc>
          <w:tcPr>
            <w:tcW w:w="1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39.4</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Other notes</w:t>
            </w:r>
          </w:p>
        </w:tc>
        <w:tc>
          <w:tcPr>
            <w:tcW w:w="1120" w:type="dxa"/>
            <w:vAlign w:val="bottom"/>
          </w:tcPr>
          <w:p>
            <w:pPr>
              <w:spacing w:after="0"/>
              <w:rPr>
                <w:sz w:val="14"/>
                <w:szCs w:val="14"/>
                <w:color w:val="auto"/>
              </w:rPr>
            </w:pPr>
          </w:p>
        </w:tc>
        <w:tc>
          <w:tcPr>
            <w:tcW w:w="176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18.8</w:t>
            </w:r>
          </w:p>
        </w:tc>
        <w:tc>
          <w:tcPr>
            <w:tcW w:w="1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43.5</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Obligations under capital leases</w:t>
            </w:r>
          </w:p>
        </w:tc>
        <w:tc>
          <w:tcPr>
            <w:tcW w:w="1120" w:type="dxa"/>
            <w:vAlign w:val="bottom"/>
          </w:tcPr>
          <w:p>
            <w:pPr>
              <w:spacing w:after="0"/>
              <w:rPr>
                <w:sz w:val="14"/>
                <w:szCs w:val="14"/>
                <w:color w:val="auto"/>
              </w:rPr>
            </w:pPr>
          </w:p>
        </w:tc>
        <w:tc>
          <w:tcPr>
            <w:tcW w:w="176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474.1</w:t>
            </w:r>
          </w:p>
        </w:tc>
        <w:tc>
          <w:tcPr>
            <w:tcW w:w="1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552.2</w:t>
            </w:r>
          </w:p>
        </w:tc>
      </w:tr>
    </w:tbl>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 -------------------------------- ----------------------------------</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320" w:type="dxa"/>
            <w:vAlign w:val="bottom"/>
          </w:tcPr>
          <w:p>
            <w:pPr>
              <w:spacing w:after="0"/>
              <w:rPr>
                <w:sz w:val="20"/>
                <w:szCs w:val="20"/>
                <w:color w:val="auto"/>
              </w:rPr>
            </w:pPr>
            <w:r>
              <w:rPr>
                <w:rFonts w:ascii="Courier New" w:cs="Courier New" w:eastAsia="Courier New" w:hAnsi="Courier New"/>
                <w:sz w:val="14"/>
                <w:szCs w:val="14"/>
                <w:color w:val="auto"/>
              </w:rPr>
              <w:t>Total Debt</w:t>
            </w:r>
          </w:p>
        </w:tc>
        <w:tc>
          <w:tcPr>
            <w:tcW w:w="344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11,991.4</w:t>
            </w:r>
          </w:p>
        </w:tc>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rPr>
              <w:t>12,697.7</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Less current portion</w:t>
            </w:r>
          </w:p>
        </w:tc>
        <w:tc>
          <w:tcPr>
            <w:tcW w:w="344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266.4</w:t>
            </w:r>
          </w:p>
        </w:tc>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rPr>
              <w:t>223.9</w:t>
            </w:r>
          </w:p>
        </w:tc>
      </w:tr>
    </w:tbl>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 -------------------------------- ----------------------------------</w:t>
      </w:r>
    </w:p>
    <w:p>
      <w:pPr>
        <w:spacing w:after="0" w:line="7" w:lineRule="exact"/>
        <w:rPr>
          <w:sz w:val="20"/>
          <w:szCs w:val="20"/>
          <w:color w:val="auto"/>
        </w:rPr>
      </w:pPr>
    </w:p>
    <w:p>
      <w:pPr>
        <w:ind w:left="860"/>
        <w:spacing w:after="0"/>
        <w:tabs>
          <w:tab w:leader="none" w:pos="4900" w:val="left"/>
          <w:tab w:leader="none" w:pos="5320" w:val="left"/>
          <w:tab w:leader="none" w:pos="7920" w:val="left"/>
          <w:tab w:leader="none" w:pos="8340" w:val="left"/>
        </w:tabs>
        <w:rPr>
          <w:sz w:val="20"/>
          <w:szCs w:val="20"/>
          <w:color w:val="auto"/>
        </w:rPr>
      </w:pPr>
      <w:r>
        <w:rPr>
          <w:rFonts w:ascii="Courier New" w:cs="Courier New" w:eastAsia="Courier New" w:hAnsi="Courier New"/>
          <w:sz w:val="14"/>
          <w:szCs w:val="14"/>
          <w:color w:val="auto"/>
        </w:rPr>
        <w:t>Total Long-Term Debt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11,725.0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12,473.8</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 -------------------------------- ----------------------------------</w:t>
      </w:r>
    </w:p>
    <w:p>
      <w:pPr>
        <w:spacing w:after="0" w:line="338"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The notes and debentures are presented net of an aggregate unamortized discount of $19.8 million as of September 30, 2001 and $21.4 million as of December 31, 2000.</w:t>
      </w:r>
    </w:p>
    <w:p>
      <w:pPr>
        <w:spacing w:after="0" w:line="163" w:lineRule="exact"/>
        <w:rPr>
          <w:sz w:val="20"/>
          <w:szCs w:val="20"/>
          <w:color w:val="auto"/>
        </w:rPr>
      </w:pPr>
    </w:p>
    <w:p>
      <w:pPr>
        <w:jc w:val="both"/>
        <w:ind w:right="3419"/>
        <w:spacing w:after="0" w:line="255" w:lineRule="auto"/>
        <w:rPr>
          <w:sz w:val="20"/>
          <w:szCs w:val="20"/>
          <w:color w:val="auto"/>
        </w:rPr>
      </w:pPr>
      <w:r>
        <w:rPr>
          <w:rFonts w:ascii="Courier New" w:cs="Courier New" w:eastAsia="Courier New" w:hAnsi="Courier New"/>
          <w:sz w:val="14"/>
          <w:szCs w:val="14"/>
          <w:color w:val="auto"/>
        </w:rPr>
        <w:t>Debt, including the current portion, as a percentage of total capitalization of the Company was 16% at September 30, 2001 and 21% at December 31, 2000.</w:t>
      </w:r>
    </w:p>
    <w:p>
      <w:pPr>
        <w:spacing w:after="0" w:line="160"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On January 9, 2001, the Company issued under Rule 144A, $400 million of 6.40% unsecured senior notes due January 30, 2006, $500 million of 7.70% unsecured senior notes due July 30, 2010, and $750 million of 7.875% unsecured senior debentures due July 30, 2030; interest on the senior notes and debentures will be payable semi-annually. Proceeds from the debt issuance were used to repay bank debt,</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616" w:right="1440" w:bottom="1440" w:gutter="0" w:footer="0" w:header="0"/>
        </w:sectPr>
      </w:pPr>
    </w:p>
    <w:bookmarkStart w:id="35" w:name="page36"/>
    <w:bookmarkEnd w:id="35"/>
    <w:p>
      <w:pPr>
        <w:jc w:val="center"/>
        <w:ind w:right="3239"/>
        <w:spacing w:after="0"/>
        <w:rPr>
          <w:sz w:val="20"/>
          <w:szCs w:val="20"/>
          <w:color w:val="auto"/>
        </w:rPr>
      </w:pPr>
      <w:r>
        <w:rPr>
          <w:rFonts w:ascii="Courier New" w:cs="Courier New" w:eastAsia="Courier New" w:hAnsi="Courier New"/>
          <w:sz w:val="14"/>
          <w:szCs w:val="14"/>
          <w:color w:val="auto"/>
        </w:rPr>
        <w:t>Management's Discussion and Analysis of</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Results of Operations and Financial Condition</w:t>
      </w:r>
    </w:p>
    <w:p>
      <w:pPr>
        <w:spacing w:after="0" w:line="173"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including commercial paper. During March and September 2001, these notes and debentures were exchanged for registered notes and debentures. The unsecured senior debentures and the unsecured senior notes due July 30, 2010, are redeemable at any time by the Company at their principal amount plus the applicable premium and accrued interest.</w:t>
      </w:r>
    </w:p>
    <w:p>
      <w:pPr>
        <w:spacing w:after="0" w:line="165"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On February 1, 2001, the Company redeemed all $60.3 million outstanding of Infinity's 9% senior subordinated notes due 2006 at a redemption price equal to 104.5% of the principal amount.</w:t>
      </w:r>
    </w:p>
    <w:p>
      <w:pPr>
        <w:spacing w:after="0" w:line="16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In March 2001, the Company cancelled its credit agreements other than its Infinity $1.45 billion facility and the Blockbuster Credit Agreement, and entered into two new credit facilities. These two new facilities total $3.5 billion and are comprised of a $1.5 billion 5-year revolving credit facility and a $2.0 billion 364-day revolving credit facility. The Company also amended and restated the Infinity $1.45 billion facility; the terms and conditions were substantially conformed to the new $1.5 billion 5-year revolving credit facility and the Company was designated as the borrower. The primary purpose of the facilities is to support commercial paper borrowings. The Company, at its option, may borrow in certain foreign currencies up to specified limits under the new $1.5 billion 5-year revolving credit facility. Borrowing rates under the facilities are determined at the time of each borrowing and are based generally on LIBOR plus a margin based on the Company's senior unsecured debt rating. At September 30, 2001, LIBOR for borrowing periods of one month and two months were 2.63% and 2.59%, respectively.</w:t>
      </w:r>
    </w:p>
    <w:p>
      <w:pPr>
        <w:spacing w:after="0" w:line="172"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new and amended facilities contain certain covenants which, among other things, require that the Company maintain a minimum interest coverage ratio. At September 30, 2001, the Company was in compliance with the financial covenants.</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May 17, 2001, the Company issued under Rule 144A an additional $400 million of 6.40% unsecured senior notes due January 30, 2006 and $1.0 billion of 6.625% senior notes due May 15, 2011; interest on the senior notes will be payable semi-annually. Proceeds from the sale of securities were used to repay existing short-term debt, including commercial paper. During September 2001, these notes were exchanged for registered notes. The notes due May 15, 2011 are redeemable at any time by the Company at their principal amount plus the applicable premium and accrued interest.</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June 29, 2001, the Company issued $335 million of 7.25% senior notes due June 30, 2051; interest on the senior notes will be payable quarterly. Proceeds from the debt issuance were used to repay existing short-term debt, including commercial paper. The senior notes are redeemable at any time by the Company after June 30, 2006 at their principal amount plus accrued interest.</w:t>
      </w:r>
    </w:p>
    <w:p>
      <w:pPr>
        <w:spacing w:after="0" w:line="165"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At September 30, 2001, the Company had borrowings under its commercial paper program of approximately $1.1 billion. Borrowings under the program have maturities of less than a year and are supported by unused committed bank facilities.</w:t>
      </w:r>
    </w:p>
    <w:p>
      <w:pPr>
        <w:spacing w:after="0" w:line="162"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On October 15, 2001, a subsidiary of the Company redeemed all of its $151 million outstanding 9.375% senior subordinated notes, due 2006 at a redemption price equal to 104.7% of the principal amount.</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On November 1, 2001, a subsidiary of the Company commenced a tender offer and consent solicitation to purchase for cash, all of its outstanding 8.875% Senior Subordinated Notes due 2007 at a purchase price to be determined two business days prior to the expiration date of the tender offer, which is expected to be December 3, 2001.</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616" w:right="1440" w:bottom="1440" w:gutter="0" w:footer="0" w:header="0"/>
        </w:sectPr>
      </w:pPr>
    </w:p>
    <w:bookmarkStart w:id="36" w:name="page37"/>
    <w:bookmarkEnd w:id="36"/>
    <w:p>
      <w:pPr>
        <w:jc w:val="center"/>
        <w:ind w:right="3239"/>
        <w:spacing w:after="0"/>
        <w:rPr>
          <w:sz w:val="20"/>
          <w:szCs w:val="20"/>
          <w:color w:val="auto"/>
        </w:rPr>
      </w:pPr>
      <w:r>
        <w:rPr>
          <w:rFonts w:ascii="Courier New" w:cs="Courier New" w:eastAsia="Courier New" w:hAnsi="Courier New"/>
          <w:sz w:val="14"/>
          <w:szCs w:val="14"/>
          <w:color w:val="auto"/>
        </w:rPr>
        <w:t>Management's Discussion and Analysis of</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Results of Operations and Financial Condition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Blockbuster Special Item Charges</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During the third quarter of 2001, Blockbuster executed a strategic re-merchandising plan to capitalize on the higher margin and rapidly growing DVD rental market. This plan includes an expansion in DVD copy depth and selection and a reconfiguration of its stores to highlight the digital format. This initiative is designed to maintain customer satisfaction and is intended to solidify Blockbuster's DVD leadership position. In addition, Blockbuster believes its overall rental margins should be enhanced by this plan. To accommodate the increase in DVD and other products in its stores, Blockbuster disposed of approximately 25% of its VHS rental inventory in its stores, certain VHS rental inventory primarily located in its distribution center, and certain rental inventory games in its stores. As a result of this reduction, a non-cash charge of $209.8 million was recorded to operating expenses. Blockbuster also recorded $13.2 million in incremental selling, general and administrative expenses, primarily related to labor, supply and disposal costs to execute the plan and severance associated with the reorganization of its marketing and new media operations. Additionally, Blockbuster recorded charges of $2.6 million and $1.1 million in depreciation expense and equity in loss of affiliated companies, respectively, related to the plan. Blockbuster anticipates that this plan will be completed by the end of 2001 through the destruction or sale of the identified items. Additionally, in connection with the re-merchandising plan, and to address the impact of changes in the rental business, effective July 1, 2001, Blockbuster changed its accounting estimates related to its rental inventory, including residual values and useful lives. As a result of the changes in estimates, the Company's operating expenses were $102 million higher for both the three and nine months ended September 30, 2001 than it would have been under the previous method.</w:t>
      </w:r>
    </w:p>
    <w:p>
      <w:pPr>
        <w:spacing w:after="0" w:line="342"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Also during the third quarter of 2001, Blockbuster recorded approximately $28 million in selling, general and administrative expenses relating to two outstanding lawsuits.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Change in Accounting Estimates for Rental Inventory</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Effective July 1, 2001, Blockbuster changed its accounting estimates related to rental inventory, including residual values and useful lives, given its strategic re-merchandising plan as discussed in Note 3. The residual value of VHS rental inventories was reduced from $4 per unit to $2 per unit, and the residual value of game rental inventories was reduced from $10 per unit to $5 per unit. In addition, Blockbuster reduced its estimate of the useful life of its core VHS rental inventories from 36 months to nine months. These changes in estimate reflect the impact of changes in the rental business, such as an increase in DVD rental revenues, a decrease in VHS rental revenues and trends affecting game, which have led to a reduction in the average selling value of Blockbuster's previously rented VHS and game products and a reduction in the average life of VHS rental products. As a result of these changes in estimate, the Company's operating expenses were $102 million higher and net loss was higher by $55 million, or an increase in loss per share of $.03, than it would have been under the previous method for both the third quarter and nine months ended September 30, 2001.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Merger-Related Charges</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connection with the integration of Viacom and CBS and the acquisition of UPN, the Company recorded merger-related charges of $698 million in the second quarter of 2000. These amounts included non-cash charges of $415 million principally attributable to compensation for stock options and $283 million of accrued liabilities for severance, transaction fees and integration costs. As of September 30, 2001, the Company had paid and charged approximately $104 million for severance liabilities, $27 million for transaction fees and $57 million related to integration costs.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Risk</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uses derivative financial instruments to reduce its exposure to market risks from changes in foreign exchange rates and interest rates. The Company does not hold or issue financial instruments for speculative trading purposes. The derivative instruments used are foreign exchange forward contracts and swaps. The foreign exchange contracts have principally been used to hedge the British Pound, the Australian Dollar, the Japanese Yen, the Canadian Dollar, the Singapore Dollar and the European Union's common currency (the "Euro"). These derivatives, which are over-the-counter</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782" w:right="1440" w:bottom="1440" w:gutter="0" w:footer="0" w:header="0"/>
        </w:sectPr>
      </w:pPr>
    </w:p>
    <w:bookmarkStart w:id="37" w:name="page38"/>
    <w:bookmarkEnd w:id="37"/>
    <w:p>
      <w:pPr>
        <w:jc w:val="center"/>
        <w:ind w:right="3239"/>
        <w:spacing w:after="0"/>
        <w:rPr>
          <w:sz w:val="20"/>
          <w:szCs w:val="20"/>
          <w:color w:val="auto"/>
        </w:rPr>
      </w:pPr>
      <w:r>
        <w:rPr>
          <w:rFonts w:ascii="Courier New" w:cs="Courier New" w:eastAsia="Courier New" w:hAnsi="Courier New"/>
          <w:sz w:val="14"/>
          <w:szCs w:val="14"/>
          <w:color w:val="auto"/>
        </w:rPr>
        <w:t>Management's Discussion and Analysis of</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Results of Operations and Financial Condition</w:t>
      </w:r>
    </w:p>
    <w:p>
      <w:pPr>
        <w:spacing w:after="0" w:line="33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instruments, are non-leveraged. Realized gains and losses on contracts that hedge anticipated future cash flows are recognized in "Other items, net" and were not material in the periods presented. The Company is primarily vulnerable to changes in LIBOR which is the rate currently used in existing agreements; however, the Company does not believe this exposure to be material.</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Effective January 1, 2001, the Company adopted Statement of Financial Accounting Standards ("SFAS") No. 133, "Accounting for Derivative Instruments and Hedging Activities" ("SFAS 133"), as amended. SFAS 133 requires that all derivative instruments be recorded on the balance sheet at fair value. SFAS 133 also established new accounting rules for hedging instruments which, depending on the nature of the hedge, require that changes in the fair value of the derivatives either be offset against the change in fair value of assets or liabilities through earnings, or be recognized in other comprehensive income until the hedged item is recognized in earnings. The impact of adoption was immaterial on the Company's consolidated results of operations and financial position.</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is exposed to fluctuations in foreign currency exchange rates and interest rates. To manage foreign currency and interest rate exposures, the Company may use derivative instruments, including forward contracts and interest rate swaps. Derivative instruments used by the Company in its hedging activities are not used for speculative trading purposes. The Company designates forward contracts used to hedge future production costs as cash flow hedges. Additionally, the Company designates interest rate swaps, which effectively convert variable interest payments on commercial paper to a fixed rate, as cash flow hedges. The effective portion of the change in fair value of cash flow hedges are reported in other comprehensive income and reclassified into earnings in the same period in which the hedged transaction affects earnings. The ineffective portion included in earnings was not material. During the next twelve months, approximately $6 million will be amortized into earnings.</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Recent Pronouncements</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August 2001, the Financial Accounting Standards Board ("FASB") issued SFAS No. 144, "Accounting for the Impairment or Disposal of Long-Lived Assets" ("SFAS 144"), effective for fiscal years beginning after December 15, 2001 and replaces SFAS No. 121, "Accounting for the Impairment of Long-Lived Assets and for Long-Lived Assets to Be Disposed Of." SFAS 144 establishes an accounting model for long-lived assets to be disposed of by sale, including discontinued operations, and replaces the provisions of APB Opinion No. 30 for the disposal of segments of a business. The Company does not believe the adoption of SFAS 144 will have a material effect on its financial statements.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June 2001, the FASB issued SFAS No. 141, "Business Combinations" ("SFAS 141") and SFAS No. 142, "Goodwill and Other Intangible Assets" ("SFAS 142"). SFAS 141 requires that the purchase method of accounting be used for all business combinations initiated after June 30, 2001 and prohibits the use of the pooling-of-interests method for such transactions. SFAS 142 requires that goodwill and intangible assets with indefinite lives, including such assets recorded in past business combinations, no longer be amortized to earnings, but should instead be tested for impairment annually. Intangible assets with finite lives will continue to be amortized over their useful lives and reviewed for impairment. The Company is required to implement SFAS 142 on January 1, 2002 and amortization of goodwill, and intangible assets with indefinite lives, ceases upon adoption of this statement. The Company has not yet determined the impact that this statement will have on its consolidated financial position or results of operations.</w:t>
      </w:r>
    </w:p>
    <w:p>
      <w:pPr>
        <w:spacing w:after="0" w:line="200" w:lineRule="exact"/>
        <w:rPr>
          <w:sz w:val="20"/>
          <w:szCs w:val="20"/>
          <w:color w:val="auto"/>
        </w:rPr>
      </w:pPr>
    </w:p>
    <w:p>
      <w:pPr>
        <w:spacing w:after="0" w:line="29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782" w:right="1440" w:bottom="1440" w:gutter="0" w:footer="0" w:header="0"/>
        </w:sectPr>
      </w:pPr>
    </w:p>
    <w:bookmarkStart w:id="38" w:name="page39"/>
    <w:bookmarkEnd w:id="38"/>
    <w:p>
      <w:pPr>
        <w:jc w:val="center"/>
        <w:ind w:right="3239"/>
        <w:spacing w:after="0"/>
        <w:rPr>
          <w:sz w:val="20"/>
          <w:szCs w:val="20"/>
          <w:color w:val="auto"/>
        </w:rPr>
      </w:pPr>
      <w:r>
        <w:rPr>
          <w:rFonts w:ascii="Courier New" w:cs="Courier New" w:eastAsia="Courier New" w:hAnsi="Courier New"/>
          <w:sz w:val="14"/>
          <w:szCs w:val="14"/>
          <w:color w:val="auto"/>
        </w:rPr>
        <w:t>Management's Discussion and Analysis of</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Results of Operations and Financial Condition</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Cautionary Statement Concerning Forward looking Statements</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This quarterly report on Form 10-Q, including "Management's Discussion and Analysis of Results of Operations and Financial Condition," contains both historical and forward-looking statements. All statements other than statements of historical fact are, or may be deemed to be, forward-looking statements within the meaning of section 27A of the Securities Act of 1933 and section 21E of the Securities Exchange Act of 1934, as amended. These forward-looking statements are not based on historical facts, but rather reflect the Company's current expectations concerning future results and events. These forward-looking statements generally can be identified by the use of statements that include phrases such as "believe," "expect," "anticipate," "intend," "plan," "foresee," "likely," "will" or other similar words or phrases. Similarly, statements that describe the Company's objectives, plans or goals are or may be forward-looking statements. These forward-looking statements involve known and unknown risks, uncertainties and other factors which may cause the actual results, performance or achievements of the Company to be different from any future results, performance and achievements expressed or implied by these statements.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 variety of factors, including the reaction of consumers, viewers, advertisers, and the economy generally to the events of September 11, including, among other things, the impact on viewership of the Company's programming and the potential for future events of national significance to cause further disruptions in the Company's businesses, as well as those factors set forth under the heading "Cautionary Statement Concerning Forward-Looking Statements" in our Annual Report on Form 10-K for the fiscal year ended December 31, 2000, could cause actual results to differ materially from the anticipated results or other expectations expressed in the forward-looking statements. There may be additional risks that the Company does not currently view as material or that are not presently known. The Company has no obligation to publicly update any forward-looking statements to reflect subsequent events or circumstances.</w:t>
      </w:r>
    </w:p>
    <w:p>
      <w:pPr>
        <w:spacing w:after="0" w:line="16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3.</w:t>
        <w:tab/>
        <w:t>Quantitative and Qualitative Disclosures about Market Risk.</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Response to this is included in "Item 2 - Management's Discussion and Analysis of Results of Operations and Financial Condition - Market Risk."</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616"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4"/>
          <w:szCs w:val="14"/>
          <w:color w:val="auto"/>
        </w:rPr>
        <w:t>PART II - OTHER INFORMATION</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1.</w:t>
        <w:tab/>
        <w:t>Legal Proceedings.</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As previously reported in the Company's Annual Report on Form 10-K for the year ended December 31, 2000, the Company, through its Paramount Pictures subsidiary, along with other major distributors, received a Civil Investigative Demand (CID) from the U.S. Department of Justice which was investigating possible violations of industry-wide decrees relating to restrictions on certain motion picture trade practices in the United States. On September 5, 2001, the Company was advised by the Justice Department that the investigation was closed.</w:t>
      </w:r>
    </w:p>
    <w:p>
      <w:pPr>
        <w:spacing w:after="0" w:line="164"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6.</w:t>
        <w:tab/>
        <w:t>Exhibits and Reports on Form 8-K.</w:t>
      </w:r>
    </w:p>
    <w:p>
      <w:pPr>
        <w:spacing w:after="0" w:line="17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(a)</w:t>
        <w:tab/>
        <w:t>Exhibits.</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Exhibit No.</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 of Document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2040" w:space="720"/>
            <w:col w:w="7479"/>
          </w:cols>
          <w:pgMar w:left="220" w:top="616" w:right="1440" w:bottom="1440" w:gutter="0" w:footer="0" w:header="0"/>
          <w:type w:val="continuous"/>
        </w:sectPr>
      </w:pPr>
    </w:p>
    <w:p>
      <w:pPr>
        <w:ind w:left="1300" w:hanging="861"/>
        <w:spacing w:after="0"/>
        <w:tabs>
          <w:tab w:leader="none" w:pos="130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of Acquisition</w:t>
      </w:r>
    </w:p>
    <w:p>
      <w:pPr>
        <w:spacing w:after="0" w:line="172" w:lineRule="exact"/>
        <w:rPr>
          <w:rFonts w:ascii="Courier New" w:cs="Courier New" w:eastAsia="Courier New" w:hAnsi="Courier New"/>
          <w:sz w:val="14"/>
          <w:szCs w:val="14"/>
          <w:color w:val="auto"/>
        </w:rPr>
      </w:pPr>
    </w:p>
    <w:p>
      <w:pPr>
        <w:ind w:left="1300" w:right="3419" w:hanging="430"/>
        <w:spacing w:after="0" w:line="251" w:lineRule="auto"/>
        <w:tabs>
          <w:tab w:leader="none" w:pos="1300"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Amended and Restated Agreement and Plan of Merger, dated as of September 6, 1999, as amended and restated as of October 8, 1999 and as of November 23, 1999, among Viacom Inc., CBS Corporation and Viacom/CBS LLC (incorporated by reference to Exhibit 2.1 to the Registration Statement on Form S-4 filed by Viacom Inc.) (File No. 333-88613).</w:t>
      </w:r>
    </w:p>
    <w:p>
      <w:pPr>
        <w:spacing w:after="0" w:line="164" w:lineRule="exact"/>
        <w:rPr>
          <w:rFonts w:ascii="Courier New" w:cs="Courier New" w:eastAsia="Courier New" w:hAnsi="Courier New"/>
          <w:sz w:val="14"/>
          <w:szCs w:val="14"/>
          <w:color w:val="auto"/>
        </w:rPr>
      </w:pPr>
    </w:p>
    <w:p>
      <w:pPr>
        <w:ind w:left="1300" w:right="3339" w:hanging="430"/>
        <w:spacing w:after="0" w:line="251" w:lineRule="auto"/>
        <w:tabs>
          <w:tab w:leader="none" w:pos="1300"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and Plan of Merger, dated as of October 30, 2000, among Viacom Inc., IBC Merger Corp. and Infinity Broadcasting Corporation (incorporated by reference to Exhibit 99.1 to the Current Report on Form 8-K of Viacom Inc. filed on October 31, 2000) (File No. 1-9553).</w:t>
      </w:r>
    </w:p>
    <w:p>
      <w:pPr>
        <w:spacing w:after="0" w:line="164" w:lineRule="exact"/>
        <w:rPr>
          <w:rFonts w:ascii="Courier New" w:cs="Courier New" w:eastAsia="Courier New" w:hAnsi="Courier New"/>
          <w:sz w:val="14"/>
          <w:szCs w:val="14"/>
          <w:color w:val="auto"/>
        </w:rPr>
      </w:pPr>
    </w:p>
    <w:p>
      <w:pPr>
        <w:ind w:left="1300" w:hanging="861"/>
        <w:spacing w:after="0"/>
        <w:tabs>
          <w:tab w:leader="none" w:pos="130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Articles of Incorporation and By-laws</w:t>
      </w:r>
    </w:p>
    <w:p>
      <w:pPr>
        <w:spacing w:after="0" w:line="172" w:lineRule="exact"/>
        <w:rPr>
          <w:rFonts w:ascii="Courier New" w:cs="Courier New" w:eastAsia="Courier New" w:hAnsi="Courier New"/>
          <w:sz w:val="14"/>
          <w:szCs w:val="14"/>
          <w:color w:val="auto"/>
        </w:rPr>
      </w:pPr>
    </w:p>
    <w:p>
      <w:pPr>
        <w:ind w:left="1300" w:right="3339" w:hanging="430"/>
        <w:spacing w:after="0" w:line="251" w:lineRule="auto"/>
        <w:tabs>
          <w:tab w:leader="none" w:pos="1300"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Restated Certificate of Incorporation of Viacom Inc. effective May 4, 2000 (incorporated by reference to Exhibit 3.1 to the Registration Statement on Form S-4 filed by Viacom Inc.) (File No. 333-88613), as amended by the Certificate of Amendment of Certificate of Incorporation of Viacom Inc. dated May 23, 2001, and the Certificate of Elimination of Series C Preferred Stock of Viacom Inc. dated May 23, 2001 (incorporated by reference to Exhibits 99.1 and 99.2, respectively, to the Current Report on Form 8-K of Viacom Inc. filed on May 30, 2001) (File No. 1-9553).</w:t>
      </w:r>
    </w:p>
    <w:p>
      <w:pPr>
        <w:spacing w:after="0" w:line="163" w:lineRule="exact"/>
        <w:rPr>
          <w:rFonts w:ascii="Courier New" w:cs="Courier New" w:eastAsia="Courier New" w:hAnsi="Courier New"/>
          <w:sz w:val="14"/>
          <w:szCs w:val="14"/>
          <w:color w:val="auto"/>
        </w:rPr>
      </w:pPr>
    </w:p>
    <w:p>
      <w:pPr>
        <w:ind w:left="1300" w:right="3339" w:hanging="430"/>
        <w:spacing w:after="0" w:line="252" w:lineRule="auto"/>
        <w:tabs>
          <w:tab w:leader="none" w:pos="1300"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Amended and Restated By-laws of Viacom Inc. effective May 4, 2000 (incorporated by reference to Exhibit 3.2 to the Registration Statement on Form S-4 filed by Viacom Inc.) (File No. 333-88613).</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616" w:right="1440" w:bottom="1440" w:gutter="0" w:footer="0" w:header="0"/>
          <w:type w:val="continuous"/>
        </w:sectPr>
      </w:pPr>
    </w:p>
    <w:bookmarkStart w:id="40" w:name="page41"/>
    <w:bookmarkEnd w:id="40"/>
    <w:p>
      <w:pPr>
        <w:ind w:left="252"/>
        <w:spacing w:after="0"/>
        <w:rPr>
          <w:sz w:val="20"/>
          <w:szCs w:val="20"/>
          <w:color w:val="auto"/>
        </w:rPr>
      </w:pPr>
      <w:r>
        <w:rPr>
          <w:rFonts w:ascii="Courier New" w:cs="Courier New" w:eastAsia="Courier New" w:hAnsi="Courier New"/>
          <w:sz w:val="14"/>
          <w:szCs w:val="14"/>
          <w:color w:val="auto"/>
        </w:rPr>
        <w:t>Exhibit</w:t>
      </w:r>
    </w:p>
    <w:p>
      <w:pPr>
        <w:spacing w:after="0" w:line="7" w:lineRule="exact"/>
        <w:rPr>
          <w:sz w:val="20"/>
          <w:szCs w:val="20"/>
          <w:color w:val="auto"/>
        </w:rPr>
      </w:pPr>
    </w:p>
    <w:p>
      <w:pPr>
        <w:ind w:left="252"/>
        <w:spacing w:after="0"/>
        <w:rPr>
          <w:sz w:val="20"/>
          <w:szCs w:val="20"/>
          <w:color w:val="auto"/>
        </w:rPr>
      </w:pPr>
      <w:r>
        <w:rPr>
          <w:rFonts w:ascii="Courier New" w:cs="Courier New" w:eastAsia="Courier New" w:hAnsi="Courier New"/>
          <w:sz w:val="14"/>
          <w:szCs w:val="14"/>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Description of Document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2032" w:space="720"/>
            <w:col w:w="7479"/>
          </w:cols>
          <w:pgMar w:left="228" w:top="616" w:right="1440" w:bottom="1440" w:gutter="0" w:footer="0" w:header="0"/>
        </w:sectPr>
      </w:pPr>
    </w:p>
    <w:p>
      <w:pPr>
        <w:ind w:left="1292" w:right="3599" w:hanging="861"/>
        <w:spacing w:after="0" w:line="255" w:lineRule="auto"/>
        <w:tabs>
          <w:tab w:leader="none" w:pos="1292" w:val="left"/>
        </w:tabs>
        <w:numPr>
          <w:ilvl w:val="1"/>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Instruments defining the rights of security holders, including indentures</w:t>
      </w:r>
    </w:p>
    <w:p>
      <w:pPr>
        <w:spacing w:after="0" w:line="159" w:lineRule="exact"/>
        <w:rPr>
          <w:rFonts w:ascii="Courier New" w:cs="Courier New" w:eastAsia="Courier New" w:hAnsi="Courier New"/>
          <w:sz w:val="14"/>
          <w:szCs w:val="14"/>
          <w:color w:val="auto"/>
        </w:rPr>
      </w:pPr>
    </w:p>
    <w:p>
      <w:pPr>
        <w:ind w:left="1292" w:right="3599" w:hanging="430"/>
        <w:spacing w:after="0" w:line="252" w:lineRule="auto"/>
        <w:tabs>
          <w:tab w:leader="none" w:pos="1292" w:val="left"/>
        </w:tabs>
        <w:numPr>
          <w:ilvl w:val="2"/>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Specimen certificate representing Viacom Inc. Class A Common Stock (incorporated by reference to Exhibit 4.1 to the Registration Statement on Form S-4 filed by Viacom Inc.) (File No. 33-13812).</w:t>
      </w:r>
    </w:p>
    <w:p>
      <w:pPr>
        <w:spacing w:after="0" w:line="162" w:lineRule="exact"/>
        <w:rPr>
          <w:rFonts w:ascii="Courier New" w:cs="Courier New" w:eastAsia="Courier New" w:hAnsi="Courier New"/>
          <w:sz w:val="14"/>
          <w:szCs w:val="14"/>
          <w:color w:val="auto"/>
        </w:rPr>
      </w:pPr>
    </w:p>
    <w:p>
      <w:pPr>
        <w:ind w:left="1292" w:right="3339" w:hanging="430"/>
        <w:spacing w:after="0" w:line="252" w:lineRule="auto"/>
        <w:tabs>
          <w:tab w:leader="none" w:pos="1292" w:val="left"/>
        </w:tabs>
        <w:numPr>
          <w:ilvl w:val="2"/>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Specimen certificate representing Viacom Inc. Class B Common Stock (incorporated by reference to Exhibit 4(a) to the Quarterly Report on Form 10-Q of Viacom Inc. for the quarter ended June 30, 1990) (File No. 1-9553).</w:t>
      </w:r>
    </w:p>
    <w:p>
      <w:pPr>
        <w:spacing w:after="0" w:line="162" w:lineRule="exact"/>
        <w:rPr>
          <w:rFonts w:ascii="Courier New" w:cs="Courier New" w:eastAsia="Courier New" w:hAnsi="Courier New"/>
          <w:sz w:val="14"/>
          <w:szCs w:val="14"/>
          <w:color w:val="auto"/>
        </w:rPr>
      </w:pPr>
    </w:p>
    <w:p>
      <w:pPr>
        <w:ind w:left="1292" w:right="3339" w:hanging="430"/>
        <w:spacing w:after="0" w:line="251" w:lineRule="auto"/>
        <w:tabs>
          <w:tab w:leader="none" w:pos="1292" w:val="left"/>
        </w:tabs>
        <w:numPr>
          <w:ilvl w:val="2"/>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instruments defining the rights of holders of the long-term debt securities of Viacom Inc. and its subsidiaries are omitted pursuant to section (b)(4)(iii)(A) of Item 601 of Regulation S-K. Viacom Inc. hereby agrees to furnish copies of these instruments to the Securities and Exchange Commission upon request.</w:t>
      </w:r>
    </w:p>
    <w:p>
      <w:pPr>
        <w:spacing w:after="0" w:line="164" w:lineRule="exact"/>
        <w:rPr>
          <w:rFonts w:ascii="Courier New" w:cs="Courier New" w:eastAsia="Courier New" w:hAnsi="Courier New"/>
          <w:sz w:val="14"/>
          <w:szCs w:val="14"/>
          <w:color w:val="auto"/>
        </w:rPr>
      </w:pPr>
    </w:p>
    <w:p>
      <w:pPr>
        <w:ind w:left="432" w:hanging="432"/>
        <w:spacing w:after="0"/>
        <w:tabs>
          <w:tab w:leader="none" w:pos="432"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on Form 8-K.</w:t>
      </w:r>
    </w:p>
    <w:p>
      <w:pPr>
        <w:spacing w:after="0" w:line="172" w:lineRule="exact"/>
        <w:rPr>
          <w:rFonts w:ascii="Courier New" w:cs="Courier New" w:eastAsia="Courier New" w:hAnsi="Courier New"/>
          <w:sz w:val="14"/>
          <w:szCs w:val="14"/>
          <w:color w:val="auto"/>
        </w:rPr>
      </w:pPr>
    </w:p>
    <w:p>
      <w:pPr>
        <w:ind w:left="432" w:right="385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Current Report on Form 8-K of Viacom Inc. filed on July 3, 2001, with respect to the sale by Viacom of $335 million of 7.25% Senior Notes due 2051.</w:t>
      </w:r>
    </w:p>
    <w:p>
      <w:pPr>
        <w:spacing w:after="0" w:line="162" w:lineRule="exact"/>
        <w:rPr>
          <w:rFonts w:ascii="Courier New" w:cs="Courier New" w:eastAsia="Courier New" w:hAnsi="Courier New"/>
          <w:sz w:val="14"/>
          <w:szCs w:val="14"/>
          <w:color w:val="auto"/>
        </w:rPr>
      </w:pPr>
    </w:p>
    <w:p>
      <w:pPr>
        <w:ind w:left="432" w:right="37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Current Report on Form 8-K of Viacom Inc. filed on July 27, 2001, with respect to earnings information for the second quarter and six months ending June 30, 2001.</w:t>
      </w:r>
    </w:p>
    <w:p>
      <w:pPr>
        <w:spacing w:after="0" w:line="162" w:lineRule="exact"/>
        <w:rPr>
          <w:rFonts w:ascii="Courier New" w:cs="Courier New" w:eastAsia="Courier New" w:hAnsi="Courier New"/>
          <w:sz w:val="14"/>
          <w:szCs w:val="14"/>
          <w:color w:val="auto"/>
        </w:rPr>
      </w:pPr>
    </w:p>
    <w:p>
      <w:pPr>
        <w:ind w:left="432"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Current Report on Form 8-K of Viacom Inc. filed on September 20, 2001, with respect to the Company's comments on its operations in light of the extraordinary events surrounding the attacks on the United States on September 11, 2001.</w:t>
      </w:r>
    </w:p>
    <w:p>
      <w:pPr>
        <w:spacing w:after="0" w:line="328"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1"/>
          </w:cols>
          <w:pgMar w:left="228" w:top="616" w:right="1440" w:bottom="1440" w:gutter="0" w:footer="0" w:header="0"/>
          <w:type w:val="continuous"/>
        </w:sectPr>
      </w:pPr>
    </w:p>
    <w:bookmarkStart w:id="41" w:name="page42"/>
    <w:bookmarkEnd w:id="41"/>
    <w:p>
      <w:pPr>
        <w:ind w:left="3020"/>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jc w:val="both"/>
        <w:ind w:right="4019"/>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thereunto duly authorized.</w:t>
      </w:r>
    </w:p>
    <w:p>
      <w:pPr>
        <w:spacing w:after="0" w:line="163"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VIACOM INC.</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(Registrant)</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November 14, 2001</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Richard Bressler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Richard Bressler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Executive Vice President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Financial Officer</w:t>
      </w:r>
    </w:p>
    <w:p>
      <w:pPr>
        <w:spacing w:after="0" w:line="173" w:lineRule="exact"/>
        <w:rPr>
          <w:sz w:val="20"/>
          <w:szCs w:val="20"/>
          <w:color w:val="auto"/>
        </w:rPr>
      </w:pPr>
    </w:p>
    <w:p>
      <w:pPr>
        <w:sectPr>
          <w:pgSz w:w="11900" w:h="16838" w:orient="portrait"/>
          <w:cols w:equalWidth="0" w:num="2">
            <w:col w:w="3280" w:space="600"/>
            <w:col w:w="635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Date November 14, 2001</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 Susan C. Gordon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Susan C. Gordon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Controller,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Accounting Officer</w:t>
      </w:r>
    </w:p>
    <w:p>
      <w:pPr>
        <w:spacing w:after="0" w:line="200" w:lineRule="exact"/>
        <w:rPr>
          <w:sz w:val="20"/>
          <w:szCs w:val="20"/>
          <w:color w:val="auto"/>
        </w:rPr>
      </w:pPr>
    </w:p>
    <w:p>
      <w:pPr>
        <w:sectPr>
          <w:pgSz w:w="11900" w:h="16838" w:orient="portrait"/>
          <w:cols w:equalWidth="0" w:num="2">
            <w:col w:w="3280" w:space="600"/>
            <w:col w:w="6359"/>
          </w:cols>
          <w:pgMar w:left="220" w:top="61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616" w:right="1440" w:bottom="1440" w:gutter="0" w:footer="0" w:header="0"/>
          <w:type w:val="continuous"/>
        </w:sectPr>
      </w:pPr>
    </w:p>
    <w:bookmarkStart w:id="42" w:name="page43"/>
    <w:bookmarkEnd w:id="42"/>
    <w:p>
      <w:pPr>
        <w:ind w:left="292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139"/>
          </w:cols>
          <w:pgMar w:left="320" w:top="616"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 of Document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1940" w:space="720"/>
            <w:col w:w="7479"/>
          </w:cols>
          <w:pgMar w:left="320" w:top="616" w:right="1440" w:bottom="1440" w:gutter="0" w:footer="0" w:header="0"/>
          <w:type w:val="continuous"/>
        </w:sectPr>
      </w:pPr>
    </w:p>
    <w:p>
      <w:pPr>
        <w:ind w:left="1200" w:hanging="861"/>
        <w:spacing w:after="0"/>
        <w:tabs>
          <w:tab w:leader="none" w:pos="120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of Acquisition</w:t>
      </w:r>
    </w:p>
    <w:p>
      <w:pPr>
        <w:spacing w:after="0" w:line="172" w:lineRule="exact"/>
        <w:rPr>
          <w:rFonts w:ascii="Courier New" w:cs="Courier New" w:eastAsia="Courier New" w:hAnsi="Courier New"/>
          <w:sz w:val="14"/>
          <w:szCs w:val="14"/>
          <w:color w:val="auto"/>
        </w:rPr>
      </w:pPr>
    </w:p>
    <w:p>
      <w:pPr>
        <w:ind w:left="1200" w:right="3419" w:hanging="430"/>
        <w:spacing w:after="0" w:line="251" w:lineRule="auto"/>
        <w:tabs>
          <w:tab w:leader="none" w:pos="1200"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Amended and Restated Agreement and Plan of Merger, dated as of September 6, 1999, as amended and restated as of October 8, 1999 and as of November 23, 1999, among Viacom Inc., CBS Corporation and Viacom/CBS LLC (incorporated by reference to Exhibit 2.1 to the Registration Statement on Form S-4 filed by Viacom Inc.) (File No. 333-88613).</w:t>
      </w:r>
    </w:p>
    <w:p>
      <w:pPr>
        <w:spacing w:after="0" w:line="164" w:lineRule="exact"/>
        <w:rPr>
          <w:rFonts w:ascii="Courier New" w:cs="Courier New" w:eastAsia="Courier New" w:hAnsi="Courier New"/>
          <w:sz w:val="14"/>
          <w:szCs w:val="14"/>
          <w:color w:val="auto"/>
        </w:rPr>
      </w:pPr>
    </w:p>
    <w:p>
      <w:pPr>
        <w:ind w:left="1200" w:right="3339" w:hanging="430"/>
        <w:spacing w:after="0" w:line="251" w:lineRule="auto"/>
        <w:tabs>
          <w:tab w:leader="none" w:pos="1200"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and Plan of Merger, dated as of October 30, 2000, among Viacom Inc., IBC Merger Corp. and Infinity Broadcasting Corporation (incorporated by reference to Exhibit 99.1 to the Current Report on Form 8-K of Viacom Inc. filed on October 31, 2000) (File No. 1-9553).</w:t>
      </w:r>
    </w:p>
    <w:p>
      <w:pPr>
        <w:spacing w:after="0" w:line="164" w:lineRule="exact"/>
        <w:rPr>
          <w:rFonts w:ascii="Courier New" w:cs="Courier New" w:eastAsia="Courier New" w:hAnsi="Courier New"/>
          <w:sz w:val="14"/>
          <w:szCs w:val="14"/>
          <w:color w:val="auto"/>
        </w:rPr>
      </w:pPr>
    </w:p>
    <w:p>
      <w:pPr>
        <w:ind w:left="1200" w:hanging="861"/>
        <w:spacing w:after="0"/>
        <w:tabs>
          <w:tab w:leader="none" w:pos="120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Articles of Incorporation and By-laws</w:t>
      </w:r>
    </w:p>
    <w:p>
      <w:pPr>
        <w:spacing w:after="0" w:line="172" w:lineRule="exact"/>
        <w:rPr>
          <w:rFonts w:ascii="Courier New" w:cs="Courier New" w:eastAsia="Courier New" w:hAnsi="Courier New"/>
          <w:sz w:val="14"/>
          <w:szCs w:val="14"/>
          <w:color w:val="auto"/>
        </w:rPr>
      </w:pPr>
    </w:p>
    <w:p>
      <w:pPr>
        <w:ind w:left="1200" w:right="3339" w:hanging="430"/>
        <w:spacing w:after="0" w:line="251" w:lineRule="auto"/>
        <w:tabs>
          <w:tab w:leader="none" w:pos="1200"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Restated Certificate of Incorporation of Viacom Inc. effective May 4, 2000 (incorporated by reference to Exhibit 3.1 to the Registration Statement on Form S-4 filed by Viacom Inc.) (File No. 333-88613), as amended by the Certificate of Amendment of Certificate of Incorporation of Viacom Inc. dated May 23, 2001, and the Certificate of Elimination of Series C Preferred Stock of Viacom Inc. dated May 23, 2001 (incorporated by reference to Exhibits 99.1 and 99.2, respectively, to the Current Report on Form 8-K of Viacom Inc. filed on May 30, 2001) (File No. 1-9553).</w:t>
      </w:r>
    </w:p>
    <w:p>
      <w:pPr>
        <w:spacing w:after="0" w:line="163" w:lineRule="exact"/>
        <w:rPr>
          <w:rFonts w:ascii="Courier New" w:cs="Courier New" w:eastAsia="Courier New" w:hAnsi="Courier New"/>
          <w:sz w:val="14"/>
          <w:szCs w:val="14"/>
          <w:color w:val="auto"/>
        </w:rPr>
      </w:pPr>
    </w:p>
    <w:p>
      <w:pPr>
        <w:ind w:left="1200" w:right="3339" w:hanging="430"/>
        <w:spacing w:after="0" w:line="252" w:lineRule="auto"/>
        <w:tabs>
          <w:tab w:leader="none" w:pos="1200"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Amended and Restated By-laws of Viacom Inc. effective May 4, 2000 (incorporated by reference to Exhibit 3.2 to the Registration Statement on Form S-4 filed by Viacom Inc.) (File No. 333-88613).</w:t>
      </w:r>
    </w:p>
    <w:p>
      <w:pPr>
        <w:spacing w:after="0" w:line="162" w:lineRule="exact"/>
        <w:rPr>
          <w:rFonts w:ascii="Courier New" w:cs="Courier New" w:eastAsia="Courier New" w:hAnsi="Courier New"/>
          <w:sz w:val="14"/>
          <w:szCs w:val="14"/>
          <w:color w:val="auto"/>
        </w:rPr>
      </w:pPr>
    </w:p>
    <w:p>
      <w:pPr>
        <w:ind w:left="1200" w:right="3599" w:hanging="861"/>
        <w:spacing w:after="0" w:line="255" w:lineRule="auto"/>
        <w:tabs>
          <w:tab w:leader="none" w:pos="120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Instruments defining the rights of security holders, including indentures</w:t>
      </w:r>
    </w:p>
    <w:p>
      <w:pPr>
        <w:spacing w:after="0" w:line="159" w:lineRule="exact"/>
        <w:rPr>
          <w:rFonts w:ascii="Courier New" w:cs="Courier New" w:eastAsia="Courier New" w:hAnsi="Courier New"/>
          <w:sz w:val="14"/>
          <w:szCs w:val="14"/>
          <w:color w:val="auto"/>
        </w:rPr>
      </w:pPr>
    </w:p>
    <w:p>
      <w:pPr>
        <w:ind w:left="1200" w:right="3419" w:hanging="430"/>
        <w:spacing w:after="0" w:line="252" w:lineRule="auto"/>
        <w:tabs>
          <w:tab w:leader="none" w:pos="1200"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Specimen certificate representing the Viacom Inc. Class A Common Stock (incorporated by reference to Exhibit 4.1 to the Registration Statement on Form S-4 filed by Viacom Inc.) (File No. 33-13812).</w:t>
      </w:r>
    </w:p>
    <w:p>
      <w:pPr>
        <w:spacing w:after="0" w:line="162" w:lineRule="exact"/>
        <w:rPr>
          <w:rFonts w:ascii="Courier New" w:cs="Courier New" w:eastAsia="Courier New" w:hAnsi="Courier New"/>
          <w:sz w:val="14"/>
          <w:szCs w:val="14"/>
          <w:color w:val="auto"/>
        </w:rPr>
      </w:pPr>
    </w:p>
    <w:p>
      <w:pPr>
        <w:ind w:left="1200" w:right="3339" w:hanging="430"/>
        <w:spacing w:after="0" w:line="252" w:lineRule="auto"/>
        <w:tabs>
          <w:tab w:leader="none" w:pos="1200"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Specimen certificate representing Viacom Inc. Class B Common Stock (incorporated by reference to Exhibit 4(a) to the Quarterly Report on Form 10-Q of Viacom Inc. for the quarter ended June 30, 1990) (File No. 1-9553).</w:t>
      </w:r>
    </w:p>
    <w:p>
      <w:pPr>
        <w:spacing w:after="0" w:line="162" w:lineRule="exact"/>
        <w:rPr>
          <w:rFonts w:ascii="Courier New" w:cs="Courier New" w:eastAsia="Courier New" w:hAnsi="Courier New"/>
          <w:sz w:val="14"/>
          <w:szCs w:val="14"/>
          <w:color w:val="auto"/>
        </w:rPr>
      </w:pPr>
    </w:p>
    <w:p>
      <w:pPr>
        <w:ind w:left="1200" w:right="3339" w:hanging="430"/>
        <w:spacing w:after="0" w:line="251" w:lineRule="auto"/>
        <w:tabs>
          <w:tab w:leader="none" w:pos="1200"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instruments defining the rights of holders of the long-term debt securities of Viacom Inc. and its subsidiaries are omitted pursuant to section (b)(4)(iii)(A) of Item 601 of Regulation S-K. Viacom Inc. hereby agrees to furnish copies of these instruments to the Securities and Exchange Commission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-43-</w:t>
      </w:r>
    </w:p>
    <w:sectPr>
      <w:pgSz w:w="11900" w:h="16838" w:orient="portrait"/>
      <w:cols w:equalWidth="0" w:num="1">
        <w:col w:w="10139"/>
      </w:cols>
      <w:pgMar w:left="320" w:top="61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2"/>
    </w:lvl>
    <w:lvl w:ilvl="1">
      <w:lvlJc w:val="left"/>
      <w:lvlText w:val="(%2)"/>
      <w:numFmt w:val="lowerLetter"/>
      <w:start w:val="1"/>
    </w:lvl>
  </w:abstractNum>
  <w:abstractNum w:abstractNumId="19">
    <w:nsid w:val="628C895D"/>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20">
    <w:nsid w:val="333AB105"/>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21">
    <w:nsid w:val="721DA317"/>
    <w:multiLevelType w:val="hybridMultilevel"/>
    <w:lvl w:ilvl="0">
      <w:lvlJc w:val="left"/>
      <w:lvlText w:val="(%1)"/>
      <w:numFmt w:val="decimal"/>
      <w:start w:val="2"/>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2019-12-11T20:31:45Z</dcterms:created>
  <dcterms:modified xsi:type="dcterms:W3CDTF">2019-12-11T20:31:45Z</dcterms:modified>
</cp:coreProperties>
</file>