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658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836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Brandon-Gordon Andrew Mark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1515 BROADWAY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Paramount Skydance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PSKY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0000FF"/>
        </w:rPr>
        <w:t>Chief Strategy Officer and COO</w:t>
      </w:r>
    </w:p>
    <w:p>
      <w:pPr>
        <w:spacing w:after="0" w:line="27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20" w:type="dxa"/>
            <w:vAlign w:val="bottom"/>
            <w:gridSpan w:val="7"/>
            <w:vMerge w:val="continue"/>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4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05/07/2026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200,000</w:t>
            </w:r>
            <w:r>
              <w:rPr>
                <w:rFonts w:ascii="Times New Roman" w:cs="Times New Roman" w:eastAsia="Times New Roman" w:hAnsi="Times New Roman"/>
                <w:sz w:val="21"/>
                <w:szCs w:val="21"/>
                <w:color w:val="008000"/>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420,817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05/07/2026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101,760</w:t>
            </w:r>
            <w:r>
              <w:rPr>
                <w:rFonts w:ascii="Times New Roman" w:cs="Times New Roman" w:eastAsia="Times New Roman" w:hAnsi="Times New Roman"/>
                <w:sz w:val="21"/>
                <w:szCs w:val="21"/>
                <w:color w:val="008000"/>
                <w:vertAlign w:val="superscript"/>
              </w:rPr>
              <w:t>(2)</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10.76</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319,057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2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6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3,400,000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-1748155</wp:posOffset>
            </wp:positionV>
            <wp:extent cx="29210" cy="1753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38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2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identified in Table I were issued on May 7, 2026, upon vesting of an installment of Restricted Stock Units ("RSUs") identified in Table II, which were initially granted on August 7, 2025 and generally vest in equal quarterly installments over a five-year period. On May 7, 2026, the closing price of the Class B common stock on The NASDAQ Global Select Market was $10.76 per share.</w:t>
      </w:r>
    </w:p>
    <w:p>
      <w:pPr>
        <w:spacing w:after="0" w:line="1" w:lineRule="exact"/>
        <w:rPr>
          <w:rFonts w:ascii="Times New Roman" w:cs="Times New Roman" w:eastAsia="Times New Roman" w:hAnsi="Times New Roman"/>
          <w:sz w:val="12"/>
          <w:szCs w:val="12"/>
          <w:color w:val="008000"/>
        </w:rPr>
      </w:pPr>
    </w:p>
    <w:p>
      <w:pPr>
        <w:ind w:left="40" w:right="4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tax liability incident to the vesting of, and delivery of shares underlying, the RSUs, and were not actually sold or otherwise disposed of in an open-market transaction.</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Stephanie Kyoko</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2"/>
              </w:rPr>
              <w:t>05/11/2026</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2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McKinnon, Attorney-in-Fact</w:t>
            </w: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8632" TargetMode="External"/><Relationship Id="rId14" Type="http://schemas.openxmlformats.org/officeDocument/2006/relationships/hyperlink" Target="http://www.sec.gov/cgi-bin/browse-edgar?action=getcompany&amp;CIK=00020416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2026-05-11T16:08:59Z</dcterms:created>
  <dcterms:modified xsi:type="dcterms:W3CDTF">2026-05-11T16:08:59Z</dcterms:modified>
</cp:coreProperties>
</file>